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40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widowControl/>
        <w:jc w:val="center"/>
        <w:rPr>
          <w:rFonts w:hint="default" w:ascii="方正小标宋简体" w:hAnsi="宋体" w:eastAsia="方正小标宋简体" w:cs="宋体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  <w:t>2025年连城县县</w:t>
      </w:r>
      <w:bookmarkStart w:id="0" w:name="_GoBack"/>
      <w:bookmarkEnd w:id="0"/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  <w:t>域商业建设行动拟支持项目及金额表</w:t>
      </w: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  <w:lang w:eastAsia="zh-CN"/>
        </w:rPr>
        <w:t>（</w:t>
      </w: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  <w:lang w:val="en-US" w:eastAsia="zh-CN"/>
        </w:rPr>
        <w:t>第一批）</w:t>
      </w:r>
    </w:p>
    <w:tbl>
      <w:tblPr>
        <w:tblW w:w="1493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91"/>
        <w:gridCol w:w="708"/>
        <w:gridCol w:w="1084"/>
        <w:gridCol w:w="711"/>
        <w:gridCol w:w="929"/>
        <w:gridCol w:w="816"/>
        <w:gridCol w:w="774"/>
        <w:gridCol w:w="3481"/>
        <w:gridCol w:w="875"/>
        <w:gridCol w:w="3086"/>
        <w:gridCol w:w="1135"/>
        <w:gridCol w:w="848"/>
      </w:tblGrid>
      <w:tr>
        <w:trPr>
          <w:trHeight w:val="323" w:hRule="atLeast"/>
          <w:tblHeader/>
          <w:jc w:val="center"/>
        </w:trPr>
        <w:tc>
          <w:tcPr>
            <w:tcW w:w="491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县/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市/区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711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建设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类型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责任主体</w:t>
            </w:r>
          </w:p>
        </w:tc>
        <w:tc>
          <w:tcPr>
            <w:tcW w:w="816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计划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投资额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774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拟支持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金额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3481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建设内容</w:t>
            </w:r>
          </w:p>
        </w:tc>
        <w:tc>
          <w:tcPr>
            <w:tcW w:w="875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建设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周期</w:t>
            </w:r>
          </w:p>
        </w:tc>
        <w:tc>
          <w:tcPr>
            <w:tcW w:w="3086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实现功能</w:t>
            </w:r>
          </w:p>
        </w:tc>
        <w:tc>
          <w:tcPr>
            <w:tcW w:w="1135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责任单位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(政府部门)</w:t>
            </w:r>
          </w:p>
        </w:tc>
        <w:tc>
          <w:tcPr>
            <w:tcW w:w="848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项目类型</w:t>
            </w:r>
          </w:p>
        </w:tc>
      </w:tr>
      <w:tr>
        <w:trPr>
          <w:trHeight w:val="1175" w:hRule="atLeast"/>
          <w:jc w:val="center"/>
        </w:trPr>
        <w:tc>
          <w:tcPr>
            <w:tcW w:w="491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连城县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宣和镇集贸市场建设项目</w:t>
            </w:r>
          </w:p>
        </w:tc>
        <w:tc>
          <w:tcPr>
            <w:tcW w:w="711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新建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宣和镇</w:t>
            </w:r>
          </w:p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人民政府</w:t>
            </w:r>
          </w:p>
        </w:tc>
        <w:tc>
          <w:tcPr>
            <w:tcW w:w="816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</w:t>
            </w:r>
          </w:p>
        </w:tc>
        <w:tc>
          <w:tcPr>
            <w:tcW w:w="774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70</w:t>
            </w:r>
          </w:p>
        </w:tc>
        <w:tc>
          <w:tcPr>
            <w:tcW w:w="3481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新建市场管理办公室、钢架大棚等600平方米，市场地面硬化、绿化，新增摊位、停车场、废物污水处理、消防设施及安全监控。</w:t>
            </w:r>
          </w:p>
        </w:tc>
        <w:tc>
          <w:tcPr>
            <w:tcW w:w="875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2025.10-</w:t>
            </w:r>
          </w:p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2026.6</w:t>
            </w:r>
          </w:p>
        </w:tc>
        <w:tc>
          <w:tcPr>
            <w:tcW w:w="3086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为乡镇提供适宜的交易场所，满足居民日常消费服务；有利于街道环境整治管理。</w:t>
            </w:r>
          </w:p>
        </w:tc>
        <w:tc>
          <w:tcPr>
            <w:tcW w:w="1135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连城县商务局、宣和镇人民政府</w:t>
            </w:r>
          </w:p>
        </w:tc>
        <w:tc>
          <w:tcPr>
            <w:tcW w:w="848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县域商业网点项目</w:t>
            </w:r>
          </w:p>
        </w:tc>
      </w:tr>
      <w:tr>
        <w:trPr>
          <w:trHeight w:val="2230" w:hRule="atLeast"/>
          <w:jc w:val="center"/>
        </w:trPr>
        <w:tc>
          <w:tcPr>
            <w:tcW w:w="491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连城县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连城百香果智能分选项目</w:t>
            </w:r>
          </w:p>
        </w:tc>
        <w:tc>
          <w:tcPr>
            <w:tcW w:w="711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新建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龙岩鲜丰达商贸有限公司</w:t>
            </w:r>
          </w:p>
        </w:tc>
        <w:tc>
          <w:tcPr>
            <w:tcW w:w="816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774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3481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1.浸泡提升机，带升降气泡功能，带喷淋、干湿两用；</w:t>
            </w:r>
          </w:p>
          <w:p>
            <w:pPr>
              <w:widowControl/>
              <w:spacing w:line="26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2.两组清洗风干机，三十条变频毛刷，每组4个风机，带边板毛刷；</w:t>
            </w:r>
          </w:p>
          <w:p>
            <w:pPr>
              <w:widowControl/>
              <w:spacing w:line="26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3.反提升装置，4组风机，加海绵输送管；</w:t>
            </w:r>
          </w:p>
          <w:p>
            <w:pPr>
              <w:widowControl/>
              <w:spacing w:line="26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4.人工精选选果平台加安全护栏；</w:t>
            </w:r>
          </w:p>
          <w:p>
            <w:pPr>
              <w:widowControl/>
              <w:spacing w:line="26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5.电脑分选9+1左边出料；</w:t>
            </w:r>
          </w:p>
          <w:p>
            <w:pPr>
              <w:widowControl/>
              <w:spacing w:line="26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6.带打印机电源；</w:t>
            </w:r>
          </w:p>
          <w:p>
            <w:pPr>
              <w:widowControl/>
              <w:spacing w:line="260" w:lineRule="exact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7.配件标准配置。</w:t>
            </w:r>
          </w:p>
        </w:tc>
        <w:tc>
          <w:tcPr>
            <w:tcW w:w="875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2025.1-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2025.12</w:t>
            </w:r>
          </w:p>
        </w:tc>
        <w:tc>
          <w:tcPr>
            <w:tcW w:w="3086" w:type="dxa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百香果清洗、抛光、重量分选，每小时3000公斤以上。</w:t>
            </w:r>
          </w:p>
        </w:tc>
        <w:tc>
          <w:tcPr>
            <w:tcW w:w="1135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连城县商务局、朋口镇人民政府      </w:t>
            </w:r>
          </w:p>
        </w:tc>
        <w:tc>
          <w:tcPr>
            <w:tcW w:w="848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县域产业发展项目</w:t>
            </w:r>
          </w:p>
        </w:tc>
      </w:tr>
      <w:tr>
        <w:trPr>
          <w:trHeight w:val="1084" w:hRule="atLeast"/>
          <w:jc w:val="center"/>
        </w:trPr>
        <w:tc>
          <w:tcPr>
            <w:tcW w:w="491" w:type="dxa"/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连城县</w:t>
            </w:r>
          </w:p>
        </w:tc>
        <w:tc>
          <w:tcPr>
            <w:tcW w:w="1084" w:type="dxa"/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连城红薯干配套设施项目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新建</w:t>
            </w:r>
          </w:p>
        </w:tc>
        <w:tc>
          <w:tcPr>
            <w:tcW w:w="929" w:type="dxa"/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连城县佳佳昇食品有限公司</w:t>
            </w:r>
          </w:p>
        </w:tc>
        <w:tc>
          <w:tcPr>
            <w:tcW w:w="816" w:type="dxa"/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774" w:type="dxa"/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130</w:t>
            </w:r>
          </w:p>
        </w:tc>
        <w:tc>
          <w:tcPr>
            <w:tcW w:w="3481" w:type="dxa"/>
            <w:shd w:val="clear" w:color="auto" w:fill="auto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新建设10万级无尘车间配套设施，增加地瓜清洗线3条，负压锅3套，24立方蒸房3座，高温烘房6座，真空拉伸膜机4台。</w:t>
            </w:r>
          </w:p>
        </w:tc>
        <w:tc>
          <w:tcPr>
            <w:tcW w:w="875" w:type="dxa"/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2025.1-</w:t>
            </w:r>
          </w:p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2025.12</w:t>
            </w:r>
          </w:p>
        </w:tc>
        <w:tc>
          <w:tcPr>
            <w:tcW w:w="3086" w:type="dxa"/>
            <w:shd w:val="clear" w:color="auto" w:fill="auto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提升地瓜干生产自动化水平，保障食品安全，增强存储能力，促进产业升级与经济效益提升。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连城县商务局、隔川镇人民政府</w:t>
            </w:r>
          </w:p>
        </w:tc>
        <w:tc>
          <w:tcPr>
            <w:tcW w:w="848" w:type="dxa"/>
            <w:shd w:val="clear" w:color="auto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县域产业发展项目</w:t>
            </w:r>
          </w:p>
        </w:tc>
      </w:tr>
      <w:tr>
        <w:trPr>
          <w:trHeight w:val="567" w:hRule="atLeast"/>
          <w:jc w:val="center"/>
        </w:trPr>
        <w:tc>
          <w:tcPr>
            <w:tcW w:w="491" w:type="dxa"/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连城县</w:t>
            </w:r>
          </w:p>
        </w:tc>
        <w:tc>
          <w:tcPr>
            <w:tcW w:w="1084" w:type="dxa"/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福建绿巢食品冷库项目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新建</w:t>
            </w:r>
          </w:p>
        </w:tc>
        <w:tc>
          <w:tcPr>
            <w:tcW w:w="929" w:type="dxa"/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福建绿巢食品有限公司</w:t>
            </w:r>
          </w:p>
        </w:tc>
        <w:tc>
          <w:tcPr>
            <w:tcW w:w="816" w:type="dxa"/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170</w:t>
            </w:r>
          </w:p>
        </w:tc>
        <w:tc>
          <w:tcPr>
            <w:tcW w:w="774" w:type="dxa"/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28</w:t>
            </w:r>
          </w:p>
        </w:tc>
        <w:tc>
          <w:tcPr>
            <w:tcW w:w="3481" w:type="dxa"/>
            <w:shd w:val="clear" w:color="auto" w:fill="auto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冷库建设涵盖土建工程、供电、排水、通风、安全出口；建筑设计采用聚苯乙烯泡沫保温板等材料稳定温度并做好保温；设备安装、电气配置、整体连接布局等。</w:t>
            </w:r>
          </w:p>
        </w:tc>
        <w:tc>
          <w:tcPr>
            <w:tcW w:w="875" w:type="dxa"/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2025.1-</w:t>
            </w:r>
          </w:p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2025.12</w:t>
            </w:r>
          </w:p>
        </w:tc>
        <w:tc>
          <w:tcPr>
            <w:tcW w:w="3086" w:type="dxa"/>
            <w:shd w:val="clear" w:color="auto" w:fill="auto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依靠先进温控系统，适用于果蔬、地瓜制品保鲜；通过合理的风道设计，确保常温库各区域温度均匀，延长地瓜等制品的储存期限。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连城县商务局、朋口镇人民政府</w:t>
            </w:r>
          </w:p>
        </w:tc>
        <w:tc>
          <w:tcPr>
            <w:tcW w:w="848" w:type="dxa"/>
            <w:shd w:val="clear" w:color="auto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县域产业发展项目</w:t>
            </w:r>
          </w:p>
        </w:tc>
      </w:tr>
    </w:tbl>
    <w:p>
      <w:pPr>
        <w:widowControl w:val="0"/>
        <w:wordWrap/>
        <w:adjustRightInd/>
        <w:snapToGrid/>
        <w:spacing w:before="0" w:after="0" w:line="100" w:lineRule="exact"/>
        <w:ind w:left="0" w:leftChars="0" w:right="0" w:firstLine="0" w:firstLineChars="0"/>
        <w:jc w:val="both"/>
        <w:textAlignment w:val="auto"/>
        <w:outlineLvl w:val="9"/>
      </w:pPr>
    </w:p>
    <w:sectPr>
      <w:footerReference r:id="rId4" w:type="default"/>
      <w:pgSz w:w="16838" w:h="11906" w:orient="landscape"/>
      <w:pgMar w:top="1701" w:right="1531" w:bottom="1701" w:left="1531" w:header="851" w:footer="1304" w:gutter="0"/>
      <w:cols w:space="720" w:num="1"/>
      <w:docGrid w:type="lines" w:linePitch="31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framePr w:wrap="around" w:hAnchor="margin" w:vAnchor="text" w:y="1"/>
      <w:snapToGrid w:val="0"/>
      <w:ind w:left="210" w:leftChars="100" w:right="210" w:rightChars="100"/>
      <w:rPr>
        <w:rFonts w:hint="eastAsia" w:ascii="宋体" w:hAnsi="宋体" w:cs="宋体"/>
        <w:sz w:val="28"/>
        <w:szCs w:val="28"/>
      </w:rPr>
    </w:pPr>
    <w:r>
      <w:rPr>
        <w:rFonts w:hint="eastAsia" w:ascii="宋体" w:hAnsi="宋体" w:cs="宋体"/>
        <w:sz w:val="28"/>
        <w:szCs w:val="28"/>
      </w:rPr>
      <w:t xml:space="preserve">— </w:t>
    </w:r>
    <w:r>
      <w:rPr>
        <w:rFonts w:hint="eastAsia" w:ascii="宋体" w:hAnsi="宋体" w:cs="宋体"/>
        <w:sz w:val="28"/>
        <w:szCs w:val="28"/>
      </w:rPr>
      <w:fldChar w:fldCharType="begin"/>
    </w:r>
    <w:r>
      <w:rPr>
        <w:rFonts w:hint="eastAsia" w:ascii="宋体" w:hAnsi="宋体" w:cs="宋体"/>
        <w:sz w:val="28"/>
        <w:szCs w:val="28"/>
      </w:rPr>
      <w:instrText xml:space="preserve"> PAGE  \* MERGEFORMAT </w:instrText>
    </w:r>
    <w:r>
      <w:rPr>
        <w:rFonts w:hint="eastAsia" w:ascii="宋体" w:hAnsi="宋体" w:cs="宋体"/>
        <w:sz w:val="28"/>
        <w:szCs w:val="28"/>
      </w:rPr>
      <w:fldChar w:fldCharType="separate"/>
    </w:r>
    <w:r>
      <w:rPr>
        <w:rFonts w:ascii="宋体" w:hAnsi="宋体" w:cs="宋体"/>
        <w:sz w:val="28"/>
        <w:szCs w:val="28"/>
      </w:rPr>
      <w:t>6</w:t>
    </w:r>
    <w:r>
      <w:rPr>
        <w:rFonts w:hint="eastAsia" w:ascii="宋体" w:hAnsi="宋体" w:cs="宋体"/>
        <w:sz w:val="28"/>
        <w:szCs w:val="28"/>
      </w:rPr>
      <w:fldChar w:fldCharType="end"/>
    </w:r>
    <w:r>
      <w:rPr>
        <w:rFonts w:hint="eastAsia" w:ascii="宋体" w:hAnsi="宋体" w:cs="宋体"/>
        <w:sz w:val="28"/>
        <w:szCs w:val="28"/>
      </w:rPr>
      <w:t xml:space="preserve"> —</w:t>
    </w:r>
  </w:p>
  <w:p>
    <w:pPr>
      <w:pStyle w:val="2"/>
      <w:ind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annotation subject"/>
    <w:lsdException w:unhideWhenUsed="0" w:uiPriority="0" w:semiHidden="0" w:name="Balloon Text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paragraph" w:styleId="2">
    <w:name w:val="footer"/>
    <w:basedOn w:val="1"/>
    <w:next w:val="3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Body Text First Indent"/>
    <w:basedOn w:val="4"/>
    <w:next w:val="6"/>
    <w:unhideWhenUsed/>
    <w:qFormat/>
    <w:uiPriority w:val="0"/>
    <w:pPr>
      <w:spacing w:after="120"/>
      <w:ind w:firstLine="420" w:firstLineChars="100"/>
    </w:pPr>
    <w:rPr>
      <w:rFonts w:ascii="Times New Roman" w:hAnsi="Times New Roman" w:eastAsia="Times New Roman" w:cs="Times New Roman"/>
    </w:rPr>
  </w:style>
  <w:style w:type="paragraph" w:styleId="4">
    <w:name w:val="Body Text"/>
    <w:basedOn w:val="1"/>
    <w:next w:val="5"/>
    <w:qFormat/>
    <w:uiPriority w:val="0"/>
    <w:rPr>
      <w:rFonts w:ascii="Calibri" w:hAnsi="Calibri" w:cs="Times New Roman"/>
    </w:rPr>
  </w:style>
  <w:style w:type="paragraph" w:styleId="5">
    <w:name w:val="Body Text Indent 2"/>
    <w:next w:val="1"/>
    <w:qFormat/>
    <w:uiPriority w:val="0"/>
    <w:pPr>
      <w:widowControl w:val="0"/>
      <w:spacing w:before="280" w:after="280" w:line="480" w:lineRule="auto"/>
      <w:ind w:firstLine="3584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6">
    <w:name w:val="header"/>
    <w:basedOn w:val="1"/>
    <w:next w:val="4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styleId="8">
    <w:name w:val="page number"/>
    <w:basedOn w:val="7"/>
    <w:uiPriority w:val="0"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footer" Target="footer1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 专业版_9.1.0.4337_{F1E327BC-269C-435d-A152-05C5408002CA}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2026-05-28T07:16:00Z</dcterms:created>
  <dc:creator>Administrator</dc:creator>
  <cp:lastModifiedBy>Administrator</cp:lastModifiedBy>
  <dcterms:modified xsi:type="dcterms:W3CDTF">2026-07-09T01:45:46Z</dcterms:modified>
  <dc:title>附件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2052-9.1.0.4337</vt:lpwstr>
  </property>
</Properties>
</file>