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keepNext w:val="0"/>
        <w:keepLines w:val="0"/>
        <w:pageBreakBefore w:val="0"/>
        <w:widowControl w:val="0"/>
        <w:kinsoku/>
        <w:wordWrap/>
        <w:overflowPunct/>
        <w:topLinePunct w:val="0"/>
        <w:autoSpaceDE/>
        <w:autoSpaceDN/>
        <w:bidi w:val="0"/>
        <w:adjustRightInd/>
        <w:snapToGrid/>
        <w:spacing w:line="1000" w:lineRule="exact"/>
        <w:ind w:left="0" w:leftChars="0"/>
        <w:jc w:val="center"/>
        <w:textAlignment w:val="auto"/>
        <w:rPr>
          <w:rFonts w:ascii="方正粗黑宋简体" w:hAnsi="方正粗黑宋简体" w:eastAsia="方正粗黑宋简体" w:cs="方正粗黑宋简体"/>
          <w:sz w:val="56"/>
          <w:szCs w:val="56"/>
        </w:rPr>
      </w:pPr>
      <w:r>
        <w:rPr>
          <w:rFonts w:hint="eastAsia" w:ascii="方正粗黑宋简体" w:hAnsi="方正粗黑宋简体" w:eastAsia="方正粗黑宋简体" w:cs="方正粗黑宋简体"/>
          <w:sz w:val="56"/>
          <w:szCs w:val="56"/>
        </w:rPr>
        <w:t>2022年连城县县域商业建设行动</w:t>
      </w:r>
    </w:p>
    <w:p>
      <w:pPr>
        <w:spacing w:line="560" w:lineRule="exact"/>
        <w:ind w:left="-420" w:leftChars="-200"/>
        <w:jc w:val="center"/>
        <w:outlineLvl w:val="9"/>
        <w:rPr>
          <w:b/>
          <w:bCs/>
          <w:sz w:val="44"/>
          <w:szCs w:val="44"/>
        </w:rPr>
      </w:pPr>
    </w:p>
    <w:p>
      <w:pPr>
        <w:spacing w:line="560" w:lineRule="exact"/>
        <w:ind w:left="-420" w:leftChars="-200"/>
        <w:jc w:val="center"/>
        <w:outlineLvl w:val="9"/>
        <w:rPr>
          <w:b/>
          <w:bCs/>
          <w:sz w:val="44"/>
          <w:szCs w:val="44"/>
        </w:rPr>
      </w:pPr>
    </w:p>
    <w:p>
      <w:pPr>
        <w:outlineLvl w:val="9"/>
      </w:pPr>
    </w:p>
    <w:p>
      <w:pPr>
        <w:outlineLvl w:val="9"/>
      </w:pPr>
    </w:p>
    <w:p>
      <w:pPr>
        <w:outlineLvl w:val="9"/>
      </w:pPr>
    </w:p>
    <w:p>
      <w:pPr>
        <w:outlineLvl w:val="9"/>
      </w:pPr>
    </w:p>
    <w:p>
      <w:pPr>
        <w:outlineLvl w:val="9"/>
      </w:pPr>
    </w:p>
    <w:p>
      <w:pPr>
        <w:spacing w:line="1000" w:lineRule="exact"/>
        <w:ind w:left="-420" w:leftChars="-200"/>
        <w:jc w:val="center"/>
        <w:outlineLvl w:val="9"/>
        <w:rPr>
          <w:rFonts w:ascii="方正粗黑宋简体" w:hAnsi="方正粗黑宋简体" w:eastAsia="方正粗黑宋简体" w:cs="方正粗黑宋简体"/>
          <w:sz w:val="96"/>
          <w:szCs w:val="96"/>
        </w:rPr>
      </w:pPr>
      <w:r>
        <w:rPr>
          <w:rFonts w:hint="eastAsia" w:ascii="方正粗黑宋简体" w:hAnsi="方正粗黑宋简体" w:eastAsia="方正粗黑宋简体" w:cs="方正粗黑宋简体"/>
          <w:sz w:val="96"/>
          <w:szCs w:val="96"/>
        </w:rPr>
        <w:t>工</w:t>
      </w:r>
    </w:p>
    <w:p>
      <w:pPr>
        <w:outlineLvl w:val="9"/>
      </w:pPr>
    </w:p>
    <w:p>
      <w:pPr>
        <w:spacing w:line="1000" w:lineRule="exact"/>
        <w:ind w:left="-420" w:leftChars="-200"/>
        <w:jc w:val="center"/>
        <w:outlineLvl w:val="9"/>
        <w:rPr>
          <w:rFonts w:ascii="方正粗黑宋简体" w:hAnsi="方正粗黑宋简体" w:eastAsia="方正粗黑宋简体" w:cs="方正粗黑宋简体"/>
          <w:sz w:val="96"/>
          <w:szCs w:val="96"/>
        </w:rPr>
      </w:pPr>
      <w:r>
        <w:rPr>
          <w:rFonts w:hint="eastAsia" w:ascii="方正粗黑宋简体" w:hAnsi="方正粗黑宋简体" w:eastAsia="方正粗黑宋简体" w:cs="方正粗黑宋简体"/>
          <w:sz w:val="96"/>
          <w:szCs w:val="96"/>
        </w:rPr>
        <w:t>作</w:t>
      </w:r>
    </w:p>
    <w:p>
      <w:pPr>
        <w:outlineLvl w:val="9"/>
      </w:pPr>
    </w:p>
    <w:p>
      <w:pPr>
        <w:spacing w:line="1000" w:lineRule="exact"/>
        <w:ind w:left="-420" w:leftChars="-200"/>
        <w:jc w:val="center"/>
        <w:outlineLvl w:val="9"/>
        <w:rPr>
          <w:rFonts w:ascii="方正粗黑宋简体" w:hAnsi="方正粗黑宋简体" w:eastAsia="方正粗黑宋简体" w:cs="方正粗黑宋简体"/>
          <w:sz w:val="96"/>
          <w:szCs w:val="96"/>
        </w:rPr>
      </w:pPr>
      <w:r>
        <w:rPr>
          <w:rFonts w:hint="eastAsia" w:ascii="方正粗黑宋简体" w:hAnsi="方正粗黑宋简体" w:eastAsia="方正粗黑宋简体" w:cs="方正粗黑宋简体"/>
          <w:sz w:val="96"/>
          <w:szCs w:val="96"/>
        </w:rPr>
        <w:t>方</w:t>
      </w:r>
    </w:p>
    <w:p>
      <w:pPr>
        <w:outlineLvl w:val="9"/>
      </w:pPr>
    </w:p>
    <w:p>
      <w:pPr>
        <w:spacing w:line="1000" w:lineRule="exact"/>
        <w:ind w:left="-420" w:leftChars="-200"/>
        <w:jc w:val="center"/>
        <w:outlineLvl w:val="9"/>
        <w:rPr>
          <w:rFonts w:ascii="方正粗黑宋简体" w:hAnsi="方正粗黑宋简体" w:eastAsia="方正粗黑宋简体" w:cs="方正粗黑宋简体"/>
          <w:sz w:val="96"/>
          <w:szCs w:val="96"/>
        </w:rPr>
      </w:pPr>
      <w:r>
        <w:rPr>
          <w:rFonts w:hint="eastAsia" w:ascii="方正粗黑宋简体" w:hAnsi="方正粗黑宋简体" w:eastAsia="方正粗黑宋简体" w:cs="方正粗黑宋简体"/>
          <w:sz w:val="96"/>
          <w:szCs w:val="96"/>
        </w:rPr>
        <w:t>案</w:t>
      </w:r>
    </w:p>
    <w:p>
      <w:pPr>
        <w:outlineLvl w:val="9"/>
      </w:pPr>
    </w:p>
    <w:p>
      <w:pPr>
        <w:outlineLvl w:val="9"/>
      </w:pPr>
    </w:p>
    <w:p>
      <w:pPr>
        <w:outlineLvl w:val="9"/>
      </w:pPr>
    </w:p>
    <w:p>
      <w:pPr>
        <w:outlineLvl w:val="9"/>
      </w:pPr>
    </w:p>
    <w:p>
      <w:pPr>
        <w:spacing w:line="560" w:lineRule="exact"/>
        <w:jc w:val="distribute"/>
        <w:outlineLvl w:val="9"/>
        <w:rPr>
          <w:b/>
          <w:bCs/>
          <w:sz w:val="44"/>
          <w:szCs w:val="44"/>
        </w:rPr>
      </w:pPr>
    </w:p>
    <w:p>
      <w:pPr>
        <w:outlineLvl w:val="9"/>
        <w:rPr>
          <w:b/>
          <w:bCs/>
          <w:sz w:val="44"/>
          <w:szCs w:val="44"/>
        </w:rPr>
      </w:pPr>
    </w:p>
    <w:p>
      <w:pPr>
        <w:outlineLvl w:val="9"/>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粗黑宋简体" w:hAnsi="方正粗黑宋简体" w:eastAsia="方正粗黑宋简体" w:cs="方正粗黑宋简体"/>
          <w:sz w:val="44"/>
          <w:szCs w:val="44"/>
        </w:rPr>
      </w:pPr>
      <w:r>
        <w:rPr>
          <w:rFonts w:hint="eastAsia" w:ascii="方正粗黑宋简体" w:hAnsi="方正粗黑宋简体" w:eastAsia="方正粗黑宋简体" w:cs="方正粗黑宋简体"/>
          <w:sz w:val="44"/>
          <w:szCs w:val="44"/>
        </w:rPr>
        <w:t>连城县人民政府</w:t>
      </w:r>
    </w:p>
    <w:p>
      <w:pPr>
        <w:keepNext w:val="0"/>
        <w:keepLines w:val="0"/>
        <w:pageBreakBefore w:val="0"/>
        <w:widowControl w:val="0"/>
        <w:kinsoku/>
        <w:wordWrap/>
        <w:overflowPunct/>
        <w:topLinePunct w:val="0"/>
        <w:autoSpaceDE/>
        <w:autoSpaceDN/>
        <w:bidi w:val="0"/>
        <w:adjustRightInd/>
        <w:snapToGrid/>
        <w:jc w:val="center"/>
        <w:textAlignment w:val="auto"/>
      </w:pPr>
      <w:r>
        <w:rPr>
          <w:rFonts w:hint="eastAsia" w:ascii="方正粗黑宋简体" w:hAnsi="方正粗黑宋简体" w:eastAsia="方正粗黑宋简体" w:cs="方正粗黑宋简体"/>
          <w:sz w:val="44"/>
          <w:szCs w:val="44"/>
          <w:lang w:val="en-US" w:eastAsia="zh-CN"/>
        </w:rPr>
        <w:t>二〇二二</w:t>
      </w:r>
      <w:r>
        <w:rPr>
          <w:rFonts w:hint="eastAsia" w:ascii="方正粗黑宋简体" w:hAnsi="方正粗黑宋简体" w:eastAsia="方正粗黑宋简体" w:cs="方正粗黑宋简体"/>
          <w:sz w:val="44"/>
          <w:szCs w:val="44"/>
        </w:rPr>
        <w:t>年</w:t>
      </w:r>
      <w:r>
        <w:rPr>
          <w:rFonts w:hint="eastAsia" w:ascii="方正粗黑宋简体" w:hAnsi="方正粗黑宋简体" w:eastAsia="方正粗黑宋简体" w:cs="方正粗黑宋简体"/>
          <w:sz w:val="44"/>
          <w:szCs w:val="44"/>
          <w:lang w:val="en-US" w:eastAsia="zh-CN"/>
        </w:rPr>
        <w:t>十二</w:t>
      </w:r>
      <w:r>
        <w:rPr>
          <w:rFonts w:hint="eastAsia" w:ascii="方正粗黑宋简体" w:hAnsi="方正粗黑宋简体" w:eastAsia="方正粗黑宋简体" w:cs="方正粗黑宋简体"/>
          <w:sz w:val="44"/>
          <w:szCs w:val="44"/>
        </w:rPr>
        <w:t>月</w:t>
      </w:r>
    </w:p>
    <w:p>
      <w:pPr>
        <w:pStyle w:val="14"/>
        <w:tabs>
          <w:tab w:val="right" w:leader="dot" w:pos="8306"/>
        </w:tabs>
        <w:spacing w:line="440" w:lineRule="exact"/>
        <w:jc w:val="center"/>
        <w:rPr>
          <w:b/>
          <w:bCs/>
          <w:sz w:val="44"/>
          <w:szCs w:val="44"/>
        </w:rPr>
        <w:sectPr>
          <w:pgSz w:w="11906" w:h="16838"/>
          <w:pgMar w:top="1440" w:right="1803" w:bottom="1440" w:left="1803" w:header="851" w:footer="992" w:gutter="0"/>
          <w:cols w:space="0" w:num="1"/>
          <w:docGrid w:type="lines" w:linePitch="319" w:charSpace="0"/>
        </w:sectPr>
      </w:pPr>
    </w:p>
    <w:p>
      <w:pPr>
        <w:pStyle w:val="14"/>
        <w:keepNext w:val="0"/>
        <w:keepLines w:val="0"/>
        <w:pageBreakBefore w:val="0"/>
        <w:widowControl w:val="0"/>
        <w:tabs>
          <w:tab w:val="right" w:leader="dot" w:pos="8306"/>
        </w:tabs>
        <w:kinsoku/>
        <w:wordWrap/>
        <w:overflowPunct/>
        <w:topLinePunct w:val="0"/>
        <w:autoSpaceDE/>
        <w:autoSpaceDN/>
        <w:bidi w:val="0"/>
        <w:adjustRightInd/>
        <w:snapToGrid/>
        <w:spacing w:line="440" w:lineRule="exact"/>
        <w:ind w:left="0" w:leftChars="0"/>
        <w:jc w:val="center"/>
        <w:textAlignment w:val="auto"/>
        <w:rPr>
          <w:rFonts w:ascii="宋体" w:hAnsi="宋体" w:eastAsia="宋体" w:cs="宋体"/>
          <w:b/>
          <w:bCs/>
          <w:sz w:val="24"/>
        </w:rPr>
      </w:pPr>
      <w:r>
        <w:rPr>
          <w:rFonts w:hint="eastAsia"/>
          <w:b/>
          <w:bCs/>
          <w:sz w:val="44"/>
          <w:szCs w:val="44"/>
        </w:rPr>
        <w:t>目录</w:t>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sz w:val="24"/>
        </w:rPr>
        <w:fldChar w:fldCharType="begin"/>
      </w:r>
      <w:r>
        <w:rPr>
          <w:rFonts w:hint="eastAsia" w:ascii="宋体" w:hAnsi="宋体" w:eastAsia="宋体" w:cs="宋体"/>
          <w:sz w:val="24"/>
        </w:rPr>
        <w:instrText xml:space="preserve">TOC \o "1-4" \h \u </w:instrText>
      </w:r>
      <w:r>
        <w:rPr>
          <w:rFonts w:hint="eastAsia" w:ascii="宋体" w:hAnsi="宋体" w:eastAsia="宋体" w:cs="宋体"/>
          <w:sz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_Toc28547 </w:instrText>
      </w:r>
      <w:r>
        <w:rPr>
          <w:rFonts w:hint="eastAsia" w:ascii="宋体" w:hAnsi="宋体" w:eastAsia="宋体" w:cs="宋体"/>
        </w:rPr>
        <w:fldChar w:fldCharType="separate"/>
      </w:r>
      <w:r>
        <w:rPr>
          <w:rFonts w:hint="eastAsia" w:ascii="黑体" w:hAnsi="黑体" w:eastAsia="黑体" w:cs="黑体"/>
          <w:bCs/>
          <w:kern w:val="0"/>
          <w:szCs w:val="32"/>
        </w:rPr>
        <w:t xml:space="preserve">一、 </w:t>
      </w:r>
      <w:r>
        <w:rPr>
          <w:rFonts w:hint="eastAsia" w:ascii="黑体" w:hAnsi="黑体" w:eastAsia="黑体" w:cs="黑体"/>
          <w:bCs/>
          <w:szCs w:val="32"/>
        </w:rPr>
        <w:t>基本情况</w:t>
      </w:r>
      <w:r>
        <w:tab/>
      </w:r>
      <w:r>
        <w:fldChar w:fldCharType="begin"/>
      </w:r>
      <w:r>
        <w:instrText xml:space="preserve"> PAGEREF _Toc28547 \h </w:instrText>
      </w:r>
      <w:r>
        <w:fldChar w:fldCharType="separate"/>
      </w:r>
      <w:r>
        <w:t>3</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_Toc8636 </w:instrText>
      </w:r>
      <w:r>
        <w:rPr>
          <w:rFonts w:hint="eastAsia" w:ascii="宋体" w:hAnsi="宋体" w:eastAsia="宋体" w:cs="宋体"/>
        </w:rPr>
        <w:fldChar w:fldCharType="separate"/>
      </w:r>
      <w:r>
        <w:rPr>
          <w:rFonts w:hint="eastAsia" w:asciiTheme="majorEastAsia" w:hAnsiTheme="majorEastAsia" w:eastAsiaTheme="majorEastAsia" w:cstheme="majorEastAsia"/>
          <w:bCs/>
          <w:kern w:val="0"/>
          <w:szCs w:val="32"/>
        </w:rPr>
        <w:t>（一） 县情基本情况</w:t>
      </w:r>
      <w:r>
        <w:tab/>
      </w:r>
      <w:r>
        <w:fldChar w:fldCharType="begin"/>
      </w:r>
      <w:r>
        <w:instrText xml:space="preserve"> PAGEREF _Toc8636 \h </w:instrText>
      </w:r>
      <w:r>
        <w:fldChar w:fldCharType="separate"/>
      </w:r>
      <w:r>
        <w:t>3</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_Toc148 </w:instrText>
      </w:r>
      <w:r>
        <w:rPr>
          <w:rFonts w:hint="eastAsia" w:ascii="宋体" w:hAnsi="宋体" w:eastAsia="宋体" w:cs="宋体"/>
        </w:rPr>
        <w:fldChar w:fldCharType="separate"/>
      </w:r>
      <w:r>
        <w:rPr>
          <w:rFonts w:hint="eastAsia" w:asciiTheme="majorEastAsia" w:hAnsiTheme="majorEastAsia" w:eastAsiaTheme="majorEastAsia" w:cstheme="majorEastAsia"/>
          <w:bCs/>
          <w:kern w:val="0"/>
          <w:szCs w:val="32"/>
        </w:rPr>
        <w:t>（二） 现代（特色）农业情况</w:t>
      </w:r>
      <w:r>
        <w:tab/>
      </w:r>
      <w:r>
        <w:fldChar w:fldCharType="begin"/>
      </w:r>
      <w:r>
        <w:instrText xml:space="preserve"> PAGEREF _Toc148 \h </w:instrText>
      </w:r>
      <w:r>
        <w:fldChar w:fldCharType="separate"/>
      </w:r>
      <w:r>
        <w:t>6</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_Toc20340 </w:instrText>
      </w:r>
      <w:r>
        <w:rPr>
          <w:rFonts w:hint="eastAsia" w:ascii="宋体" w:hAnsi="宋体" w:eastAsia="宋体" w:cs="宋体"/>
        </w:rPr>
        <w:fldChar w:fldCharType="separate"/>
      </w:r>
      <w:r>
        <w:rPr>
          <w:rFonts w:hint="eastAsia" w:asciiTheme="majorEastAsia" w:hAnsiTheme="majorEastAsia" w:eastAsiaTheme="majorEastAsia" w:cstheme="majorEastAsia"/>
          <w:bCs/>
          <w:kern w:val="0"/>
          <w:szCs w:val="32"/>
        </w:rPr>
        <w:t>（三） 县域商业建设摸底情况</w:t>
      </w:r>
      <w:r>
        <w:tab/>
      </w:r>
      <w:r>
        <w:fldChar w:fldCharType="begin"/>
      </w:r>
      <w:r>
        <w:instrText xml:space="preserve"> PAGEREF _Toc20340 \h </w:instrText>
      </w:r>
      <w:r>
        <w:fldChar w:fldCharType="separate"/>
      </w:r>
      <w:r>
        <w:t>7</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_Toc31944 </w:instrText>
      </w:r>
      <w:r>
        <w:rPr>
          <w:rFonts w:hint="eastAsia" w:ascii="宋体" w:hAnsi="宋体" w:eastAsia="宋体" w:cs="宋体"/>
        </w:rPr>
        <w:fldChar w:fldCharType="separate"/>
      </w:r>
      <w:r>
        <w:rPr>
          <w:rFonts w:hint="default" w:ascii="宋体" w:hAnsi="宋体" w:eastAsia="宋体" w:cs="宋体"/>
          <w:bCs/>
          <w:kern w:val="0"/>
          <w:szCs w:val="32"/>
        </w:rPr>
        <w:t xml:space="preserve">1. </w:t>
      </w:r>
      <w:r>
        <w:rPr>
          <w:rFonts w:hint="eastAsia" w:ascii="宋体" w:hAnsi="宋体" w:eastAsia="宋体" w:cs="宋体"/>
          <w:bCs/>
          <w:kern w:val="0"/>
          <w:szCs w:val="32"/>
        </w:rPr>
        <w:t>商业摸底基本情况</w:t>
      </w:r>
      <w:r>
        <w:tab/>
      </w:r>
      <w:r>
        <w:fldChar w:fldCharType="begin"/>
      </w:r>
      <w:r>
        <w:instrText xml:space="preserve"> PAGEREF _Toc31944 \h </w:instrText>
      </w:r>
      <w:r>
        <w:fldChar w:fldCharType="separate"/>
      </w:r>
      <w:r>
        <w:t>7</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_Toc21090 </w:instrText>
      </w:r>
      <w:r>
        <w:rPr>
          <w:rFonts w:hint="eastAsia" w:ascii="宋体" w:hAnsi="宋体" w:eastAsia="宋体" w:cs="宋体"/>
        </w:rPr>
        <w:fldChar w:fldCharType="separate"/>
      </w:r>
      <w:r>
        <w:rPr>
          <w:rFonts w:hint="default" w:ascii="宋体" w:hAnsi="宋体" w:eastAsia="宋体" w:cs="宋体"/>
          <w:bCs/>
          <w:kern w:val="0"/>
          <w:szCs w:val="32"/>
        </w:rPr>
        <w:t xml:space="preserve">2. </w:t>
      </w:r>
      <w:r>
        <w:rPr>
          <w:rFonts w:hint="eastAsia" w:ascii="宋体" w:hAnsi="宋体" w:eastAsia="宋体" w:cs="宋体"/>
          <w:bCs/>
          <w:kern w:val="0"/>
          <w:szCs w:val="32"/>
        </w:rPr>
        <w:t>摸底情况汇总表</w:t>
      </w:r>
      <w:r>
        <w:tab/>
      </w:r>
      <w:r>
        <w:fldChar w:fldCharType="begin"/>
      </w:r>
      <w:r>
        <w:instrText xml:space="preserve"> PAGEREF _Toc21090 \h </w:instrText>
      </w:r>
      <w:r>
        <w:fldChar w:fldCharType="separate"/>
      </w:r>
      <w:r>
        <w:t>8</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_Toc30344 </w:instrText>
      </w:r>
      <w:r>
        <w:rPr>
          <w:rFonts w:hint="eastAsia" w:ascii="宋体" w:hAnsi="宋体" w:eastAsia="宋体" w:cs="宋体"/>
        </w:rPr>
        <w:fldChar w:fldCharType="separate"/>
      </w:r>
      <w:r>
        <w:rPr>
          <w:rFonts w:hint="default" w:ascii="宋体" w:hAnsi="宋体" w:eastAsia="宋体" w:cs="宋体"/>
          <w:bCs/>
          <w:kern w:val="0"/>
          <w:szCs w:val="32"/>
        </w:rPr>
        <w:t xml:space="preserve">3. </w:t>
      </w:r>
      <w:r>
        <w:rPr>
          <w:rFonts w:hint="eastAsia" w:ascii="宋体" w:hAnsi="宋体" w:eastAsia="宋体" w:cs="宋体"/>
          <w:bCs/>
          <w:kern w:val="0"/>
          <w:szCs w:val="32"/>
        </w:rPr>
        <w:t>摸底情况细化情况</w:t>
      </w:r>
      <w:r>
        <w:tab/>
      </w:r>
      <w:r>
        <w:fldChar w:fldCharType="begin"/>
      </w:r>
      <w:r>
        <w:instrText xml:space="preserve"> PAGEREF _Toc30344 \h </w:instrText>
      </w:r>
      <w:r>
        <w:fldChar w:fldCharType="separate"/>
      </w:r>
      <w:r>
        <w:t>10</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_Toc8743 </w:instrText>
      </w:r>
      <w:r>
        <w:rPr>
          <w:rFonts w:hint="eastAsia" w:ascii="宋体" w:hAnsi="宋体" w:eastAsia="宋体" w:cs="宋体"/>
        </w:rPr>
        <w:fldChar w:fldCharType="separate"/>
      </w:r>
      <w:r>
        <w:rPr>
          <w:rFonts w:hint="default" w:ascii="宋体" w:hAnsi="宋体" w:eastAsia="宋体" w:cs="宋体"/>
          <w:bCs/>
          <w:szCs w:val="32"/>
        </w:rPr>
        <w:t xml:space="preserve">(1) </w:t>
      </w:r>
      <w:r>
        <w:rPr>
          <w:rFonts w:hint="eastAsia" w:asciiTheme="majorEastAsia" w:hAnsiTheme="majorEastAsia" w:eastAsiaTheme="majorEastAsia" w:cstheme="majorEastAsia"/>
          <w:bCs/>
          <w:kern w:val="0"/>
          <w:szCs w:val="32"/>
        </w:rPr>
        <w:t>县域龙头商贸流通企业</w:t>
      </w:r>
      <w:r>
        <w:tab/>
      </w:r>
      <w:r>
        <w:fldChar w:fldCharType="begin"/>
      </w:r>
      <w:r>
        <w:instrText xml:space="preserve"> PAGEREF _Toc8743 \h </w:instrText>
      </w:r>
      <w:r>
        <w:fldChar w:fldCharType="separate"/>
      </w:r>
      <w:r>
        <w:t>10</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_Toc582 </w:instrText>
      </w:r>
      <w:r>
        <w:rPr>
          <w:rFonts w:hint="eastAsia" w:ascii="宋体" w:hAnsi="宋体" w:eastAsia="宋体" w:cs="宋体"/>
        </w:rPr>
        <w:fldChar w:fldCharType="separate"/>
      </w:r>
      <w:r>
        <w:rPr>
          <w:rFonts w:hint="default" w:ascii="宋体" w:hAnsi="宋体" w:eastAsia="宋体" w:cs="宋体"/>
          <w:bCs/>
          <w:kern w:val="0"/>
          <w:szCs w:val="32"/>
        </w:rPr>
        <w:t xml:space="preserve">(2) </w:t>
      </w:r>
      <w:r>
        <w:rPr>
          <w:rFonts w:hint="eastAsia" w:asciiTheme="majorEastAsia" w:hAnsiTheme="majorEastAsia" w:eastAsiaTheme="majorEastAsia" w:cstheme="majorEastAsia"/>
          <w:bCs/>
          <w:kern w:val="0"/>
          <w:szCs w:val="32"/>
        </w:rPr>
        <w:t>县城综合商贸服务中心</w:t>
      </w:r>
      <w:r>
        <w:tab/>
      </w:r>
      <w:r>
        <w:fldChar w:fldCharType="begin"/>
      </w:r>
      <w:r>
        <w:instrText xml:space="preserve"> PAGEREF _Toc582 \h </w:instrText>
      </w:r>
      <w:r>
        <w:fldChar w:fldCharType="separate"/>
      </w:r>
      <w:r>
        <w:t>13</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_Toc23629 </w:instrText>
      </w:r>
      <w:r>
        <w:rPr>
          <w:rFonts w:hint="eastAsia" w:ascii="宋体" w:hAnsi="宋体" w:eastAsia="宋体" w:cs="宋体"/>
        </w:rPr>
        <w:fldChar w:fldCharType="separate"/>
      </w:r>
      <w:r>
        <w:rPr>
          <w:rFonts w:hint="default" w:ascii="宋体" w:hAnsi="宋体" w:eastAsia="宋体" w:cs="宋体"/>
          <w:bCs/>
          <w:kern w:val="0"/>
          <w:szCs w:val="32"/>
        </w:rPr>
        <w:t xml:space="preserve">(3) </w:t>
      </w:r>
      <w:r>
        <w:rPr>
          <w:rFonts w:hint="eastAsia" w:asciiTheme="majorEastAsia" w:hAnsiTheme="majorEastAsia" w:eastAsiaTheme="majorEastAsia" w:cstheme="majorEastAsia"/>
          <w:bCs/>
          <w:kern w:val="0"/>
          <w:szCs w:val="32"/>
        </w:rPr>
        <w:t>乡镇商贸中心</w:t>
      </w:r>
      <w:r>
        <w:tab/>
      </w:r>
      <w:r>
        <w:fldChar w:fldCharType="begin"/>
      </w:r>
      <w:r>
        <w:instrText xml:space="preserve"> PAGEREF _Toc23629 \h </w:instrText>
      </w:r>
      <w:r>
        <w:fldChar w:fldCharType="separate"/>
      </w:r>
      <w:r>
        <w:t>14</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_Toc27192 </w:instrText>
      </w:r>
      <w:r>
        <w:rPr>
          <w:rFonts w:hint="eastAsia" w:ascii="宋体" w:hAnsi="宋体" w:eastAsia="宋体" w:cs="宋体"/>
        </w:rPr>
        <w:fldChar w:fldCharType="separate"/>
      </w:r>
      <w:r>
        <w:rPr>
          <w:rFonts w:hint="default" w:ascii="宋体" w:hAnsi="宋体" w:eastAsia="宋体" w:cs="宋体"/>
          <w:bCs/>
          <w:kern w:val="0"/>
          <w:szCs w:val="32"/>
        </w:rPr>
        <w:t xml:space="preserve">(4) </w:t>
      </w:r>
      <w:r>
        <w:rPr>
          <w:rFonts w:hint="eastAsia" w:asciiTheme="majorEastAsia" w:hAnsiTheme="majorEastAsia" w:eastAsiaTheme="majorEastAsia" w:cstheme="majorEastAsia"/>
          <w:bCs/>
          <w:kern w:val="0"/>
          <w:szCs w:val="32"/>
        </w:rPr>
        <w:t>村级便民商店覆盖率</w:t>
      </w:r>
      <w:r>
        <w:tab/>
      </w:r>
      <w:r>
        <w:fldChar w:fldCharType="begin"/>
      </w:r>
      <w:r>
        <w:instrText xml:space="preserve"> PAGEREF _Toc27192 \h </w:instrText>
      </w:r>
      <w:r>
        <w:fldChar w:fldCharType="separate"/>
      </w:r>
      <w:r>
        <w:t>16</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_Toc23825 </w:instrText>
      </w:r>
      <w:r>
        <w:rPr>
          <w:rFonts w:hint="eastAsia" w:ascii="宋体" w:hAnsi="宋体" w:eastAsia="宋体" w:cs="宋体"/>
        </w:rPr>
        <w:fldChar w:fldCharType="separate"/>
      </w:r>
      <w:r>
        <w:rPr>
          <w:rFonts w:hint="default" w:ascii="宋体" w:hAnsi="宋体" w:eastAsia="宋体" w:cs="宋体"/>
          <w:bCs/>
          <w:kern w:val="0"/>
          <w:szCs w:val="32"/>
        </w:rPr>
        <w:t xml:space="preserve">(5) </w:t>
      </w:r>
      <w:r>
        <w:rPr>
          <w:rFonts w:hint="eastAsia" w:asciiTheme="majorEastAsia" w:hAnsiTheme="majorEastAsia" w:eastAsiaTheme="majorEastAsia" w:cstheme="majorEastAsia"/>
          <w:bCs/>
          <w:kern w:val="0"/>
          <w:szCs w:val="32"/>
        </w:rPr>
        <w:t>县级物流配送中心</w:t>
      </w:r>
      <w:r>
        <w:tab/>
      </w:r>
      <w:r>
        <w:fldChar w:fldCharType="begin"/>
      </w:r>
      <w:r>
        <w:instrText xml:space="preserve"> PAGEREF _Toc23825 \h </w:instrText>
      </w:r>
      <w:r>
        <w:fldChar w:fldCharType="separate"/>
      </w:r>
      <w:r>
        <w:t>23</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_Toc8541 </w:instrText>
      </w:r>
      <w:r>
        <w:rPr>
          <w:rFonts w:hint="eastAsia" w:ascii="宋体" w:hAnsi="宋体" w:eastAsia="宋体" w:cs="宋体"/>
        </w:rPr>
        <w:fldChar w:fldCharType="separate"/>
      </w:r>
      <w:r>
        <w:rPr>
          <w:rFonts w:hint="default" w:ascii="宋体" w:hAnsi="宋体" w:eastAsia="宋体" w:cs="宋体"/>
          <w:bCs/>
          <w:kern w:val="0"/>
          <w:szCs w:val="32"/>
        </w:rPr>
        <w:t xml:space="preserve">(6) </w:t>
      </w:r>
      <w:r>
        <w:rPr>
          <w:rFonts w:hint="eastAsia" w:asciiTheme="majorEastAsia" w:hAnsiTheme="majorEastAsia" w:eastAsiaTheme="majorEastAsia" w:cstheme="majorEastAsia"/>
          <w:bCs/>
          <w:kern w:val="0"/>
          <w:szCs w:val="32"/>
        </w:rPr>
        <w:t>快递物流服务站点</w:t>
      </w:r>
      <w:r>
        <w:tab/>
      </w:r>
      <w:r>
        <w:fldChar w:fldCharType="begin"/>
      </w:r>
      <w:r>
        <w:instrText xml:space="preserve"> PAGEREF _Toc8541 \h </w:instrText>
      </w:r>
      <w:r>
        <w:fldChar w:fldCharType="separate"/>
      </w:r>
      <w:r>
        <w:t>24</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_Toc2162 </w:instrText>
      </w:r>
      <w:r>
        <w:rPr>
          <w:rFonts w:hint="eastAsia" w:ascii="宋体" w:hAnsi="宋体" w:eastAsia="宋体" w:cs="宋体"/>
        </w:rPr>
        <w:fldChar w:fldCharType="separate"/>
      </w:r>
      <w:r>
        <w:rPr>
          <w:rFonts w:hint="default" w:ascii="宋体" w:hAnsi="宋体" w:eastAsia="宋体" w:cs="宋体"/>
          <w:bCs/>
          <w:kern w:val="0"/>
          <w:szCs w:val="32"/>
        </w:rPr>
        <w:t xml:space="preserve">(7) </w:t>
      </w:r>
      <w:r>
        <w:rPr>
          <w:rFonts w:hint="eastAsia" w:asciiTheme="majorEastAsia" w:hAnsiTheme="majorEastAsia" w:eastAsiaTheme="majorEastAsia" w:cstheme="majorEastAsia"/>
          <w:bCs/>
          <w:kern w:val="0"/>
          <w:szCs w:val="32"/>
        </w:rPr>
        <w:t>未达到县域商业体系建设标准</w:t>
      </w:r>
      <w:r>
        <w:tab/>
      </w:r>
      <w:r>
        <w:fldChar w:fldCharType="begin"/>
      </w:r>
      <w:r>
        <w:instrText xml:space="preserve"> PAGEREF _Toc2162 \h </w:instrText>
      </w:r>
      <w:r>
        <w:fldChar w:fldCharType="separate"/>
      </w:r>
      <w:r>
        <w:t>25</w:t>
      </w:r>
      <w:r>
        <w:fldChar w:fldCharType="end"/>
      </w:r>
      <w:r>
        <w:rPr>
          <w:rFonts w:hint="eastAsia" w:ascii="宋体" w:hAnsi="宋体" w:eastAsia="宋体" w:cs="宋体"/>
        </w:rPr>
        <w:fldChar w:fldCharType="end"/>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_Toc29864 </w:instrText>
      </w:r>
      <w:r>
        <w:rPr>
          <w:rFonts w:hint="eastAsia" w:ascii="宋体" w:hAnsi="宋体" w:eastAsia="宋体" w:cs="宋体"/>
        </w:rPr>
        <w:fldChar w:fldCharType="separate"/>
      </w:r>
      <w:r>
        <w:rPr>
          <w:rFonts w:hint="eastAsia" w:ascii="黑体" w:hAnsi="黑体" w:eastAsia="黑体" w:cs="黑体"/>
          <w:bCs/>
          <w:szCs w:val="32"/>
        </w:rPr>
        <w:t>二、 目标任务</w:t>
      </w:r>
      <w:r>
        <w:tab/>
      </w:r>
      <w:r>
        <w:fldChar w:fldCharType="begin"/>
      </w:r>
      <w:r>
        <w:instrText xml:space="preserve"> PAGEREF _Toc29864 \h </w:instrText>
      </w:r>
      <w:r>
        <w:fldChar w:fldCharType="separate"/>
      </w:r>
      <w:r>
        <w:t>26</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_Toc9110 </w:instrText>
      </w:r>
      <w:r>
        <w:rPr>
          <w:rFonts w:hint="eastAsia" w:ascii="宋体" w:hAnsi="宋体" w:eastAsia="宋体" w:cs="宋体"/>
        </w:rPr>
        <w:fldChar w:fldCharType="separate"/>
      </w:r>
      <w:r>
        <w:rPr>
          <w:rFonts w:hint="eastAsia" w:asciiTheme="majorEastAsia" w:hAnsiTheme="majorEastAsia" w:eastAsiaTheme="majorEastAsia" w:cstheme="majorEastAsia"/>
          <w:bCs/>
          <w:kern w:val="0"/>
          <w:szCs w:val="32"/>
        </w:rPr>
        <w:t>（一） 总体目标</w:t>
      </w:r>
      <w:r>
        <w:tab/>
      </w:r>
      <w:r>
        <w:fldChar w:fldCharType="begin"/>
      </w:r>
      <w:r>
        <w:instrText xml:space="preserve"> PAGEREF _Toc9110 \h </w:instrText>
      </w:r>
      <w:r>
        <w:fldChar w:fldCharType="separate"/>
      </w:r>
      <w:r>
        <w:t>26</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_Toc29772 </w:instrText>
      </w:r>
      <w:r>
        <w:rPr>
          <w:rFonts w:hint="eastAsia" w:ascii="宋体" w:hAnsi="宋体" w:eastAsia="宋体" w:cs="宋体"/>
        </w:rPr>
        <w:fldChar w:fldCharType="separate"/>
      </w:r>
      <w:r>
        <w:rPr>
          <w:rFonts w:hint="eastAsia" w:asciiTheme="majorEastAsia" w:hAnsiTheme="majorEastAsia" w:eastAsiaTheme="majorEastAsia" w:cstheme="majorEastAsia"/>
          <w:bCs/>
          <w:kern w:val="0"/>
          <w:szCs w:val="32"/>
        </w:rPr>
        <w:t>（二） 年度分解任务</w:t>
      </w:r>
      <w:r>
        <w:tab/>
      </w:r>
      <w:r>
        <w:fldChar w:fldCharType="begin"/>
      </w:r>
      <w:r>
        <w:instrText xml:space="preserve"> PAGEREF _Toc29772 \h </w:instrText>
      </w:r>
      <w:r>
        <w:fldChar w:fldCharType="separate"/>
      </w:r>
      <w:r>
        <w:t>29</w:t>
      </w:r>
      <w:r>
        <w:fldChar w:fldCharType="end"/>
      </w:r>
      <w:r>
        <w:rPr>
          <w:rFonts w:hint="eastAsia" w:ascii="宋体" w:hAnsi="宋体" w:eastAsia="宋体" w:cs="宋体"/>
        </w:rPr>
        <w:fldChar w:fldCharType="end"/>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_Toc285 </w:instrText>
      </w:r>
      <w:r>
        <w:rPr>
          <w:rFonts w:hint="eastAsia" w:ascii="宋体" w:hAnsi="宋体" w:eastAsia="宋体" w:cs="宋体"/>
        </w:rPr>
        <w:fldChar w:fldCharType="separate"/>
      </w:r>
      <w:r>
        <w:rPr>
          <w:rFonts w:hint="eastAsia" w:ascii="黑体" w:hAnsi="黑体" w:eastAsia="黑体" w:cs="黑体"/>
          <w:bCs/>
          <w:szCs w:val="32"/>
        </w:rPr>
        <w:t>三、 重点工作</w:t>
      </w:r>
      <w:r>
        <w:tab/>
      </w:r>
      <w:r>
        <w:fldChar w:fldCharType="begin"/>
      </w:r>
      <w:r>
        <w:instrText xml:space="preserve"> PAGEREF _Toc285 \h </w:instrText>
      </w:r>
      <w:r>
        <w:fldChar w:fldCharType="separate"/>
      </w:r>
      <w:r>
        <w:t>31</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_Toc22402 </w:instrText>
      </w:r>
      <w:r>
        <w:rPr>
          <w:rFonts w:hint="eastAsia" w:ascii="宋体" w:hAnsi="宋体" w:eastAsia="宋体" w:cs="宋体"/>
        </w:rPr>
        <w:fldChar w:fldCharType="separate"/>
      </w:r>
      <w:r>
        <w:rPr>
          <w:rFonts w:hint="eastAsia" w:ascii="宋体" w:hAnsi="宋体" w:eastAsia="宋体" w:cs="宋体"/>
          <w:bCs/>
          <w:kern w:val="0"/>
          <w:szCs w:val="32"/>
        </w:rPr>
        <w:t>（一） 补齐县域商业基础设施短板</w:t>
      </w:r>
      <w:r>
        <w:tab/>
      </w:r>
      <w:r>
        <w:fldChar w:fldCharType="begin"/>
      </w:r>
      <w:r>
        <w:instrText xml:space="preserve"> PAGEREF _Toc22402 \h </w:instrText>
      </w:r>
      <w:r>
        <w:fldChar w:fldCharType="separate"/>
      </w:r>
      <w:r>
        <w:t>31</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_Toc12475 </w:instrText>
      </w:r>
      <w:r>
        <w:rPr>
          <w:rFonts w:hint="eastAsia" w:ascii="宋体" w:hAnsi="宋体" w:eastAsia="宋体" w:cs="宋体"/>
        </w:rPr>
        <w:fldChar w:fldCharType="separate"/>
      </w:r>
      <w:r>
        <w:rPr>
          <w:rFonts w:hint="eastAsia" w:ascii="宋体" w:hAnsi="宋体" w:eastAsia="宋体" w:cs="宋体"/>
          <w:bCs/>
          <w:kern w:val="0"/>
          <w:szCs w:val="32"/>
        </w:rPr>
        <w:t>（二） 完善县乡村三级物流配送体系</w:t>
      </w:r>
      <w:r>
        <w:tab/>
      </w:r>
      <w:r>
        <w:fldChar w:fldCharType="begin"/>
      </w:r>
      <w:r>
        <w:instrText xml:space="preserve"> PAGEREF _Toc12475 \h </w:instrText>
      </w:r>
      <w:r>
        <w:fldChar w:fldCharType="separate"/>
      </w:r>
      <w:r>
        <w:t>31</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_Toc22280 </w:instrText>
      </w:r>
      <w:r>
        <w:rPr>
          <w:rFonts w:hint="eastAsia" w:ascii="宋体" w:hAnsi="宋体" w:eastAsia="宋体" w:cs="宋体"/>
        </w:rPr>
        <w:fldChar w:fldCharType="separate"/>
      </w:r>
      <w:r>
        <w:rPr>
          <w:rFonts w:hint="eastAsia" w:ascii="宋体" w:hAnsi="宋体" w:eastAsia="宋体" w:cs="宋体"/>
          <w:bCs/>
          <w:kern w:val="0"/>
          <w:szCs w:val="32"/>
        </w:rPr>
        <w:t>（三） 改善优化县域消费渠道</w:t>
      </w:r>
      <w:r>
        <w:tab/>
      </w:r>
      <w:r>
        <w:fldChar w:fldCharType="begin"/>
      </w:r>
      <w:r>
        <w:instrText xml:space="preserve"> PAGEREF _Toc22280 \h </w:instrText>
      </w:r>
      <w:r>
        <w:fldChar w:fldCharType="separate"/>
      </w:r>
      <w:r>
        <w:t>31</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_Toc14506 </w:instrText>
      </w:r>
      <w:r>
        <w:rPr>
          <w:rFonts w:hint="eastAsia" w:ascii="宋体" w:hAnsi="宋体" w:eastAsia="宋体" w:cs="宋体"/>
        </w:rPr>
        <w:fldChar w:fldCharType="separate"/>
      </w:r>
      <w:r>
        <w:rPr>
          <w:rFonts w:hint="eastAsia" w:ascii="宋体" w:hAnsi="宋体" w:eastAsia="宋体" w:cs="宋体"/>
          <w:bCs/>
          <w:kern w:val="0"/>
          <w:szCs w:val="32"/>
        </w:rPr>
        <w:t>（四） 增强农村产品上行动能</w:t>
      </w:r>
      <w:r>
        <w:tab/>
      </w:r>
      <w:r>
        <w:fldChar w:fldCharType="begin"/>
      </w:r>
      <w:r>
        <w:instrText xml:space="preserve"> PAGEREF _Toc14506 \h </w:instrText>
      </w:r>
      <w:r>
        <w:fldChar w:fldCharType="separate"/>
      </w:r>
      <w:r>
        <w:t>32</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_Toc5850 </w:instrText>
      </w:r>
      <w:r>
        <w:rPr>
          <w:rFonts w:hint="eastAsia" w:ascii="宋体" w:hAnsi="宋体" w:eastAsia="宋体" w:cs="宋体"/>
        </w:rPr>
        <w:fldChar w:fldCharType="separate"/>
      </w:r>
      <w:r>
        <w:rPr>
          <w:rFonts w:hint="eastAsia" w:ascii="宋体" w:hAnsi="宋体" w:eastAsia="宋体" w:cs="宋体"/>
          <w:bCs/>
          <w:kern w:val="0"/>
          <w:szCs w:val="32"/>
        </w:rPr>
        <w:t>（五） 提高生活服务供给质量</w:t>
      </w:r>
      <w:r>
        <w:tab/>
      </w:r>
      <w:r>
        <w:fldChar w:fldCharType="begin"/>
      </w:r>
      <w:r>
        <w:instrText xml:space="preserve"> PAGEREF _Toc5850 \h </w:instrText>
      </w:r>
      <w:r>
        <w:fldChar w:fldCharType="separate"/>
      </w:r>
      <w:r>
        <w:t>32</w:t>
      </w:r>
      <w:r>
        <w:fldChar w:fldCharType="end"/>
      </w:r>
      <w:r>
        <w:rPr>
          <w:rFonts w:hint="eastAsia" w:ascii="宋体" w:hAnsi="宋体" w:eastAsia="宋体" w:cs="宋体"/>
        </w:rPr>
        <w:fldChar w:fldCharType="end"/>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_Toc12532 </w:instrText>
      </w:r>
      <w:r>
        <w:rPr>
          <w:rFonts w:hint="eastAsia" w:ascii="宋体" w:hAnsi="宋体" w:eastAsia="宋体" w:cs="宋体"/>
        </w:rPr>
        <w:fldChar w:fldCharType="separate"/>
      </w:r>
      <w:r>
        <w:rPr>
          <w:rFonts w:hint="eastAsia" w:ascii="黑体" w:hAnsi="黑体" w:eastAsia="黑体" w:cs="黑体"/>
          <w:bCs/>
          <w:szCs w:val="32"/>
        </w:rPr>
        <w:t>四、 项目计划</w:t>
      </w:r>
      <w:r>
        <w:tab/>
      </w:r>
      <w:r>
        <w:fldChar w:fldCharType="begin"/>
      </w:r>
      <w:r>
        <w:instrText xml:space="preserve"> PAGEREF _Toc12532 \h </w:instrText>
      </w:r>
      <w:r>
        <w:fldChar w:fldCharType="separate"/>
      </w:r>
      <w:r>
        <w:t>33</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_Toc19156 </w:instrText>
      </w:r>
      <w:r>
        <w:rPr>
          <w:rFonts w:hint="eastAsia" w:ascii="宋体" w:hAnsi="宋体" w:eastAsia="宋体" w:cs="宋体"/>
        </w:rPr>
        <w:fldChar w:fldCharType="separate"/>
      </w:r>
      <w:r>
        <w:rPr>
          <w:rFonts w:hint="eastAsia" w:ascii="宋体" w:hAnsi="宋体" w:eastAsia="宋体" w:cs="宋体"/>
          <w:bCs/>
          <w:kern w:val="0"/>
          <w:szCs w:val="32"/>
        </w:rPr>
        <w:t>（一） 项目遴选过程</w:t>
      </w:r>
      <w:r>
        <w:tab/>
      </w:r>
      <w:r>
        <w:fldChar w:fldCharType="begin"/>
      </w:r>
      <w:r>
        <w:instrText xml:space="preserve"> PAGEREF _Toc19156 \h </w:instrText>
      </w:r>
      <w:r>
        <w:fldChar w:fldCharType="separate"/>
      </w:r>
      <w:r>
        <w:t>33</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_Toc29214 </w:instrText>
      </w:r>
      <w:r>
        <w:rPr>
          <w:rFonts w:hint="eastAsia" w:ascii="宋体" w:hAnsi="宋体" w:eastAsia="宋体" w:cs="宋体"/>
        </w:rPr>
        <w:fldChar w:fldCharType="separate"/>
      </w:r>
      <w:r>
        <w:rPr>
          <w:rFonts w:hint="eastAsia" w:ascii="宋体" w:hAnsi="宋体" w:eastAsia="宋体" w:cs="宋体"/>
          <w:bCs/>
          <w:kern w:val="0"/>
          <w:szCs w:val="32"/>
        </w:rPr>
        <w:t>（二） 拟支持项目情况</w:t>
      </w:r>
      <w:r>
        <w:tab/>
      </w:r>
      <w:r>
        <w:fldChar w:fldCharType="begin"/>
      </w:r>
      <w:r>
        <w:instrText xml:space="preserve"> PAGEREF _Toc29214 \h </w:instrText>
      </w:r>
      <w:r>
        <w:fldChar w:fldCharType="separate"/>
      </w:r>
      <w:r>
        <w:t>35</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_Toc14868 </w:instrText>
      </w:r>
      <w:r>
        <w:rPr>
          <w:rFonts w:hint="eastAsia" w:ascii="宋体" w:hAnsi="宋体" w:eastAsia="宋体" w:cs="宋体"/>
        </w:rPr>
        <w:fldChar w:fldCharType="separate"/>
      </w:r>
      <w:r>
        <w:rPr>
          <w:rFonts w:hint="default" w:ascii="宋体" w:hAnsi="宋体" w:eastAsia="宋体" w:cs="宋体"/>
          <w:bCs/>
          <w:kern w:val="0"/>
          <w:szCs w:val="32"/>
        </w:rPr>
        <w:t xml:space="preserve">1. </w:t>
      </w:r>
      <w:r>
        <w:rPr>
          <w:rFonts w:hint="eastAsia" w:asciiTheme="majorEastAsia" w:hAnsiTheme="majorEastAsia" w:eastAsiaTheme="majorEastAsia" w:cstheme="majorEastAsia"/>
          <w:bCs/>
          <w:kern w:val="0"/>
          <w:szCs w:val="32"/>
        </w:rPr>
        <w:t>2022年县域商业建设项目清单</w:t>
      </w:r>
      <w:r>
        <w:rPr>
          <w:rFonts w:hint="eastAsia" w:ascii="宋体" w:hAnsi="宋体" w:eastAsia="宋体" w:cs="宋体"/>
          <w:bCs/>
          <w:kern w:val="0"/>
          <w:szCs w:val="32"/>
        </w:rPr>
        <w:t>统计表</w:t>
      </w:r>
      <w:r>
        <w:tab/>
      </w:r>
      <w:r>
        <w:fldChar w:fldCharType="begin"/>
      </w:r>
      <w:r>
        <w:instrText xml:space="preserve"> PAGEREF _Toc14868 \h </w:instrText>
      </w:r>
      <w:r>
        <w:fldChar w:fldCharType="separate"/>
      </w:r>
      <w:r>
        <w:t>36</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_Toc22088 </w:instrText>
      </w:r>
      <w:r>
        <w:rPr>
          <w:rFonts w:hint="eastAsia" w:ascii="宋体" w:hAnsi="宋体" w:eastAsia="宋体" w:cs="宋体"/>
        </w:rPr>
        <w:fldChar w:fldCharType="separate"/>
      </w:r>
      <w:r>
        <w:rPr>
          <w:rFonts w:hint="default" w:asciiTheme="majorEastAsia" w:hAnsiTheme="majorEastAsia" w:eastAsiaTheme="majorEastAsia" w:cstheme="majorEastAsia"/>
          <w:bCs/>
          <w:kern w:val="0"/>
          <w:szCs w:val="32"/>
        </w:rPr>
        <w:t xml:space="preserve">2. </w:t>
      </w:r>
      <w:r>
        <w:rPr>
          <w:rFonts w:hint="eastAsia" w:asciiTheme="majorEastAsia" w:hAnsiTheme="majorEastAsia" w:eastAsiaTheme="majorEastAsia" w:cstheme="majorEastAsia"/>
          <w:bCs/>
          <w:kern w:val="0"/>
          <w:szCs w:val="32"/>
        </w:rPr>
        <w:t>2022年县域商业建设项目清单统计图</w:t>
      </w:r>
      <w:r>
        <w:tab/>
      </w:r>
      <w:r>
        <w:fldChar w:fldCharType="begin"/>
      </w:r>
      <w:r>
        <w:instrText xml:space="preserve"> PAGEREF _Toc22088 \h </w:instrText>
      </w:r>
      <w:r>
        <w:fldChar w:fldCharType="separate"/>
      </w:r>
      <w:r>
        <w:t>37</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_Toc387 </w:instrText>
      </w:r>
      <w:r>
        <w:rPr>
          <w:rFonts w:hint="eastAsia" w:ascii="宋体" w:hAnsi="宋体" w:eastAsia="宋体" w:cs="宋体"/>
        </w:rPr>
        <w:fldChar w:fldCharType="separate"/>
      </w:r>
      <w:r>
        <w:rPr>
          <w:rFonts w:hint="eastAsia" w:ascii="宋体" w:hAnsi="宋体" w:eastAsia="宋体" w:cs="宋体"/>
          <w:bCs/>
          <w:kern w:val="0"/>
          <w:szCs w:val="32"/>
          <w:lang w:val="en-US" w:eastAsia="zh-CN" w:bidi="ar"/>
        </w:rPr>
        <w:t>（三） 项目建设简介</w:t>
      </w:r>
      <w:r>
        <w:tab/>
      </w:r>
      <w:r>
        <w:fldChar w:fldCharType="begin"/>
      </w:r>
      <w:r>
        <w:instrText xml:space="preserve"> PAGEREF _Toc387 \h </w:instrText>
      </w:r>
      <w:r>
        <w:fldChar w:fldCharType="separate"/>
      </w:r>
      <w:r>
        <w:t>38</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_Toc7931 </w:instrText>
      </w:r>
      <w:r>
        <w:rPr>
          <w:rFonts w:hint="eastAsia" w:ascii="宋体" w:hAnsi="宋体" w:eastAsia="宋体" w:cs="宋体"/>
        </w:rPr>
        <w:fldChar w:fldCharType="separate"/>
      </w:r>
      <w:r>
        <w:rPr>
          <w:rFonts w:hint="default" w:asciiTheme="majorEastAsia" w:hAnsiTheme="majorEastAsia" w:eastAsiaTheme="majorEastAsia" w:cstheme="majorEastAsia"/>
          <w:bCs/>
          <w:i w:val="0"/>
          <w:iCs w:val="0"/>
          <w:kern w:val="0"/>
          <w:szCs w:val="32"/>
          <w:lang w:val="en-US" w:eastAsia="zh-CN" w:bidi="ar"/>
        </w:rPr>
        <w:t xml:space="preserve">1. </w:t>
      </w:r>
      <w:r>
        <w:rPr>
          <w:rFonts w:hint="eastAsia" w:asciiTheme="majorEastAsia" w:hAnsiTheme="majorEastAsia" w:eastAsiaTheme="majorEastAsia" w:cstheme="majorEastAsia"/>
          <w:bCs/>
          <w:i w:val="0"/>
          <w:iCs w:val="0"/>
          <w:kern w:val="0"/>
          <w:szCs w:val="32"/>
          <w:lang w:val="en-US" w:eastAsia="zh-CN" w:bidi="ar"/>
        </w:rPr>
        <w:t>县域商业网点</w:t>
      </w:r>
      <w:r>
        <w:tab/>
      </w:r>
      <w:r>
        <w:fldChar w:fldCharType="begin"/>
      </w:r>
      <w:r>
        <w:instrText xml:space="preserve"> PAGEREF _Toc7931 \h </w:instrText>
      </w:r>
      <w:r>
        <w:fldChar w:fldCharType="separate"/>
      </w:r>
      <w:r>
        <w:t>38</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_Toc19723 </w:instrText>
      </w:r>
      <w:r>
        <w:rPr>
          <w:rFonts w:hint="eastAsia" w:ascii="宋体" w:hAnsi="宋体" w:eastAsia="宋体" w:cs="宋体"/>
        </w:rPr>
        <w:fldChar w:fldCharType="separate"/>
      </w:r>
      <w:r>
        <w:rPr>
          <w:rFonts w:hint="default" w:ascii="宋体" w:hAnsi="宋体" w:eastAsia="宋体" w:cs="宋体"/>
          <w:bCs/>
          <w:kern w:val="0"/>
          <w:szCs w:val="32"/>
          <w:lang w:val="en-US" w:eastAsia="zh-CN" w:bidi="ar"/>
        </w:rPr>
        <w:t>(1) 揭乐</w:t>
      </w:r>
      <w:r>
        <w:rPr>
          <w:rFonts w:hint="eastAsia" w:ascii="宋体" w:hAnsi="宋体" w:eastAsia="宋体" w:cs="宋体"/>
          <w:bCs/>
          <w:kern w:val="0"/>
          <w:szCs w:val="32"/>
          <w:lang w:val="en-US" w:eastAsia="zh-CN" w:bidi="ar"/>
        </w:rPr>
        <w:t>乡</w:t>
      </w:r>
      <w:r>
        <w:rPr>
          <w:rFonts w:hint="default" w:ascii="宋体" w:hAnsi="宋体" w:eastAsia="宋体" w:cs="宋体"/>
          <w:bCs/>
          <w:kern w:val="0"/>
          <w:szCs w:val="32"/>
          <w:lang w:val="en-US" w:eastAsia="zh-CN" w:bidi="ar"/>
        </w:rPr>
        <w:t>旅游购物中心</w:t>
      </w:r>
      <w:r>
        <w:rPr>
          <w:rFonts w:hint="eastAsia" w:ascii="宋体" w:hAnsi="宋体" w:eastAsia="宋体" w:cs="宋体"/>
          <w:bCs/>
          <w:kern w:val="0"/>
          <w:szCs w:val="32"/>
          <w:lang w:val="en-US" w:eastAsia="zh-CN" w:bidi="ar"/>
        </w:rPr>
        <w:t>新建项目</w:t>
      </w:r>
      <w:r>
        <w:tab/>
      </w:r>
      <w:r>
        <w:fldChar w:fldCharType="begin"/>
      </w:r>
      <w:r>
        <w:instrText xml:space="preserve"> PAGEREF _Toc19723 \h </w:instrText>
      </w:r>
      <w:r>
        <w:fldChar w:fldCharType="separate"/>
      </w:r>
      <w:r>
        <w:t>38</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_Toc17317 </w:instrText>
      </w:r>
      <w:r>
        <w:rPr>
          <w:rFonts w:hint="eastAsia" w:ascii="宋体" w:hAnsi="宋体" w:eastAsia="宋体" w:cs="宋体"/>
        </w:rPr>
        <w:fldChar w:fldCharType="separate"/>
      </w:r>
      <w:r>
        <w:rPr>
          <w:rFonts w:hint="default" w:asciiTheme="majorEastAsia" w:hAnsiTheme="majorEastAsia" w:eastAsiaTheme="majorEastAsia" w:cstheme="majorEastAsia"/>
          <w:bCs/>
          <w:i w:val="0"/>
          <w:iCs w:val="0"/>
          <w:kern w:val="0"/>
          <w:szCs w:val="32"/>
          <w:lang w:val="en-US" w:eastAsia="zh-CN" w:bidi="ar"/>
        </w:rPr>
        <w:t xml:space="preserve">2. </w:t>
      </w:r>
      <w:r>
        <w:rPr>
          <w:rFonts w:hint="eastAsia" w:asciiTheme="majorEastAsia" w:hAnsiTheme="majorEastAsia" w:eastAsiaTheme="majorEastAsia" w:cstheme="majorEastAsia"/>
          <w:bCs/>
          <w:i w:val="0"/>
          <w:iCs w:val="0"/>
          <w:kern w:val="0"/>
          <w:szCs w:val="32"/>
          <w:lang w:val="en-US" w:eastAsia="zh-CN" w:bidi="ar"/>
        </w:rPr>
        <w:t>县域物流网络</w:t>
      </w:r>
      <w:r>
        <w:tab/>
      </w:r>
      <w:r>
        <w:fldChar w:fldCharType="begin"/>
      </w:r>
      <w:r>
        <w:instrText xml:space="preserve"> PAGEREF _Toc17317 \h </w:instrText>
      </w:r>
      <w:r>
        <w:fldChar w:fldCharType="separate"/>
      </w:r>
      <w:r>
        <w:t>38</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_Toc24809 </w:instrText>
      </w:r>
      <w:r>
        <w:rPr>
          <w:rFonts w:hint="eastAsia" w:ascii="宋体" w:hAnsi="宋体" w:eastAsia="宋体" w:cs="宋体"/>
        </w:rPr>
        <w:fldChar w:fldCharType="separate"/>
      </w:r>
      <w:r>
        <w:rPr>
          <w:rFonts w:hint="default" w:asciiTheme="majorEastAsia" w:hAnsiTheme="majorEastAsia" w:eastAsiaTheme="majorEastAsia" w:cstheme="majorEastAsia"/>
          <w:bCs/>
          <w:i w:val="0"/>
          <w:iCs w:val="0"/>
          <w:kern w:val="0"/>
          <w:szCs w:val="32"/>
          <w:lang w:val="en-US" w:eastAsia="zh-CN" w:bidi="ar"/>
        </w:rPr>
        <w:t xml:space="preserve">3. </w:t>
      </w:r>
      <w:r>
        <w:rPr>
          <w:rFonts w:hint="eastAsia" w:asciiTheme="majorEastAsia" w:hAnsiTheme="majorEastAsia" w:eastAsiaTheme="majorEastAsia" w:cstheme="majorEastAsia"/>
          <w:bCs/>
          <w:i w:val="0"/>
          <w:iCs w:val="0"/>
          <w:kern w:val="0"/>
          <w:szCs w:val="32"/>
          <w:lang w:val="en-US" w:eastAsia="zh-CN" w:bidi="ar"/>
        </w:rPr>
        <w:t>县域流通网络</w:t>
      </w:r>
      <w:r>
        <w:tab/>
      </w:r>
      <w:r>
        <w:fldChar w:fldCharType="begin"/>
      </w:r>
      <w:r>
        <w:instrText xml:space="preserve"> PAGEREF _Toc24809 \h </w:instrText>
      </w:r>
      <w:r>
        <w:fldChar w:fldCharType="separate"/>
      </w:r>
      <w:r>
        <w:t>38</w:t>
      </w:r>
      <w:r>
        <w:fldChar w:fldCharType="end"/>
      </w:r>
      <w:r>
        <w:rPr>
          <w:rFonts w:hint="eastAsia" w:ascii="宋体" w:hAnsi="宋体" w:eastAsia="宋体" w:cs="宋体"/>
        </w:rPr>
        <w:fldChar w:fldCharType="end"/>
      </w:r>
    </w:p>
    <w:p>
      <w:pPr>
        <w:pStyle w:val="9"/>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_Toc15256 </w:instrText>
      </w:r>
      <w:r>
        <w:rPr>
          <w:rFonts w:hint="eastAsia" w:ascii="宋体" w:hAnsi="宋体" w:eastAsia="宋体" w:cs="宋体"/>
        </w:rPr>
        <w:fldChar w:fldCharType="separate"/>
      </w:r>
      <w:r>
        <w:rPr>
          <w:rFonts w:hint="default" w:asciiTheme="majorEastAsia" w:hAnsiTheme="majorEastAsia" w:eastAsiaTheme="majorEastAsia" w:cstheme="majorEastAsia"/>
          <w:bCs/>
          <w:i w:val="0"/>
          <w:iCs w:val="0"/>
          <w:kern w:val="0"/>
          <w:szCs w:val="32"/>
          <w:lang w:val="en-US" w:eastAsia="zh-CN" w:bidi="ar"/>
        </w:rPr>
        <w:t xml:space="preserve">4. </w:t>
      </w:r>
      <w:r>
        <w:rPr>
          <w:rFonts w:hint="eastAsia" w:asciiTheme="majorEastAsia" w:hAnsiTheme="majorEastAsia" w:eastAsiaTheme="majorEastAsia" w:cstheme="majorEastAsia"/>
          <w:bCs/>
          <w:i w:val="0"/>
          <w:iCs w:val="0"/>
          <w:kern w:val="0"/>
          <w:szCs w:val="32"/>
          <w:lang w:val="en-US" w:eastAsia="zh-CN" w:bidi="ar"/>
        </w:rPr>
        <w:t>县域产业发展</w:t>
      </w:r>
      <w:r>
        <w:tab/>
      </w:r>
      <w:r>
        <w:fldChar w:fldCharType="begin"/>
      </w:r>
      <w:r>
        <w:instrText xml:space="preserve"> PAGEREF _Toc15256 \h </w:instrText>
      </w:r>
      <w:r>
        <w:fldChar w:fldCharType="separate"/>
      </w:r>
      <w:r>
        <w:t>38</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_Toc13066 </w:instrText>
      </w:r>
      <w:r>
        <w:rPr>
          <w:rFonts w:hint="eastAsia" w:ascii="宋体" w:hAnsi="宋体" w:eastAsia="宋体" w:cs="宋体"/>
        </w:rPr>
        <w:fldChar w:fldCharType="separate"/>
      </w:r>
      <w:r>
        <w:rPr>
          <w:rFonts w:hint="default" w:ascii="宋体" w:hAnsi="宋体" w:eastAsia="宋体" w:cs="宋体"/>
          <w:bCs/>
          <w:kern w:val="0"/>
          <w:szCs w:val="32"/>
          <w:lang w:val="en-US" w:eastAsia="zh-CN" w:bidi="ar"/>
        </w:rPr>
        <w:t xml:space="preserve">(1) </w:t>
      </w:r>
      <w:r>
        <w:rPr>
          <w:rFonts w:hint="eastAsia" w:ascii="宋体" w:hAnsi="宋体" w:eastAsia="宋体" w:cs="宋体"/>
          <w:bCs/>
          <w:kern w:val="0"/>
          <w:szCs w:val="32"/>
          <w:lang w:val="en-US" w:eastAsia="zh-CN" w:bidi="ar"/>
        </w:rPr>
        <w:t>连城县广大食品厂储存农产品冻库新建项目</w:t>
      </w:r>
      <w:r>
        <w:tab/>
      </w:r>
      <w:r>
        <w:fldChar w:fldCharType="begin"/>
      </w:r>
      <w:r>
        <w:instrText xml:space="preserve"> PAGEREF _Toc13066 \h </w:instrText>
      </w:r>
      <w:r>
        <w:fldChar w:fldCharType="separate"/>
      </w:r>
      <w:r>
        <w:t>39</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_Toc6502 </w:instrText>
      </w:r>
      <w:r>
        <w:rPr>
          <w:rFonts w:hint="eastAsia" w:ascii="宋体" w:hAnsi="宋体" w:eastAsia="宋体" w:cs="宋体"/>
        </w:rPr>
        <w:fldChar w:fldCharType="separate"/>
      </w:r>
      <w:r>
        <w:rPr>
          <w:rFonts w:hint="default" w:ascii="宋体" w:hAnsi="宋体" w:eastAsia="宋体" w:cs="宋体"/>
          <w:bCs/>
          <w:kern w:val="0"/>
          <w:szCs w:val="32"/>
          <w:lang w:val="en-US" w:eastAsia="zh-CN" w:bidi="ar"/>
        </w:rPr>
        <w:t xml:space="preserve">(2) </w:t>
      </w:r>
      <w:r>
        <w:rPr>
          <w:rFonts w:hint="eastAsia" w:ascii="宋体" w:hAnsi="宋体" w:eastAsia="宋体" w:cs="宋体"/>
          <w:bCs/>
          <w:kern w:val="0"/>
          <w:szCs w:val="32"/>
          <w:lang w:val="en-US" w:eastAsia="zh-CN" w:bidi="ar"/>
        </w:rPr>
        <w:t>福建金永润食品有限公司冷藏库新建项目</w:t>
      </w:r>
      <w:r>
        <w:tab/>
      </w:r>
      <w:r>
        <w:fldChar w:fldCharType="begin"/>
      </w:r>
      <w:r>
        <w:instrText xml:space="preserve"> PAGEREF _Toc6502 \h </w:instrText>
      </w:r>
      <w:r>
        <w:fldChar w:fldCharType="separate"/>
      </w:r>
      <w:r>
        <w:t>39</w:t>
      </w:r>
      <w:r>
        <w:fldChar w:fldCharType="end"/>
      </w:r>
      <w:r>
        <w:rPr>
          <w:rFonts w:hint="eastAsia" w:ascii="宋体" w:hAnsi="宋体" w:eastAsia="宋体" w:cs="宋体"/>
        </w:rPr>
        <w:fldChar w:fldCharType="end"/>
      </w:r>
    </w:p>
    <w:p>
      <w:pPr>
        <w:pStyle w:val="15"/>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_Toc5803 </w:instrText>
      </w:r>
      <w:r>
        <w:rPr>
          <w:rFonts w:hint="eastAsia" w:ascii="宋体" w:hAnsi="宋体" w:eastAsia="宋体" w:cs="宋体"/>
        </w:rPr>
        <w:fldChar w:fldCharType="separate"/>
      </w:r>
      <w:r>
        <w:rPr>
          <w:rFonts w:hint="default" w:ascii="宋体" w:hAnsi="宋体" w:eastAsia="宋体" w:cs="宋体"/>
          <w:bCs/>
          <w:kern w:val="0"/>
          <w:szCs w:val="32"/>
          <w:lang w:val="en-US" w:eastAsia="zh-CN" w:bidi="ar"/>
        </w:rPr>
        <w:t xml:space="preserve">(3) </w:t>
      </w:r>
      <w:r>
        <w:rPr>
          <w:rFonts w:hint="eastAsia" w:ascii="宋体" w:hAnsi="宋体" w:eastAsia="宋体" w:cs="宋体"/>
          <w:bCs/>
          <w:kern w:val="0"/>
          <w:szCs w:val="32"/>
          <w:lang w:val="en-US" w:eastAsia="zh-CN" w:bidi="ar"/>
        </w:rPr>
        <w:t>直播（跨境）电商生态园展示选品中心新建项目</w:t>
      </w:r>
      <w:r>
        <w:tab/>
      </w:r>
      <w:r>
        <w:fldChar w:fldCharType="begin"/>
      </w:r>
      <w:r>
        <w:instrText xml:space="preserve"> PAGEREF _Toc5803 \h </w:instrText>
      </w:r>
      <w:r>
        <w:fldChar w:fldCharType="separate"/>
      </w:r>
      <w:r>
        <w:t>39</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_Toc2693 </w:instrText>
      </w:r>
      <w:r>
        <w:rPr>
          <w:rFonts w:hint="eastAsia" w:ascii="宋体" w:hAnsi="宋体" w:eastAsia="宋体" w:cs="宋体"/>
        </w:rPr>
        <w:fldChar w:fldCharType="separate"/>
      </w:r>
      <w:r>
        <w:rPr>
          <w:rFonts w:hint="eastAsia" w:ascii="宋体" w:hAnsi="宋体" w:eastAsia="宋体" w:cs="宋体"/>
          <w:bCs/>
          <w:kern w:val="0"/>
          <w:szCs w:val="32"/>
        </w:rPr>
        <w:t>（四） 延续性项目说明</w:t>
      </w:r>
      <w:r>
        <w:tab/>
      </w:r>
      <w:r>
        <w:fldChar w:fldCharType="begin"/>
      </w:r>
      <w:r>
        <w:instrText xml:space="preserve"> PAGEREF _Toc2693 \h </w:instrText>
      </w:r>
      <w:r>
        <w:fldChar w:fldCharType="separate"/>
      </w:r>
      <w:r>
        <w:t>40</w:t>
      </w:r>
      <w:r>
        <w:fldChar w:fldCharType="end"/>
      </w:r>
      <w:r>
        <w:rPr>
          <w:rFonts w:hint="eastAsia" w:ascii="宋体" w:hAnsi="宋体" w:eastAsia="宋体" w:cs="宋体"/>
        </w:rPr>
        <w:fldChar w:fldCharType="end"/>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_Toc13800 </w:instrText>
      </w:r>
      <w:r>
        <w:rPr>
          <w:rFonts w:hint="eastAsia" w:ascii="宋体" w:hAnsi="宋体" w:eastAsia="宋体" w:cs="宋体"/>
        </w:rPr>
        <w:fldChar w:fldCharType="separate"/>
      </w:r>
      <w:r>
        <w:rPr>
          <w:rFonts w:hint="eastAsia" w:ascii="黑体" w:hAnsi="黑体" w:eastAsia="黑体" w:cs="黑体"/>
          <w:bCs/>
          <w:szCs w:val="32"/>
        </w:rPr>
        <w:t>五、 保障机制</w:t>
      </w:r>
      <w:r>
        <w:tab/>
      </w:r>
      <w:r>
        <w:fldChar w:fldCharType="begin"/>
      </w:r>
      <w:r>
        <w:instrText xml:space="preserve"> PAGEREF _Toc13800 \h </w:instrText>
      </w:r>
      <w:r>
        <w:fldChar w:fldCharType="separate"/>
      </w:r>
      <w:r>
        <w:t>41</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_Toc279 </w:instrText>
      </w:r>
      <w:r>
        <w:rPr>
          <w:rFonts w:hint="eastAsia" w:ascii="宋体" w:hAnsi="宋体" w:eastAsia="宋体" w:cs="宋体"/>
        </w:rPr>
        <w:fldChar w:fldCharType="separate"/>
      </w:r>
      <w:r>
        <w:rPr>
          <w:rFonts w:hint="eastAsia" w:ascii="宋体" w:hAnsi="宋体" w:eastAsia="宋体" w:cs="宋体"/>
          <w:bCs/>
          <w:kern w:val="0"/>
          <w:szCs w:val="32"/>
        </w:rPr>
        <w:t>（一） 项目管理制度</w:t>
      </w:r>
      <w:r>
        <w:tab/>
      </w:r>
      <w:r>
        <w:fldChar w:fldCharType="begin"/>
      </w:r>
      <w:r>
        <w:instrText xml:space="preserve"> PAGEREF _Toc279 \h </w:instrText>
      </w:r>
      <w:r>
        <w:fldChar w:fldCharType="separate"/>
      </w:r>
      <w:r>
        <w:t>41</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_Toc20723 </w:instrText>
      </w:r>
      <w:r>
        <w:rPr>
          <w:rFonts w:hint="eastAsia" w:ascii="宋体" w:hAnsi="宋体" w:eastAsia="宋体" w:cs="宋体"/>
        </w:rPr>
        <w:fldChar w:fldCharType="separate"/>
      </w:r>
      <w:r>
        <w:rPr>
          <w:rFonts w:hint="eastAsia" w:ascii="宋体" w:hAnsi="宋体" w:eastAsia="宋体" w:cs="宋体"/>
          <w:bCs/>
          <w:kern w:val="0"/>
          <w:szCs w:val="32"/>
        </w:rPr>
        <w:t>（二） 资金管理制度</w:t>
      </w:r>
      <w:r>
        <w:tab/>
      </w:r>
      <w:r>
        <w:fldChar w:fldCharType="begin"/>
      </w:r>
      <w:r>
        <w:instrText xml:space="preserve"> PAGEREF _Toc20723 \h </w:instrText>
      </w:r>
      <w:r>
        <w:fldChar w:fldCharType="separate"/>
      </w:r>
      <w:r>
        <w:t>42</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_Toc16596 </w:instrText>
      </w:r>
      <w:r>
        <w:rPr>
          <w:rFonts w:hint="eastAsia" w:ascii="宋体" w:hAnsi="宋体" w:eastAsia="宋体" w:cs="宋体"/>
        </w:rPr>
        <w:fldChar w:fldCharType="separate"/>
      </w:r>
      <w:r>
        <w:rPr>
          <w:rFonts w:hint="eastAsia" w:ascii="宋体" w:hAnsi="宋体" w:eastAsia="宋体" w:cs="宋体"/>
          <w:bCs/>
          <w:kern w:val="0"/>
          <w:szCs w:val="32"/>
        </w:rPr>
        <w:t>（三） 日常监督机制</w:t>
      </w:r>
      <w:r>
        <w:tab/>
      </w:r>
      <w:r>
        <w:fldChar w:fldCharType="begin"/>
      </w:r>
      <w:r>
        <w:instrText xml:space="preserve"> PAGEREF _Toc16596 \h </w:instrText>
      </w:r>
      <w:r>
        <w:fldChar w:fldCharType="separate"/>
      </w:r>
      <w:r>
        <w:t>44</w:t>
      </w:r>
      <w:r>
        <w:fldChar w:fldCharType="end"/>
      </w:r>
      <w:r>
        <w:rPr>
          <w:rFonts w:hint="eastAsia" w:ascii="宋体" w:hAnsi="宋体" w:eastAsia="宋体" w:cs="宋体"/>
        </w:rPr>
        <w:fldChar w:fldCharType="end"/>
      </w:r>
    </w:p>
    <w:p>
      <w:pPr>
        <w:pStyle w:val="16"/>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_Toc14277 </w:instrText>
      </w:r>
      <w:r>
        <w:rPr>
          <w:rFonts w:hint="eastAsia" w:ascii="宋体" w:hAnsi="宋体" w:eastAsia="宋体" w:cs="宋体"/>
        </w:rPr>
        <w:fldChar w:fldCharType="separate"/>
      </w:r>
      <w:r>
        <w:rPr>
          <w:rFonts w:hint="eastAsia" w:ascii="宋体" w:hAnsi="宋体" w:eastAsia="宋体" w:cs="宋体"/>
          <w:bCs/>
          <w:kern w:val="0"/>
          <w:szCs w:val="32"/>
        </w:rPr>
        <w:t>（四） 信息公开机制</w:t>
      </w:r>
      <w:r>
        <w:tab/>
      </w:r>
      <w:r>
        <w:fldChar w:fldCharType="begin"/>
      </w:r>
      <w:r>
        <w:instrText xml:space="preserve"> PAGEREF _Toc14277 \h </w:instrText>
      </w:r>
      <w:r>
        <w:fldChar w:fldCharType="separate"/>
      </w:r>
      <w:r>
        <w:t>45</w:t>
      </w:r>
      <w:r>
        <w:fldChar w:fldCharType="end"/>
      </w:r>
      <w:r>
        <w:rPr>
          <w:rFonts w:hint="eastAsia" w:ascii="宋体" w:hAnsi="宋体" w:eastAsia="宋体" w:cs="宋体"/>
        </w:rPr>
        <w:fldChar w:fldCharType="end"/>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_Toc4202 </w:instrText>
      </w:r>
      <w:r>
        <w:rPr>
          <w:rFonts w:hint="eastAsia" w:ascii="宋体" w:hAnsi="宋体" w:eastAsia="宋体" w:cs="宋体"/>
        </w:rPr>
        <w:fldChar w:fldCharType="separate"/>
      </w:r>
      <w:r>
        <w:rPr>
          <w:rFonts w:hint="eastAsia" w:ascii="宋体" w:hAnsi="宋体" w:eastAsia="宋体" w:cs="宋体"/>
          <w:bCs/>
          <w:szCs w:val="32"/>
        </w:rPr>
        <w:t>附件1：连城县县域商业建设行动摸底情况、总体目标及年度分解任务表</w:t>
      </w:r>
      <w:r>
        <w:tab/>
      </w:r>
      <w:r>
        <w:fldChar w:fldCharType="begin"/>
      </w:r>
      <w:r>
        <w:instrText xml:space="preserve"> PAGEREF _Toc4202 \h </w:instrText>
      </w:r>
      <w:r>
        <w:fldChar w:fldCharType="separate"/>
      </w:r>
      <w:r>
        <w:t>47</w:t>
      </w:r>
      <w:r>
        <w:fldChar w:fldCharType="end"/>
      </w:r>
      <w:r>
        <w:rPr>
          <w:rFonts w:hint="eastAsia" w:ascii="宋体" w:hAnsi="宋体" w:eastAsia="宋体" w:cs="宋体"/>
        </w:rPr>
        <w:fldChar w:fldCharType="end"/>
      </w:r>
    </w:p>
    <w:p>
      <w:pPr>
        <w:pStyle w:val="14"/>
        <w:keepNext w:val="0"/>
        <w:keepLines w:val="0"/>
        <w:pageBreakBefore w:val="0"/>
        <w:widowControl w:val="0"/>
        <w:tabs>
          <w:tab w:val="right" w:leader="dot" w:pos="8300"/>
        </w:tabs>
        <w:kinsoku/>
        <w:wordWrap/>
        <w:overflowPunct/>
        <w:topLinePunct w:val="0"/>
        <w:autoSpaceDE/>
        <w:autoSpaceDN/>
        <w:bidi w:val="0"/>
        <w:adjustRightInd/>
        <w:snapToGrid/>
        <w:spacing w:line="440" w:lineRule="exact"/>
        <w:ind w:left="0" w:leftChars="0"/>
        <w:textAlignment w:val="auto"/>
      </w:pPr>
      <w:r>
        <w:rPr>
          <w:rFonts w:hint="eastAsia" w:ascii="宋体" w:hAnsi="宋体" w:eastAsia="宋体" w:cs="宋体"/>
        </w:rPr>
        <w:fldChar w:fldCharType="begin"/>
      </w:r>
      <w:r>
        <w:rPr>
          <w:rFonts w:hint="eastAsia" w:ascii="宋体" w:hAnsi="宋体" w:eastAsia="宋体" w:cs="宋体"/>
        </w:rPr>
        <w:instrText xml:space="preserve"> HYPERLINK \l _Toc6873 </w:instrText>
      </w:r>
      <w:r>
        <w:rPr>
          <w:rFonts w:hint="eastAsia" w:ascii="宋体" w:hAnsi="宋体" w:eastAsia="宋体" w:cs="宋体"/>
        </w:rPr>
        <w:fldChar w:fldCharType="separate"/>
      </w:r>
      <w:r>
        <w:rPr>
          <w:rFonts w:hint="eastAsia" w:ascii="宋体" w:hAnsi="宋体" w:eastAsia="宋体" w:cs="宋体"/>
          <w:szCs w:val="32"/>
        </w:rPr>
        <w:t>附件2：2022年连城县县域商业建设项目清单</w:t>
      </w:r>
      <w:r>
        <w:tab/>
      </w:r>
      <w:r>
        <w:fldChar w:fldCharType="begin"/>
      </w:r>
      <w:r>
        <w:instrText xml:space="preserve"> PAGEREF _Toc6873 \h </w:instrText>
      </w:r>
      <w:r>
        <w:fldChar w:fldCharType="separate"/>
      </w:r>
      <w:r>
        <w:t>49</w:t>
      </w:r>
      <w:r>
        <w:fldChar w:fldCharType="end"/>
      </w:r>
      <w:r>
        <w:rPr>
          <w:rFonts w:hint="eastAsia" w:ascii="宋体" w:hAnsi="宋体" w:eastAsia="宋体" w:cs="宋体"/>
        </w:rPr>
        <w:fldChar w:fldCharType="end"/>
      </w:r>
    </w:p>
    <w:p>
      <w:pPr>
        <w:keepNext w:val="0"/>
        <w:keepLines w:val="0"/>
        <w:pageBreakBefore w:val="0"/>
        <w:widowControl w:val="0"/>
        <w:kinsoku/>
        <w:wordWrap/>
        <w:overflowPunct/>
        <w:topLinePunct w:val="0"/>
        <w:autoSpaceDE/>
        <w:autoSpaceDN/>
        <w:bidi w:val="0"/>
        <w:adjustRightInd/>
        <w:snapToGrid/>
        <w:spacing w:line="440" w:lineRule="exact"/>
        <w:ind w:left="0" w:leftChars="0"/>
        <w:textAlignment w:val="auto"/>
        <w:rPr>
          <w:rFonts w:ascii="宋体" w:hAnsi="宋体" w:eastAsia="宋体" w:cs="宋体"/>
          <w:sz w:val="24"/>
        </w:rPr>
      </w:pPr>
      <w:r>
        <w:rPr>
          <w:rFonts w:hint="eastAsia" w:ascii="宋体" w:hAnsi="宋体" w:eastAsia="宋体" w:cs="宋体"/>
        </w:rPr>
        <w:fldChar w:fldCharType="end"/>
      </w:r>
    </w:p>
    <w:p>
      <w:pPr>
        <w:rPr>
          <w:b/>
          <w:bCs/>
          <w:sz w:val="44"/>
          <w:szCs w:val="44"/>
        </w:rPr>
      </w:pPr>
      <w:r>
        <w:rPr>
          <w:rFonts w:hint="eastAsia"/>
          <w:b/>
          <w:bCs/>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b/>
          <w:bCs/>
          <w:sz w:val="44"/>
          <w:szCs w:val="44"/>
        </w:rPr>
      </w:pPr>
      <w:r>
        <w:rPr>
          <w:rFonts w:hint="eastAsia"/>
          <w:b/>
          <w:bCs/>
          <w:sz w:val="44"/>
          <w:szCs w:val="44"/>
        </w:rPr>
        <w:t>2022年连城县县域商业建设行动工作方案</w:t>
      </w:r>
    </w:p>
    <w:p/>
    <w:p>
      <w:pPr>
        <w:numPr>
          <w:ilvl w:val="0"/>
          <w:numId w:val="1"/>
        </w:numPr>
        <w:spacing w:line="560" w:lineRule="exact"/>
        <w:ind w:left="-11" w:firstLine="643" w:firstLineChars="200"/>
        <w:outlineLvl w:val="0"/>
        <w:rPr>
          <w:rFonts w:ascii="黑体" w:hAnsi="黑体" w:eastAsia="黑体" w:cs="黑体"/>
          <w:b/>
          <w:bCs/>
          <w:color w:val="000000"/>
          <w:kern w:val="0"/>
          <w:sz w:val="32"/>
          <w:szCs w:val="32"/>
        </w:rPr>
      </w:pPr>
      <w:bookmarkStart w:id="0" w:name="_Toc28547"/>
      <w:r>
        <w:rPr>
          <w:rFonts w:hint="eastAsia" w:ascii="黑体" w:hAnsi="黑体" w:eastAsia="黑体" w:cs="黑体"/>
          <w:b/>
          <w:bCs/>
          <w:sz w:val="32"/>
          <w:szCs w:val="32"/>
        </w:rPr>
        <w:t>基本情况</w:t>
      </w:r>
      <w:bookmarkEnd w:id="0"/>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643" w:firstLineChars="200"/>
        <w:jc w:val="left"/>
        <w:textAlignment w:val="auto"/>
        <w:outlineLvl w:val="1"/>
        <w:rPr>
          <w:rFonts w:asciiTheme="majorEastAsia" w:hAnsiTheme="majorEastAsia" w:eastAsiaTheme="majorEastAsia" w:cstheme="majorEastAsia"/>
          <w:b/>
          <w:bCs/>
          <w:color w:val="000000"/>
          <w:kern w:val="0"/>
          <w:sz w:val="32"/>
          <w:szCs w:val="32"/>
        </w:rPr>
      </w:pPr>
      <w:bookmarkStart w:id="1" w:name="_Toc8636"/>
      <w:r>
        <w:rPr>
          <w:rFonts w:hint="eastAsia" w:asciiTheme="majorEastAsia" w:hAnsiTheme="majorEastAsia" w:eastAsiaTheme="majorEastAsia" w:cstheme="majorEastAsia"/>
          <w:b/>
          <w:bCs/>
          <w:color w:val="000000"/>
          <w:kern w:val="0"/>
          <w:sz w:val="32"/>
          <w:szCs w:val="32"/>
        </w:rPr>
        <w:t>县情基本情况</w:t>
      </w:r>
      <w:bookmarkEnd w:id="1"/>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kern w:val="0"/>
          <w:sz w:val="32"/>
          <w:szCs w:val="32"/>
        </w:rPr>
      </w:pPr>
      <w:r>
        <w:rPr>
          <w:rFonts w:hint="eastAsia" w:ascii="仿宋" w:hAnsi="仿宋" w:eastAsia="仿宋" w:cs="仿宋"/>
          <w:color w:val="000000"/>
          <w:kern w:val="0"/>
          <w:sz w:val="32"/>
          <w:szCs w:val="32"/>
        </w:rPr>
        <w:t>连城县简称“莲”，南宋绍兴三年（公元1133年）置县，地处福建省龙岩市北部，总面积2579平方公里。全县现辖17个乡镇，分别是莲峰镇、庙前镇、新泉镇、朋口镇、莒溪镇、文亨镇、姑田镇、北团镇、四堡镇、林坊镇、隔川镇、宣和镇、揭乐乡、罗坊乡、塘前乡、曲溪乡、赖源乡，共248个村（社区），县政府驻莲峰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kern w:val="0"/>
          <w:sz w:val="32"/>
          <w:szCs w:val="32"/>
        </w:rPr>
      </w:pPr>
      <w:r>
        <w:rPr>
          <w:rFonts w:hint="eastAsia" w:ascii="仿宋" w:hAnsi="仿宋" w:eastAsia="仿宋" w:cs="仿宋"/>
          <w:sz w:val="32"/>
          <w:szCs w:val="32"/>
        </w:rPr>
        <w:t>2021年末全县户数112489户（公安部门数据），户籍人口339119人，总人口中，城镇人口125102人，</w:t>
      </w:r>
      <w:r>
        <w:rPr>
          <w:rFonts w:hint="eastAsia" w:ascii="仿宋" w:hAnsi="仿宋" w:eastAsia="仿宋" w:cs="仿宋"/>
          <w:color w:val="000000"/>
          <w:kern w:val="0"/>
          <w:sz w:val="32"/>
          <w:szCs w:val="32"/>
        </w:rPr>
        <w:t>通行闽西客家话。</w:t>
      </w:r>
      <w:r>
        <w:rPr>
          <w:rFonts w:hint="eastAsia" w:ascii="仿宋" w:hAnsi="仿宋" w:eastAsia="仿宋" w:cs="仿宋"/>
          <w:sz w:val="32"/>
          <w:szCs w:val="32"/>
        </w:rPr>
        <w:t>全县生产总值实现2943521万元，增长8.0%。其中，第一产业增加值401068万元，增长5.2%；第二产业增加值1260256万元，增长8.8%，其中工业增加值803818万元，增长9.5%；第三产业增加值1282197万元，增长8.3%。人均生产总值117272元，增长7.8%。实现财政收入112356万元，比增9.7%，其中，地方财政收入79146万元，比增12.8%；财政支出269498万元，比上年同期下降12.5%。</w:t>
      </w:r>
      <w:r>
        <w:rPr>
          <w:rFonts w:hint="eastAsia" w:ascii="仿宋" w:hAnsi="仿宋" w:eastAsia="仿宋" w:cs="仿宋"/>
          <w:kern w:val="0"/>
          <w:sz w:val="32"/>
          <w:szCs w:val="32"/>
        </w:rPr>
        <w:t>社会消费品零售总额135.81亿元，比增6.7%；县域农产品网络零售额1.36亿元，比增2.9%；</w:t>
      </w:r>
      <w:r>
        <w:rPr>
          <w:rFonts w:hint="eastAsia" w:ascii="仿宋" w:hAnsi="仿宋" w:eastAsia="仿宋" w:cs="仿宋"/>
          <w:color w:val="000000"/>
          <w:kern w:val="0"/>
          <w:sz w:val="32"/>
          <w:szCs w:val="32"/>
        </w:rPr>
        <w:t>先后获得“中国红心地瓜干之乡”“中国连城白鸭之乡”“中国客家硒都”“中国优秀旅游县”“中国文化旅游大县”“中国客家美食名城”“中国温泉之城”“全国武术之乡”“全国双拥模范县”“中国客家民俗文化之乡”和“全国首批创建生态文明典范城市”等荣誉。</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连城是著名的革命老区。</w:t>
      </w:r>
      <w:r>
        <w:rPr>
          <w:rFonts w:hint="eastAsia" w:ascii="仿宋" w:hAnsi="仿宋" w:eastAsia="仿宋" w:cs="仿宋"/>
          <w:color w:val="000000"/>
          <w:kern w:val="0"/>
          <w:sz w:val="32"/>
          <w:szCs w:val="32"/>
        </w:rPr>
        <w:t>第二次国内革命战争时期，属中央苏区县之一，也是红军长征前东线最后一役——松毛岭战役发生地。是红军的故乡，当年全县97%的乡村建立了红色政权，1万多名连城子弟踊跃参加红军和游击队。连城新泉镇在党史上具有重要历史地位，是毛泽东思想建党建军理论奠基地、古田会议决议（草案）起草地、红四军首次政治军事整训地（新泉整训）、红四军第四纵队诞生地、我党历史上第一所培养妇女干部的学校——中央苏区第一所工农妇女学校创办地、三大纪律八项注意完善地。</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连城区位优势明显，交通便利。</w:t>
      </w:r>
      <w:r>
        <w:rPr>
          <w:rFonts w:hint="eastAsia" w:ascii="仿宋" w:hAnsi="仿宋" w:eastAsia="仿宋" w:cs="仿宋"/>
          <w:color w:val="000000"/>
          <w:kern w:val="0"/>
          <w:sz w:val="32"/>
          <w:szCs w:val="32"/>
        </w:rPr>
        <w:t>位于东南沿海连接内陆的闽粤赣边地区，境内拥有闽西地区唯一的民航机场—龙岩冠豸山机场，已开通至北京、上海、南京、武汉、桂林、昆明、成都等地航班。赣（州）龙（岩）铁路开通动车路线，并已开工建设浦建龙梅动车线路。同时，还拥有龙（岩）长（汀）、永（安）武（平）两条高速公路。</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000000"/>
          <w:kern w:val="0"/>
          <w:sz w:val="32"/>
          <w:szCs w:val="32"/>
        </w:rPr>
      </w:pPr>
      <w:r>
        <w:rPr>
          <w:rFonts w:hint="eastAsia" w:ascii="仿宋" w:hAnsi="仿宋" w:eastAsia="仿宋" w:cs="仿宋"/>
          <w:b/>
          <w:bCs/>
          <w:color w:val="000000"/>
          <w:kern w:val="0"/>
          <w:sz w:val="32"/>
          <w:szCs w:val="32"/>
        </w:rPr>
        <w:t>连城农业、矿产资源丰富。</w:t>
      </w:r>
      <w:r>
        <w:rPr>
          <w:rFonts w:hint="eastAsia" w:ascii="仿宋" w:hAnsi="仿宋" w:eastAsia="仿宋" w:cs="仿宋"/>
          <w:color w:val="000000"/>
          <w:kern w:val="0"/>
          <w:sz w:val="32"/>
          <w:szCs w:val="32"/>
        </w:rPr>
        <w:t>拥有连城白鸭、连城兰花、文亨红衣花生、宣和雪薯、连城红心地瓜干、冠豸山铁皮石斛等6个国家地理标志产品和连城红心地瓜干、连城兰花、茗匠竹艺等3个“中国驰名商标”。连城红心地瓜干占有全国80%的市场份额；“新古田会议”期间，连城白鸭受习近平总书记点赞；连城是全国（全世界）最大的国兰基地。境内煤、锰、铜钼、铅锌、膨润土、稀土等矿产资源储量大、品位高。</w:t>
      </w:r>
    </w:p>
    <w:p>
      <w:pPr>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br w:type="page"/>
      </w:r>
    </w:p>
    <w:p/>
    <w:p>
      <w:pPr>
        <w:spacing w:line="560" w:lineRule="exact"/>
        <w:ind w:firstLine="643" w:firstLineChars="200"/>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连城生态优美，是著名的旅游胜地</w:t>
      </w:r>
      <w:r>
        <w:rPr>
          <w:rFonts w:hint="eastAsia" w:ascii="仿宋" w:hAnsi="仿宋" w:eastAsia="仿宋" w:cs="仿宋"/>
          <w:color w:val="000000"/>
          <w:kern w:val="0"/>
          <w:sz w:val="32"/>
          <w:szCs w:val="32"/>
        </w:rPr>
        <w:t>。是我国南方36个重点林区县之一，是福建闽江、九龙江、汀江主要发源地，全县森林覆盖率80.9%，居福建省第二、龙岩市第一。拥有冠豸山、培田古村落、天一温泉度假村3个国家4A级旅游景区和世界A级自然保护区——梅花山。冠豸山被誉为“南豸北夷（武夷山）、丹霞双绝”，有“放大的盆景、缩小的仙境”“阳刚天下第一、阴柔举世无双”之称；培田古村落入选“中国十大最美村镇”“中国最美休闲乡村”，其“九厅十八井”的建筑类型是客家民居的三种典型代表之一，有“民间故宫”之美誉，原中央政治局常委、全国政协主席贾庆林称赞它是“最有文化的古村落”；梅花山有“北回归荒漠带上的绿色翡翠”及“动植物资源的天然基因库”之称；天一温泉度假村是拥有五星级酒店、五星级温泉的4A级景区，获得中国温泉业界最高奖项——金汤奖。</w:t>
      </w:r>
    </w:p>
    <w:p>
      <w:pPr>
        <w:widowControl/>
        <w:spacing w:line="560" w:lineRule="exact"/>
        <w:ind w:firstLine="643" w:firstLineChars="200"/>
        <w:jc w:val="left"/>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连城文化底蕴深厚，人文荟萃。</w:t>
      </w:r>
      <w:r>
        <w:rPr>
          <w:rFonts w:hint="eastAsia" w:ascii="仿宋" w:hAnsi="仿宋" w:eastAsia="仿宋" w:cs="仿宋"/>
          <w:color w:val="000000"/>
          <w:kern w:val="0"/>
          <w:sz w:val="32"/>
          <w:szCs w:val="32"/>
        </w:rPr>
        <w:t>是客家人聚居地之一，境内共有2个国家历史文化名村、3处国家重点文物保护单位、7项国家非物质文化遗产、13项省级非物质文化遗产和2项吉尼斯世界纪录，号称古中原文化的“活化石”。连城名人辈出，涌现出明代都察御史马驯、清代著名学者邹圣脉、清代两江总督杨簧，近代书法家罗丹以及革命先辈张南生、江一真、项南等一大批历史杰出人物。</w:t>
      </w:r>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br w:type="page"/>
      </w:r>
    </w:p>
    <w:p/>
    <w:p>
      <w:pPr>
        <w:keepNext w:val="0"/>
        <w:keepLines w:val="0"/>
        <w:pageBreakBefore w:val="0"/>
        <w:widowControl/>
        <w:numPr>
          <w:ilvl w:val="0"/>
          <w:numId w:val="2"/>
        </w:numPr>
        <w:kinsoku/>
        <w:wordWrap/>
        <w:overflowPunct/>
        <w:topLinePunct w:val="0"/>
        <w:autoSpaceDE/>
        <w:autoSpaceDN/>
        <w:bidi w:val="0"/>
        <w:adjustRightInd/>
        <w:snapToGrid/>
        <w:spacing w:line="530" w:lineRule="exact"/>
        <w:ind w:firstLine="643" w:firstLineChars="200"/>
        <w:jc w:val="left"/>
        <w:textAlignment w:val="auto"/>
        <w:outlineLvl w:val="1"/>
        <w:rPr>
          <w:rFonts w:asciiTheme="majorEastAsia" w:hAnsiTheme="majorEastAsia" w:eastAsiaTheme="majorEastAsia" w:cstheme="majorEastAsia"/>
          <w:b/>
          <w:bCs/>
          <w:color w:val="000000"/>
          <w:kern w:val="0"/>
          <w:sz w:val="32"/>
          <w:szCs w:val="32"/>
        </w:rPr>
      </w:pPr>
      <w:bookmarkStart w:id="2" w:name="_Toc30185"/>
      <w:bookmarkStart w:id="3" w:name="_Toc148"/>
      <w:r>
        <w:rPr>
          <w:rFonts w:hint="eastAsia" w:asciiTheme="majorEastAsia" w:hAnsiTheme="majorEastAsia" w:eastAsiaTheme="majorEastAsia" w:cstheme="majorEastAsia"/>
          <w:b/>
          <w:bCs/>
          <w:color w:val="000000"/>
          <w:kern w:val="0"/>
          <w:sz w:val="32"/>
          <w:szCs w:val="32"/>
        </w:rPr>
        <w:t>现代（特色）农业情况</w:t>
      </w:r>
      <w:bookmarkEnd w:id="2"/>
      <w:bookmarkEnd w:id="3"/>
    </w:p>
    <w:p>
      <w:pPr>
        <w:keepNext w:val="0"/>
        <w:keepLines w:val="0"/>
        <w:pageBreakBefore w:val="0"/>
        <w:kinsoku/>
        <w:wordWrap/>
        <w:overflowPunct/>
        <w:topLinePunct w:val="0"/>
        <w:autoSpaceDE/>
        <w:autoSpaceDN/>
        <w:bidi w:val="0"/>
        <w:adjustRightInd/>
        <w:snapToGrid/>
        <w:spacing w:line="530" w:lineRule="exact"/>
        <w:ind w:firstLine="640" w:firstLineChars="200"/>
        <w:textAlignment w:val="auto"/>
        <w:rPr>
          <w:rFonts w:ascii="仿宋" w:hAnsi="仿宋" w:eastAsia="仿宋" w:cs="仿宋"/>
          <w:color w:val="000000"/>
          <w:kern w:val="0"/>
          <w:sz w:val="32"/>
          <w:szCs w:val="32"/>
        </w:rPr>
      </w:pPr>
      <w:r>
        <w:rPr>
          <w:rFonts w:hint="eastAsia" w:ascii="仿宋" w:hAnsi="仿宋" w:eastAsia="仿宋" w:cs="仿宋"/>
          <w:color w:val="000000"/>
          <w:kern w:val="0"/>
          <w:sz w:val="32"/>
          <w:szCs w:val="32"/>
        </w:rPr>
        <w:t>连城县在福建西部山区武夷山南段东侧，是闽粤赣三省的结合腹地，属中亚热带农业气候区，气候温暖，雨量充沛，四季分明，万物茂盛，有北回归线上的绿洲和基因库之称。各地年均气温13.8℃～19.5℃之间；年平均降雨量1734.4毫米，年平均日照时数1760.7小时，全年无霜期约291天。境内峰峦绵延，丘陵起伏，溪涧纵横交错，是典型的“八山一水一分田”的山区县，特色农业资源丰富，特色现代农业发展基础</w:t>
      </w:r>
      <w:r>
        <w:rPr>
          <w:rFonts w:hint="eastAsia" w:ascii="仿宋" w:hAnsi="仿宋" w:eastAsia="仿宋" w:cs="仿宋"/>
          <w:color w:val="000000"/>
          <w:kern w:val="0"/>
          <w:sz w:val="32"/>
          <w:szCs w:val="32"/>
          <w:lang w:val="en-US" w:eastAsia="zh-CN"/>
        </w:rPr>
        <w:t>好</w:t>
      </w:r>
      <w:r>
        <w:rPr>
          <w:rFonts w:hint="eastAsia" w:ascii="仿宋" w:hAnsi="仿宋" w:eastAsia="仿宋" w:cs="仿宋"/>
          <w:color w:val="000000"/>
          <w:kern w:val="0"/>
          <w:sz w:val="32"/>
          <w:szCs w:val="32"/>
        </w:rPr>
        <w:t>、发展潜力</w:t>
      </w:r>
      <w:r>
        <w:rPr>
          <w:rFonts w:hint="eastAsia" w:ascii="仿宋" w:hAnsi="仿宋" w:eastAsia="仿宋" w:cs="仿宋"/>
          <w:color w:val="000000"/>
          <w:kern w:val="0"/>
          <w:sz w:val="32"/>
          <w:szCs w:val="32"/>
          <w:lang w:val="en-US" w:eastAsia="zh-CN"/>
        </w:rPr>
        <w:t>强</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发展</w:t>
      </w:r>
      <w:r>
        <w:rPr>
          <w:rFonts w:hint="eastAsia" w:ascii="仿宋" w:hAnsi="仿宋" w:eastAsia="仿宋" w:cs="仿宋"/>
          <w:color w:val="000000"/>
          <w:kern w:val="0"/>
          <w:sz w:val="32"/>
          <w:szCs w:val="32"/>
        </w:rPr>
        <w:t>前景突出。</w:t>
      </w:r>
    </w:p>
    <w:p>
      <w:pPr>
        <w:keepNext w:val="0"/>
        <w:keepLines w:val="0"/>
        <w:pageBreakBefore w:val="0"/>
        <w:kinsoku/>
        <w:wordWrap/>
        <w:overflowPunct/>
        <w:topLinePunct w:val="0"/>
        <w:autoSpaceDE/>
        <w:autoSpaceDN/>
        <w:bidi w:val="0"/>
        <w:adjustRightInd/>
        <w:snapToGrid/>
        <w:spacing w:line="530" w:lineRule="exact"/>
        <w:ind w:firstLine="643" w:firstLineChars="200"/>
        <w:textAlignment w:val="auto"/>
        <w:rPr>
          <w:sz w:val="32"/>
          <w:szCs w:val="32"/>
        </w:rPr>
      </w:pPr>
      <w:r>
        <w:rPr>
          <w:rFonts w:ascii="仿宋" w:hAnsi="仿宋" w:eastAsia="仿宋" w:cs="仿宋"/>
          <w:b/>
          <w:bCs/>
          <w:color w:val="000000"/>
          <w:kern w:val="0"/>
          <w:sz w:val="32"/>
          <w:szCs w:val="32"/>
        </w:rPr>
        <w:t>一是乡村产业加快融合。</w:t>
      </w:r>
      <w:r>
        <w:rPr>
          <w:rFonts w:ascii="仿宋" w:hAnsi="仿宋" w:eastAsia="仿宋" w:cs="仿宋"/>
          <w:color w:val="000000"/>
          <w:kern w:val="0"/>
          <w:sz w:val="32"/>
          <w:szCs w:val="32"/>
        </w:rPr>
        <w:t>“十三五”以来，全县立足县情实际和发展优势，紧紧围绕“强化一产、深化二产、优化三产、融合驱动”的发展方向，按照“建基地、扶龙头、抓项目、打品牌、拓市场”的思路，积极推进三产融合和特色农业产业链发展，地瓜、白鸭、花卉、中药材等特色产业初步实现一二三产融合</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北团镇依托白鸭产业链，入选2020年国家级农业产业强镇；</w:t>
      </w:r>
      <w:r>
        <w:rPr>
          <w:rFonts w:ascii="仿宋" w:hAnsi="仿宋" w:eastAsia="仿宋" w:cs="仿宋"/>
          <w:b/>
          <w:bCs/>
          <w:color w:val="000000"/>
          <w:kern w:val="0"/>
          <w:sz w:val="32"/>
          <w:szCs w:val="32"/>
        </w:rPr>
        <w:t>二是休闲农业和乡村旅游不断兴起。</w:t>
      </w:r>
      <w:r>
        <w:rPr>
          <w:rFonts w:ascii="仿宋" w:hAnsi="仿宋" w:eastAsia="仿宋" w:cs="仿宋"/>
          <w:color w:val="000000"/>
          <w:kern w:val="0"/>
          <w:sz w:val="32"/>
          <w:szCs w:val="32"/>
        </w:rPr>
        <w:t>“十三五”期间，全县建成培田古村落、朋口兰博园、文亨地瓜主题公园等16家规模较大的休闲农业与乡村旅游点。宣和</w:t>
      </w:r>
      <w:r>
        <w:rPr>
          <w:rFonts w:hint="eastAsia" w:ascii="仿宋" w:hAnsi="仿宋" w:eastAsia="仿宋" w:cs="仿宋"/>
          <w:color w:val="000000"/>
          <w:kern w:val="0"/>
          <w:sz w:val="32"/>
          <w:szCs w:val="32"/>
        </w:rPr>
        <w:t>镇</w:t>
      </w:r>
      <w:r>
        <w:rPr>
          <w:rFonts w:ascii="仿宋" w:hAnsi="仿宋" w:eastAsia="仿宋" w:cs="仿宋"/>
          <w:color w:val="000000"/>
          <w:kern w:val="0"/>
          <w:sz w:val="32"/>
          <w:szCs w:val="32"/>
        </w:rPr>
        <w:t>、赖源乡、曲溪乡获省级休闲农业与乡村旅游的示范乡镇；</w:t>
      </w:r>
      <w:r>
        <w:rPr>
          <w:rFonts w:ascii="仿宋" w:hAnsi="仿宋" w:eastAsia="仿宋" w:cs="仿宋"/>
          <w:b/>
          <w:bCs/>
          <w:color w:val="000000"/>
          <w:kern w:val="0"/>
          <w:sz w:val="32"/>
          <w:szCs w:val="32"/>
        </w:rPr>
        <w:t>三是新型经营主体不断培育壮大</w:t>
      </w:r>
      <w:r>
        <w:rPr>
          <w:rFonts w:ascii="仿宋" w:hAnsi="仿宋" w:eastAsia="仿宋" w:cs="仿宋"/>
          <w:color w:val="000000"/>
          <w:kern w:val="0"/>
          <w:sz w:val="32"/>
          <w:szCs w:val="32"/>
        </w:rPr>
        <w:t>。连城县家庭农场、合作社</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省级</w:t>
      </w:r>
      <w:r>
        <w:rPr>
          <w:rFonts w:hint="eastAsia" w:ascii="仿宋" w:hAnsi="仿宋" w:eastAsia="仿宋" w:cs="仿宋"/>
          <w:color w:val="000000"/>
          <w:kern w:val="0"/>
          <w:sz w:val="32"/>
          <w:szCs w:val="32"/>
        </w:rPr>
        <w:t>和</w:t>
      </w:r>
      <w:r>
        <w:rPr>
          <w:rFonts w:ascii="仿宋" w:hAnsi="仿宋" w:eastAsia="仿宋" w:cs="仿宋"/>
          <w:color w:val="000000"/>
          <w:kern w:val="0"/>
          <w:sz w:val="32"/>
          <w:szCs w:val="32"/>
        </w:rPr>
        <w:t>市级农业产业化龙头企业</w:t>
      </w:r>
      <w:r>
        <w:rPr>
          <w:rFonts w:hint="eastAsia" w:ascii="仿宋" w:hAnsi="仿宋" w:eastAsia="仿宋" w:cs="仿宋"/>
          <w:color w:val="000000"/>
          <w:kern w:val="0"/>
          <w:sz w:val="32"/>
          <w:szCs w:val="32"/>
        </w:rPr>
        <w:t>不断壮大</w:t>
      </w:r>
      <w:r>
        <w:rPr>
          <w:rFonts w:ascii="仿宋" w:hAnsi="仿宋" w:eastAsia="仿宋" w:cs="仿宋"/>
          <w:color w:val="000000"/>
          <w:kern w:val="0"/>
          <w:sz w:val="32"/>
          <w:szCs w:val="32"/>
        </w:rPr>
        <w:t>；</w:t>
      </w:r>
      <w:r>
        <w:rPr>
          <w:rFonts w:ascii="仿宋" w:hAnsi="仿宋" w:eastAsia="仿宋" w:cs="仿宋"/>
          <w:b/>
          <w:bCs/>
          <w:color w:val="000000"/>
          <w:kern w:val="0"/>
          <w:sz w:val="32"/>
          <w:szCs w:val="32"/>
        </w:rPr>
        <w:t>四是互联网与现代农业有效融合。</w:t>
      </w:r>
      <w:r>
        <w:rPr>
          <w:rFonts w:ascii="仿宋" w:hAnsi="仿宋" w:eastAsia="仿宋" w:cs="仿宋"/>
          <w:color w:val="000000"/>
          <w:kern w:val="0"/>
          <w:sz w:val="32"/>
          <w:szCs w:val="32"/>
        </w:rPr>
        <w:t>目前全县共有省级现代农业智慧园1家、省级农业物联网应用基地1家、市级农业物联网应用示范企业共4家。通过“互联网+”，主动对接企业、农户，助力富硒农产品向全国销售，“客家硒都、价值连城”的名片更加广为人知；</w:t>
      </w:r>
      <w:r>
        <w:rPr>
          <w:rFonts w:ascii="仿宋" w:hAnsi="仿宋" w:eastAsia="仿宋" w:cs="仿宋"/>
          <w:b/>
          <w:color w:val="000000"/>
          <w:kern w:val="0"/>
          <w:sz w:val="32"/>
          <w:szCs w:val="32"/>
        </w:rPr>
        <w:t>五是培育“一村一品”特色农业专业村。</w:t>
      </w:r>
      <w:r>
        <w:rPr>
          <w:rFonts w:ascii="仿宋" w:hAnsi="仿宋" w:eastAsia="仿宋" w:cs="仿宋"/>
          <w:color w:val="000000"/>
          <w:kern w:val="0"/>
          <w:sz w:val="32"/>
          <w:szCs w:val="32"/>
        </w:rPr>
        <w:t>目前全县已完成33个“一村一品”专业村基本情况摸底工作，林坊红心地瓜、鲤江村红衣花生、石丰白鸭等一批“一镇一业，一村一品”专业镇（村）发展格局初步形成，起到良好的示范带动效应。</w:t>
      </w:r>
    </w:p>
    <w:p>
      <w:pPr>
        <w:keepNext w:val="0"/>
        <w:keepLines w:val="0"/>
        <w:pageBreakBefore w:val="0"/>
        <w:widowControl/>
        <w:numPr>
          <w:ilvl w:val="0"/>
          <w:numId w:val="2"/>
        </w:numPr>
        <w:kinsoku/>
        <w:wordWrap/>
        <w:overflowPunct/>
        <w:topLinePunct w:val="0"/>
        <w:autoSpaceDE/>
        <w:autoSpaceDN/>
        <w:bidi w:val="0"/>
        <w:adjustRightInd/>
        <w:snapToGrid/>
        <w:spacing w:line="530" w:lineRule="exact"/>
        <w:ind w:firstLine="643" w:firstLineChars="200"/>
        <w:jc w:val="left"/>
        <w:textAlignment w:val="auto"/>
        <w:outlineLvl w:val="1"/>
        <w:rPr>
          <w:rFonts w:asciiTheme="majorEastAsia" w:hAnsiTheme="majorEastAsia" w:eastAsiaTheme="majorEastAsia" w:cstheme="majorEastAsia"/>
          <w:b/>
          <w:bCs/>
          <w:color w:val="000000"/>
          <w:kern w:val="0"/>
          <w:sz w:val="32"/>
          <w:szCs w:val="32"/>
        </w:rPr>
      </w:pPr>
      <w:bookmarkStart w:id="4" w:name="_Toc1670"/>
      <w:bookmarkStart w:id="5" w:name="_Toc20340"/>
      <w:r>
        <w:rPr>
          <w:rFonts w:hint="eastAsia" w:asciiTheme="majorEastAsia" w:hAnsiTheme="majorEastAsia" w:eastAsiaTheme="majorEastAsia" w:cstheme="majorEastAsia"/>
          <w:b/>
          <w:bCs/>
          <w:color w:val="000000"/>
          <w:kern w:val="0"/>
          <w:sz w:val="32"/>
          <w:szCs w:val="32"/>
        </w:rPr>
        <w:t>县域商业建设摸底情况</w:t>
      </w:r>
      <w:bookmarkEnd w:id="4"/>
      <w:bookmarkEnd w:id="5"/>
    </w:p>
    <w:p>
      <w:pPr>
        <w:keepNext w:val="0"/>
        <w:keepLines w:val="0"/>
        <w:pageBreakBefore w:val="0"/>
        <w:widowControl/>
        <w:numPr>
          <w:ilvl w:val="0"/>
          <w:numId w:val="3"/>
        </w:numPr>
        <w:kinsoku/>
        <w:wordWrap/>
        <w:overflowPunct/>
        <w:topLinePunct w:val="0"/>
        <w:autoSpaceDE/>
        <w:autoSpaceDN/>
        <w:bidi w:val="0"/>
        <w:adjustRightInd/>
        <w:snapToGrid/>
        <w:spacing w:line="530" w:lineRule="exact"/>
        <w:ind w:left="0" w:firstLine="643" w:firstLineChars="200"/>
        <w:jc w:val="left"/>
        <w:textAlignment w:val="auto"/>
        <w:outlineLvl w:val="2"/>
        <w:rPr>
          <w:rFonts w:ascii="宋体" w:hAnsi="宋体" w:eastAsia="宋体" w:cs="宋体"/>
          <w:b/>
          <w:bCs/>
          <w:color w:val="000000"/>
          <w:kern w:val="0"/>
          <w:sz w:val="32"/>
          <w:szCs w:val="32"/>
        </w:rPr>
      </w:pPr>
      <w:bookmarkStart w:id="6" w:name="_Toc31944"/>
      <w:r>
        <w:rPr>
          <w:rFonts w:hint="eastAsia" w:ascii="宋体" w:hAnsi="宋体" w:eastAsia="宋体" w:cs="宋体"/>
          <w:b/>
          <w:bCs/>
          <w:color w:val="000000"/>
          <w:kern w:val="0"/>
          <w:sz w:val="32"/>
          <w:szCs w:val="32"/>
        </w:rPr>
        <w:t>商业摸底基本情况</w:t>
      </w:r>
      <w:bookmarkEnd w:id="6"/>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 w:hAnsi="仿宋" w:eastAsia="仿宋" w:cs="仿宋"/>
          <w:color w:val="000000"/>
          <w:kern w:val="0"/>
          <w:sz w:val="32"/>
          <w:szCs w:val="32"/>
        </w:rPr>
      </w:pPr>
      <w:bookmarkStart w:id="7" w:name="OLE_LINK1"/>
      <w:r>
        <w:rPr>
          <w:rFonts w:hint="eastAsia" w:ascii="仿宋" w:hAnsi="仿宋" w:eastAsia="仿宋" w:cs="仿宋"/>
          <w:color w:val="000000"/>
          <w:kern w:val="0"/>
          <w:sz w:val="32"/>
          <w:szCs w:val="32"/>
          <w:lang w:val="en-US" w:eastAsia="zh-CN"/>
        </w:rPr>
        <w:t>2021年</w:t>
      </w:r>
      <w:r>
        <w:rPr>
          <w:rFonts w:hint="eastAsia" w:ascii="仿宋" w:hAnsi="仿宋" w:eastAsia="仿宋" w:cs="仿宋"/>
          <w:color w:val="000000"/>
          <w:kern w:val="0"/>
          <w:sz w:val="32"/>
          <w:szCs w:val="32"/>
        </w:rPr>
        <w:t>全县农产品网络零售总额1.36亿元，较去年增长2.9%。现有县域龙头商贸流通企业4个；基本型县城商贸中心1个，能够提供果蔬肉蛋奶、食品、日化、家居、小家电、小百货等商品零售，餐饮、维修、美容美发等生活服务，对城区和一定范围的乡镇村提供批发、零售及配送服务。能提供家电、通讯、服装等标准化程度较高的商品零售，满足居民大件消费需求。提供娱乐、休闲、亲子、健身、教育、物流、小额存取代理等服务，拓展空间载体，打造多功能、多业态、复合型的县域商业集聚区。提供本地特色商品体验，打造区域优势供应链品牌</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基本型乡镇商贸中心</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个，</w:t>
      </w:r>
      <w:r>
        <w:rPr>
          <w:rFonts w:hint="eastAsia" w:ascii="Times New Roman" w:hAnsi="Times New Roman" w:eastAsia="仿宋_GB2312"/>
          <w:color w:val="000000" w:themeColor="text1"/>
          <w:sz w:val="32"/>
          <w:szCs w:val="32"/>
        </w:rPr>
        <w:t>覆</w:t>
      </w:r>
      <w:r>
        <w:rPr>
          <w:rFonts w:hint="eastAsia" w:ascii="仿宋" w:hAnsi="仿宋" w:eastAsia="仿宋" w:cs="仿宋"/>
          <w:color w:val="000000"/>
          <w:kern w:val="0"/>
          <w:sz w:val="32"/>
          <w:szCs w:val="32"/>
        </w:rPr>
        <w:t>盖率1</w:t>
      </w:r>
      <w:r>
        <w:rPr>
          <w:rFonts w:hint="eastAsia" w:ascii="仿宋" w:hAnsi="仿宋" w:eastAsia="仿宋" w:cs="仿宋"/>
          <w:color w:val="000000"/>
          <w:kern w:val="0"/>
          <w:sz w:val="32"/>
          <w:szCs w:val="32"/>
          <w:lang w:val="en-US" w:eastAsia="zh-CN"/>
        </w:rPr>
        <w:t>8</w:t>
      </w:r>
      <w:r>
        <w:rPr>
          <w:rFonts w:hint="eastAsia" w:ascii="仿宋" w:hAnsi="仿宋" w:eastAsia="仿宋" w:cs="仿宋"/>
          <w:color w:val="000000"/>
          <w:kern w:val="0"/>
          <w:sz w:val="32"/>
          <w:szCs w:val="32"/>
        </w:rPr>
        <w:t>%；增强型乡镇商贸中心1个，覆盖率6%；全县快递业务量3431.8万件，现有</w:t>
      </w:r>
      <w:r>
        <w:rPr>
          <w:rFonts w:hint="eastAsia" w:ascii="仿宋" w:hAnsi="仿宋" w:eastAsia="仿宋" w:cs="仿宋"/>
          <w:color w:val="000000"/>
          <w:kern w:val="0"/>
          <w:sz w:val="32"/>
          <w:szCs w:val="32"/>
          <w:lang w:val="en-US" w:eastAsia="zh-CN"/>
        </w:rPr>
        <w:t>基本</w:t>
      </w:r>
      <w:r>
        <w:rPr>
          <w:rFonts w:hint="eastAsia" w:ascii="仿宋" w:hAnsi="仿宋" w:eastAsia="仿宋" w:cs="仿宋"/>
          <w:color w:val="000000"/>
          <w:kern w:val="0"/>
          <w:sz w:val="32"/>
          <w:szCs w:val="32"/>
        </w:rPr>
        <w:t>型县级物流中心1个。物流、快件业务吞吐量占全县物流总量20%-30%；乡镇快递物流站点17个；村级快递物流服务站点</w:t>
      </w:r>
      <w:r>
        <w:rPr>
          <w:rFonts w:hint="eastAsia" w:ascii="仿宋" w:hAnsi="仿宋" w:eastAsia="仿宋" w:cs="仿宋"/>
          <w:kern w:val="0"/>
          <w:sz w:val="32"/>
          <w:szCs w:val="32"/>
        </w:rPr>
        <w:t>29个；快递进村覆盖率达100%。全县村级便民商店覆盖率有78%</w:t>
      </w:r>
      <w:bookmarkEnd w:id="7"/>
      <w:r>
        <w:rPr>
          <w:rFonts w:hint="eastAsia" w:ascii="仿宋" w:hAnsi="仿宋" w:eastAsia="仿宋" w:cs="仿宋"/>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 w:hAnsi="仿宋" w:eastAsia="仿宋" w:cs="仿宋"/>
          <w:color w:val="000000"/>
          <w:kern w:val="0"/>
          <w:sz w:val="32"/>
          <w:szCs w:val="32"/>
        </w:rPr>
      </w:pPr>
      <w:r>
        <w:rPr>
          <w:rFonts w:hint="eastAsia" w:ascii="仿宋" w:hAnsi="仿宋" w:eastAsia="仿宋" w:cs="仿宋"/>
          <w:color w:val="000000"/>
          <w:kern w:val="0"/>
          <w:sz w:val="32"/>
          <w:szCs w:val="32"/>
        </w:rPr>
        <w:t>上述综合商贸服务主体集旅游住宿购物贸易一站式服务，为消费者提供休闲旅游购物贸易的便利需求。摸底调查情况看，村级便民商店覆盖率偏低，村级便利店品类少、样式少。</w:t>
      </w:r>
    </w:p>
    <w:p>
      <w:pPr>
        <w:rPr>
          <w:rFonts w:ascii="仿宋" w:hAnsi="仿宋" w:eastAsia="仿宋" w:cs="仿宋"/>
          <w:color w:val="333333"/>
          <w:sz w:val="32"/>
          <w:szCs w:val="32"/>
          <w:shd w:val="clear" w:color="auto" w:fill="FFFFFF"/>
        </w:rPr>
        <w:sectPr>
          <w:footerReference r:id="rId3" w:type="default"/>
          <w:pgSz w:w="11906" w:h="16838"/>
          <w:pgMar w:top="1440" w:right="1803" w:bottom="1440" w:left="1803" w:header="851" w:footer="992" w:gutter="0"/>
          <w:pgNumType w:start="1"/>
          <w:cols w:space="0" w:num="1"/>
          <w:docGrid w:type="lines" w:linePitch="319" w:charSpace="0"/>
        </w:sectPr>
      </w:pPr>
      <w:r>
        <w:rPr>
          <w:rFonts w:hint="eastAsia" w:ascii="仿宋" w:hAnsi="仿宋" w:eastAsia="仿宋" w:cs="仿宋"/>
          <w:color w:val="333333"/>
          <w:sz w:val="32"/>
          <w:szCs w:val="32"/>
          <w:shd w:val="clear" w:color="auto" w:fill="FFFFFF"/>
        </w:rPr>
        <w:br w:type="page"/>
      </w:r>
    </w:p>
    <w:p/>
    <w:p>
      <w:pPr>
        <w:widowControl/>
        <w:numPr>
          <w:ilvl w:val="0"/>
          <w:numId w:val="3"/>
        </w:numPr>
        <w:spacing w:line="560" w:lineRule="exact"/>
        <w:ind w:left="0" w:firstLine="643" w:firstLineChars="200"/>
        <w:jc w:val="left"/>
        <w:outlineLvl w:val="2"/>
        <w:rPr>
          <w:rFonts w:ascii="宋体" w:hAnsi="宋体" w:eastAsia="宋体" w:cs="宋体"/>
          <w:b/>
          <w:bCs/>
          <w:color w:val="000000"/>
          <w:kern w:val="0"/>
          <w:sz w:val="32"/>
          <w:szCs w:val="32"/>
        </w:rPr>
      </w:pPr>
      <w:bookmarkStart w:id="8" w:name="_Toc21090"/>
      <w:r>
        <w:rPr>
          <w:rFonts w:hint="eastAsia" w:ascii="宋体" w:hAnsi="宋体" w:eastAsia="宋体" w:cs="宋体"/>
          <w:b/>
          <w:bCs/>
          <w:color w:val="000000"/>
          <w:kern w:val="0"/>
          <w:sz w:val="32"/>
          <w:szCs w:val="32"/>
        </w:rPr>
        <w:t>摸底情况汇总表</w:t>
      </w:r>
      <w:bookmarkEnd w:id="8"/>
    </w:p>
    <w:tbl>
      <w:tblPr>
        <w:tblStyle w:val="19"/>
        <w:tblW w:w="5000" w:type="pct"/>
        <w:tblInd w:w="0" w:type="dxa"/>
        <w:tblLayout w:type="autofit"/>
        <w:tblCellMar>
          <w:top w:w="0" w:type="dxa"/>
          <w:left w:w="108" w:type="dxa"/>
          <w:bottom w:w="0" w:type="dxa"/>
          <w:right w:w="108" w:type="dxa"/>
        </w:tblCellMar>
      </w:tblPr>
      <w:tblGrid>
        <w:gridCol w:w="648"/>
        <w:gridCol w:w="879"/>
        <w:gridCol w:w="663"/>
        <w:gridCol w:w="791"/>
        <w:gridCol w:w="513"/>
        <w:gridCol w:w="513"/>
        <w:gridCol w:w="513"/>
        <w:gridCol w:w="516"/>
        <w:gridCol w:w="522"/>
        <w:gridCol w:w="513"/>
        <w:gridCol w:w="513"/>
        <w:gridCol w:w="513"/>
        <w:gridCol w:w="516"/>
        <w:gridCol w:w="522"/>
        <w:gridCol w:w="618"/>
        <w:gridCol w:w="513"/>
        <w:gridCol w:w="519"/>
        <w:gridCol w:w="522"/>
        <w:gridCol w:w="513"/>
        <w:gridCol w:w="519"/>
        <w:gridCol w:w="652"/>
        <w:gridCol w:w="652"/>
        <w:gridCol w:w="658"/>
        <w:gridCol w:w="873"/>
      </w:tblGrid>
      <w:tr>
        <w:tblPrEx>
          <w:tblCellMar>
            <w:top w:w="0" w:type="dxa"/>
            <w:left w:w="108" w:type="dxa"/>
            <w:bottom w:w="0" w:type="dxa"/>
            <w:right w:w="108" w:type="dxa"/>
          </w:tblCellMar>
        </w:tblPrEx>
        <w:trPr>
          <w:trHeight w:val="555" w:hRule="atLeast"/>
          <w:tblHeader/>
        </w:trPr>
        <w:tc>
          <w:tcPr>
            <w:tcW w:w="5000" w:type="pct"/>
            <w:gridSpan w:val="24"/>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32"/>
                <w:szCs w:val="32"/>
              </w:rPr>
              <w:t>连城县商业建设行动摸底情况表（2021年底数）汇总表</w:t>
            </w:r>
          </w:p>
        </w:tc>
      </w:tr>
      <w:tr>
        <w:tblPrEx>
          <w:tblCellMar>
            <w:top w:w="0" w:type="dxa"/>
            <w:left w:w="108" w:type="dxa"/>
            <w:bottom w:w="0" w:type="dxa"/>
            <w:right w:w="108" w:type="dxa"/>
          </w:tblCellMar>
        </w:tblPrEx>
        <w:trPr>
          <w:trHeight w:val="555" w:hRule="atLeast"/>
          <w:tblHeader/>
        </w:trPr>
        <w:tc>
          <w:tcPr>
            <w:tcW w:w="773" w:type="pct"/>
            <w:gridSpan w:val="3"/>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乡镇名称及建制村数</w:t>
            </w:r>
          </w:p>
        </w:tc>
        <w:tc>
          <w:tcPr>
            <w:tcW w:w="279" w:type="pct"/>
            <w:vMerge w:val="restar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县域龙头商贸流通企业</w:t>
            </w:r>
          </w:p>
        </w:tc>
        <w:tc>
          <w:tcPr>
            <w:tcW w:w="909" w:type="pct"/>
            <w:gridSpan w:val="5"/>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县城综合商贸服务中心</w:t>
            </w:r>
          </w:p>
        </w:tc>
        <w:tc>
          <w:tcPr>
            <w:tcW w:w="909" w:type="pct"/>
            <w:gridSpan w:val="5"/>
            <w:tcBorders>
              <w:top w:val="single" w:color="000000" w:sz="8" w:space="0"/>
              <w:left w:val="nil"/>
              <w:bottom w:val="nil"/>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乡镇商贸中心数</w:t>
            </w:r>
          </w:p>
        </w:tc>
        <w:tc>
          <w:tcPr>
            <w:tcW w:w="582" w:type="pct"/>
            <w:gridSpan w:val="3"/>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村级便民</w:t>
            </w:r>
          </w:p>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商店数</w:t>
            </w:r>
          </w:p>
        </w:tc>
        <w:tc>
          <w:tcPr>
            <w:tcW w:w="548" w:type="pct"/>
            <w:gridSpan w:val="3"/>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便民商店的</w:t>
            </w:r>
          </w:p>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建制村数</w:t>
            </w:r>
          </w:p>
        </w:tc>
        <w:tc>
          <w:tcPr>
            <w:tcW w:w="692" w:type="pct"/>
            <w:gridSpan w:val="3"/>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kern w:val="0"/>
                <w:sz w:val="24"/>
              </w:rPr>
            </w:pPr>
            <w:r>
              <w:rPr>
                <w:rFonts w:hint="eastAsia" w:ascii="宋体" w:hAnsi="宋体" w:eastAsia="宋体" w:cs="宋体"/>
                <w:b/>
                <w:bCs/>
                <w:color w:val="000000"/>
                <w:kern w:val="0"/>
                <w:sz w:val="24"/>
              </w:rPr>
              <w:t>县级物流</w:t>
            </w:r>
          </w:p>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4"/>
              </w:rPr>
              <w:t>配送中心</w:t>
            </w:r>
          </w:p>
        </w:tc>
        <w:tc>
          <w:tcPr>
            <w:tcW w:w="304" w:type="pct"/>
            <w:vMerge w:val="restar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乡镇邮政、快递网点数</w:t>
            </w:r>
          </w:p>
        </w:tc>
      </w:tr>
      <w:tr>
        <w:tblPrEx>
          <w:tblCellMar>
            <w:top w:w="0" w:type="dxa"/>
            <w:left w:w="108" w:type="dxa"/>
            <w:bottom w:w="0" w:type="dxa"/>
            <w:right w:w="108" w:type="dxa"/>
          </w:tblCellMar>
        </w:tblPrEx>
        <w:trPr>
          <w:trHeight w:val="880" w:hRule="atLeast"/>
          <w:tblHeader/>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序号</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镇（乡）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建制村数</w:t>
            </w:r>
          </w:p>
        </w:tc>
        <w:tc>
          <w:tcPr>
            <w:tcW w:w="279" w:type="pct"/>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eastAsia="宋体" w:cs="宋体"/>
                <w:b/>
                <w:bCs/>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建设中</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未达到</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基本型</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增强型</w:t>
            </w:r>
          </w:p>
        </w:tc>
        <w:tc>
          <w:tcPr>
            <w:tcW w:w="182"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提升型</w:t>
            </w:r>
          </w:p>
        </w:tc>
        <w:tc>
          <w:tcPr>
            <w:tcW w:w="181"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建设中</w:t>
            </w:r>
          </w:p>
        </w:tc>
        <w:tc>
          <w:tcPr>
            <w:tcW w:w="181"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未达到</w:t>
            </w:r>
          </w:p>
        </w:tc>
        <w:tc>
          <w:tcPr>
            <w:tcW w:w="181"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基本型</w:t>
            </w:r>
          </w:p>
        </w:tc>
        <w:tc>
          <w:tcPr>
            <w:tcW w:w="182"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增强型</w:t>
            </w:r>
          </w:p>
        </w:tc>
        <w:tc>
          <w:tcPr>
            <w:tcW w:w="182"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提升型</w:t>
            </w:r>
          </w:p>
        </w:tc>
        <w:tc>
          <w:tcPr>
            <w:tcW w:w="218"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基本型</w:t>
            </w:r>
          </w:p>
        </w:tc>
        <w:tc>
          <w:tcPr>
            <w:tcW w:w="181"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增强型</w:t>
            </w:r>
          </w:p>
        </w:tc>
        <w:tc>
          <w:tcPr>
            <w:tcW w:w="182"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提升型</w:t>
            </w:r>
          </w:p>
        </w:tc>
        <w:tc>
          <w:tcPr>
            <w:tcW w:w="184"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基本型</w:t>
            </w:r>
          </w:p>
        </w:tc>
        <w:tc>
          <w:tcPr>
            <w:tcW w:w="181"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增强型</w:t>
            </w:r>
          </w:p>
        </w:tc>
        <w:tc>
          <w:tcPr>
            <w:tcW w:w="182"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Cs w:val="21"/>
              </w:rPr>
              <w:t>提升型</w:t>
            </w:r>
          </w:p>
        </w:tc>
        <w:tc>
          <w:tcPr>
            <w:tcW w:w="230"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4"/>
              </w:rPr>
              <w:t>基本型</w:t>
            </w:r>
          </w:p>
        </w:tc>
        <w:tc>
          <w:tcPr>
            <w:tcW w:w="230"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4"/>
              </w:rPr>
              <w:t>增强型</w:t>
            </w:r>
          </w:p>
        </w:tc>
        <w:tc>
          <w:tcPr>
            <w:tcW w:w="231" w:type="pct"/>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4"/>
              </w:rPr>
              <w:t>提升型</w:t>
            </w:r>
          </w:p>
        </w:tc>
        <w:tc>
          <w:tcPr>
            <w:tcW w:w="304" w:type="pct"/>
            <w:vMerge w:val="continue"/>
            <w:tcBorders>
              <w:top w:val="single" w:color="000000" w:sz="8" w:space="0"/>
              <w:left w:val="nil"/>
              <w:bottom w:val="single" w:color="000000" w:sz="8" w:space="0"/>
              <w:right w:val="single" w:color="000000" w:sz="8" w:space="0"/>
            </w:tcBorders>
            <w:shd w:val="clear" w:color="auto" w:fill="auto"/>
            <w:vAlign w:val="center"/>
          </w:tcPr>
          <w:p>
            <w:pPr>
              <w:jc w:val="center"/>
              <w:rPr>
                <w:rFonts w:ascii="宋体" w:hAnsi="宋体" w:eastAsia="宋体" w:cs="宋体"/>
                <w:b/>
                <w:bCs/>
                <w:color w:val="000000"/>
                <w:sz w:val="20"/>
                <w:szCs w:val="20"/>
              </w:rPr>
            </w:pP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莲峰镇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13</w:t>
            </w:r>
          </w:p>
        </w:tc>
        <w:tc>
          <w:tcPr>
            <w:tcW w:w="279"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63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2</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北团镇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19</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123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14</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3</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姑田镇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14</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134</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4</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朋口镇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23</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194</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5</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莒溪镇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21</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114</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15</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6</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新泉镇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19</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151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16</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7</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庙前镇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15</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63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8</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文亨镇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22</w:t>
            </w:r>
          </w:p>
        </w:tc>
        <w:tc>
          <w:tcPr>
            <w:tcW w:w="279"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78</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16</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9</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四堡镇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9</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9</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kern w:val="0"/>
                <w:sz w:val="20"/>
                <w:szCs w:val="20"/>
              </w:rPr>
            </w:pPr>
            <w:r>
              <w:rPr>
                <w:rFonts w:ascii="Tahoma" w:hAnsi="Tahoma" w:eastAsia="Tahoma" w:cs="Tahoma"/>
                <w:color w:val="000000"/>
                <w:kern w:val="0"/>
                <w:sz w:val="18"/>
                <w:szCs w:val="18"/>
              </w:rPr>
              <w:t>1</w:t>
            </w: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kern w:val="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kern w:val="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10</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林坊镇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15</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80</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11</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隔川镇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8</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21</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6</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12</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宣和镇</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13</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12</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13</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揭乐乡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9</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40</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6</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14</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塘前乡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6</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15</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4</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15</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罗坊乡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9</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23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16</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曲溪乡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9</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43</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17</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18"/>
                <w:szCs w:val="18"/>
              </w:rPr>
              <w:t>赖源乡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8</w:t>
            </w:r>
          </w:p>
        </w:tc>
        <w:tc>
          <w:tcPr>
            <w:tcW w:w="279"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Tahoma" w:hAnsi="Tahoma" w:eastAsia="Tahoma" w:cs="Tahoma"/>
                <w:color w:val="000000"/>
                <w:kern w:val="0"/>
                <w:sz w:val="18"/>
                <w:szCs w:val="18"/>
              </w:rPr>
              <w:t>7</w:t>
            </w:r>
          </w:p>
        </w:tc>
        <w:tc>
          <w:tcPr>
            <w:tcW w:w="18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0"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231" w:type="pct"/>
            <w:tcBorders>
              <w:top w:val="nil"/>
              <w:left w:val="nil"/>
              <w:bottom w:val="single" w:color="000000" w:sz="8" w:space="0"/>
              <w:right w:val="single" w:color="000000" w:sz="8" w:space="0"/>
            </w:tcBorders>
            <w:shd w:val="clear" w:color="auto" w:fill="auto"/>
            <w:vAlign w:val="center"/>
          </w:tcPr>
          <w:p>
            <w:pPr>
              <w:jc w:val="center"/>
              <w:rPr>
                <w:rFonts w:ascii="宋体" w:hAnsi="宋体" w:eastAsia="宋体" w:cs="宋体"/>
                <w:color w:val="000000"/>
                <w:sz w:val="20"/>
                <w:szCs w:val="20"/>
              </w:rPr>
            </w:pPr>
          </w:p>
        </w:tc>
        <w:tc>
          <w:tcPr>
            <w:tcW w:w="304" w:type="pct"/>
            <w:tcBorders>
              <w:top w:val="nil"/>
              <w:left w:val="nil"/>
              <w:bottom w:val="single" w:color="000000" w:sz="8" w:space="0"/>
              <w:right w:val="single" w:color="000000" w:sz="8" w:space="0"/>
            </w:tcBorders>
            <w:shd w:val="clear" w:color="auto" w:fill="auto"/>
            <w:noWrap/>
            <w:vAlign w:val="bottom"/>
          </w:tcPr>
          <w:p>
            <w:pPr>
              <w:widowControl/>
              <w:jc w:val="center"/>
              <w:textAlignment w:val="bottom"/>
              <w:rPr>
                <w:rFonts w:ascii="宋体" w:hAnsi="宋体" w:eastAsia="宋体" w:cs="宋体"/>
                <w:color w:val="000000"/>
                <w:sz w:val="20"/>
                <w:szCs w:val="20"/>
              </w:rPr>
            </w:pPr>
            <w:r>
              <w:rPr>
                <w:rFonts w:ascii="Tahoma" w:hAnsi="Tahoma" w:eastAsia="Tahoma" w:cs="Tahoma"/>
                <w:color w:val="000000"/>
                <w:kern w:val="0"/>
                <w:sz w:val="18"/>
                <w:szCs w:val="18"/>
              </w:rPr>
              <w:t>1</w:t>
            </w:r>
          </w:p>
        </w:tc>
      </w:tr>
      <w:tr>
        <w:tblPrEx>
          <w:tblCellMar>
            <w:top w:w="0" w:type="dxa"/>
            <w:left w:w="108" w:type="dxa"/>
            <w:bottom w:w="0" w:type="dxa"/>
            <w:right w:w="108" w:type="dxa"/>
          </w:tblCellMar>
        </w:tblPrEx>
        <w:trPr>
          <w:trHeight w:val="540" w:hRule="atLeast"/>
        </w:trPr>
        <w:tc>
          <w:tcPr>
            <w:tcW w:w="229" w:type="pct"/>
            <w:tcBorders>
              <w:top w:val="nil"/>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ascii="Tahoma" w:hAnsi="Tahoma" w:eastAsia="Tahoma" w:cs="Tahoma"/>
                <w:b/>
                <w:bCs/>
                <w:color w:val="000000"/>
                <w:kern w:val="0"/>
                <w:sz w:val="18"/>
                <w:szCs w:val="18"/>
              </w:rPr>
              <w:t>18</w:t>
            </w:r>
          </w:p>
        </w:tc>
        <w:tc>
          <w:tcPr>
            <w:tcW w:w="31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合计</w:t>
            </w:r>
          </w:p>
        </w:tc>
        <w:tc>
          <w:tcPr>
            <w:tcW w:w="23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232</w:t>
            </w:r>
          </w:p>
        </w:tc>
        <w:tc>
          <w:tcPr>
            <w:tcW w:w="279"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4</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218"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1175</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180</w:t>
            </w:r>
          </w:p>
        </w:tc>
        <w:tc>
          <w:tcPr>
            <w:tcW w:w="18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182"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23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0</w:t>
            </w:r>
          </w:p>
        </w:tc>
        <w:tc>
          <w:tcPr>
            <w:tcW w:w="230"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w:t>
            </w:r>
          </w:p>
        </w:tc>
        <w:tc>
          <w:tcPr>
            <w:tcW w:w="231"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18"/>
                <w:szCs w:val="18"/>
              </w:rPr>
              <w:t>1</w:t>
            </w:r>
          </w:p>
        </w:tc>
        <w:tc>
          <w:tcPr>
            <w:tcW w:w="304" w:type="pct"/>
            <w:tcBorders>
              <w:top w:val="nil"/>
              <w:left w:val="nil"/>
              <w:bottom w:val="single" w:color="000000" w:sz="8" w:space="0"/>
              <w:right w:val="single" w:color="000000" w:sz="8" w:space="0"/>
            </w:tcBorders>
            <w:shd w:val="clear" w:color="auto" w:fill="auto"/>
            <w:vAlign w:val="center"/>
          </w:tcPr>
          <w:p>
            <w:pPr>
              <w:widowControl/>
              <w:jc w:val="center"/>
              <w:textAlignment w:val="center"/>
              <w:rPr>
                <w:rFonts w:hint="default" w:ascii="宋体" w:hAnsi="宋体" w:eastAsia="宋体" w:cs="宋体"/>
                <w:b/>
                <w:bCs/>
                <w:color w:val="000000"/>
                <w:sz w:val="20"/>
                <w:szCs w:val="20"/>
                <w:lang w:val="en-US" w:eastAsia="zh-CN"/>
              </w:rPr>
            </w:pPr>
            <w:r>
              <w:rPr>
                <w:rFonts w:hint="eastAsia" w:ascii="宋体" w:hAnsi="宋体" w:eastAsia="宋体" w:cs="宋体"/>
                <w:b/>
                <w:bCs/>
                <w:color w:val="000000"/>
                <w:kern w:val="0"/>
                <w:sz w:val="18"/>
                <w:szCs w:val="18"/>
                <w:lang w:val="en-US" w:eastAsia="zh-CN"/>
              </w:rPr>
              <w:t>17</w:t>
            </w:r>
          </w:p>
        </w:tc>
      </w:tr>
    </w:tbl>
    <w:p>
      <w:pPr>
        <w:rPr>
          <w:rFonts w:ascii="黑体" w:hAnsi="黑体" w:eastAsia="黑体" w:cs="黑体"/>
          <w:b/>
          <w:bCs/>
          <w:color w:val="000000"/>
          <w:kern w:val="0"/>
          <w:sz w:val="32"/>
          <w:szCs w:val="32"/>
        </w:rPr>
        <w:sectPr>
          <w:pgSz w:w="16838" w:h="11906" w:orient="landscape"/>
          <w:pgMar w:top="1803" w:right="1440" w:bottom="1803" w:left="1440" w:header="851" w:footer="992" w:gutter="0"/>
          <w:cols w:space="0" w:num="1"/>
          <w:docGrid w:type="lines" w:linePitch="319" w:charSpace="0"/>
        </w:sectPr>
      </w:pPr>
    </w:p>
    <w:p/>
    <w:p>
      <w:pPr>
        <w:widowControl/>
        <w:numPr>
          <w:ilvl w:val="0"/>
          <w:numId w:val="3"/>
        </w:numPr>
        <w:spacing w:line="560" w:lineRule="exact"/>
        <w:ind w:left="0" w:firstLine="643" w:firstLineChars="200"/>
        <w:jc w:val="left"/>
        <w:outlineLvl w:val="2"/>
        <w:rPr>
          <w:rFonts w:ascii="宋体" w:hAnsi="宋体" w:eastAsia="宋体" w:cs="宋体"/>
          <w:b/>
          <w:bCs/>
          <w:color w:val="000000"/>
          <w:kern w:val="0"/>
          <w:sz w:val="32"/>
          <w:szCs w:val="32"/>
        </w:rPr>
      </w:pPr>
      <w:bookmarkStart w:id="9" w:name="_Toc30344"/>
      <w:r>
        <w:rPr>
          <w:rFonts w:hint="eastAsia" w:ascii="宋体" w:hAnsi="宋体" w:eastAsia="宋体" w:cs="宋体"/>
          <w:b/>
          <w:bCs/>
          <w:color w:val="000000"/>
          <w:kern w:val="0"/>
          <w:sz w:val="32"/>
          <w:szCs w:val="32"/>
        </w:rPr>
        <w:t>摸底情况细化情况</w:t>
      </w:r>
      <w:bookmarkEnd w:id="9"/>
    </w:p>
    <w:p>
      <w:pPr>
        <w:numPr>
          <w:ilvl w:val="0"/>
          <w:numId w:val="4"/>
        </w:numPr>
        <w:ind w:left="0" w:firstLine="643" w:firstLineChars="200"/>
        <w:outlineLvl w:val="3"/>
        <w:rPr>
          <w:rFonts w:asciiTheme="majorEastAsia" w:hAnsiTheme="majorEastAsia" w:eastAsiaTheme="majorEastAsia" w:cstheme="majorEastAsia"/>
          <w:b/>
          <w:bCs/>
          <w:sz w:val="32"/>
          <w:szCs w:val="32"/>
        </w:rPr>
      </w:pPr>
      <w:bookmarkStart w:id="10" w:name="_Toc8743"/>
      <w:r>
        <w:rPr>
          <w:rFonts w:hint="eastAsia" w:asciiTheme="majorEastAsia" w:hAnsiTheme="majorEastAsia" w:eastAsiaTheme="majorEastAsia" w:cstheme="majorEastAsia"/>
          <w:b/>
          <w:bCs/>
          <w:color w:val="000000"/>
          <w:kern w:val="0"/>
          <w:sz w:val="32"/>
          <w:szCs w:val="32"/>
        </w:rPr>
        <w:t>县域龙头商贸流通企业</w:t>
      </w:r>
      <w:bookmarkEnd w:id="10"/>
    </w:p>
    <w:tbl>
      <w:tblPr>
        <w:tblStyle w:val="19"/>
        <w:tblW w:w="0" w:type="auto"/>
        <w:tblInd w:w="91" w:type="dxa"/>
        <w:tblLayout w:type="fixed"/>
        <w:tblCellMar>
          <w:top w:w="0" w:type="dxa"/>
          <w:left w:w="108" w:type="dxa"/>
          <w:bottom w:w="0" w:type="dxa"/>
          <w:right w:w="108" w:type="dxa"/>
        </w:tblCellMar>
      </w:tblPr>
      <w:tblGrid>
        <w:gridCol w:w="440"/>
        <w:gridCol w:w="949"/>
        <w:gridCol w:w="1084"/>
        <w:gridCol w:w="915"/>
        <w:gridCol w:w="885"/>
        <w:gridCol w:w="1515"/>
        <w:gridCol w:w="735"/>
        <w:gridCol w:w="735"/>
        <w:gridCol w:w="855"/>
        <w:gridCol w:w="1020"/>
        <w:gridCol w:w="1230"/>
        <w:gridCol w:w="1270"/>
        <w:gridCol w:w="1115"/>
        <w:gridCol w:w="1333"/>
      </w:tblGrid>
      <w:tr>
        <w:tblPrEx>
          <w:tblCellMar>
            <w:top w:w="0" w:type="dxa"/>
            <w:left w:w="108" w:type="dxa"/>
            <w:bottom w:w="0" w:type="dxa"/>
            <w:right w:w="108" w:type="dxa"/>
          </w:tblCellMar>
        </w:tblPrEx>
        <w:trPr>
          <w:trHeight w:val="734" w:hRule="atLeast"/>
          <w:tblHeader/>
        </w:trPr>
        <w:tc>
          <w:tcPr>
            <w:tcW w:w="14081" w:type="dxa"/>
            <w:gridSpan w:val="14"/>
            <w:tcBorders>
              <w:top w:val="nil"/>
              <w:left w:val="nil"/>
              <w:bottom w:val="nil"/>
              <w:right w:val="nil"/>
            </w:tcBorders>
            <w:shd w:val="clear" w:color="auto" w:fill="auto"/>
            <w:noWrap/>
            <w:vAlign w:val="bottom"/>
          </w:tcPr>
          <w:p>
            <w:pPr>
              <w:widowControl/>
              <w:jc w:val="center"/>
              <w:textAlignment w:val="bottom"/>
              <w:rPr>
                <w:rFonts w:ascii="宋体" w:hAnsi="宋体" w:eastAsia="宋体" w:cs="宋体"/>
                <w:b/>
                <w:bCs/>
                <w:color w:val="000000"/>
                <w:sz w:val="20"/>
                <w:szCs w:val="20"/>
              </w:rPr>
            </w:pPr>
            <w:r>
              <w:rPr>
                <w:rFonts w:hint="eastAsia" w:ascii="宋体" w:hAnsi="宋体" w:eastAsia="宋体" w:cs="宋体"/>
                <w:b/>
                <w:bCs/>
                <w:color w:val="000000"/>
                <w:kern w:val="0"/>
                <w:sz w:val="32"/>
                <w:szCs w:val="32"/>
              </w:rPr>
              <w:t>县域龙头商贸流通企业</w:t>
            </w:r>
          </w:p>
        </w:tc>
      </w:tr>
      <w:tr>
        <w:tblPrEx>
          <w:tblCellMar>
            <w:top w:w="0" w:type="dxa"/>
            <w:left w:w="108" w:type="dxa"/>
            <w:bottom w:w="0" w:type="dxa"/>
            <w:right w:w="108" w:type="dxa"/>
          </w:tblCellMar>
        </w:tblPrEx>
        <w:trPr>
          <w:trHeight w:val="285" w:hRule="atLeast"/>
          <w:tblHeader/>
        </w:trPr>
        <w:tc>
          <w:tcPr>
            <w:tcW w:w="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序号</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企业</w:t>
            </w:r>
          </w:p>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名称</w:t>
            </w:r>
          </w:p>
        </w:tc>
        <w:tc>
          <w:tcPr>
            <w:tcW w:w="1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地址</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企业</w:t>
            </w:r>
          </w:p>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性质</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业务范围</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主要经营范围</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是否为连锁经营企业</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是否有自建物流</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2021年销售额（万元）</w:t>
            </w:r>
          </w:p>
        </w:tc>
        <w:tc>
          <w:tcPr>
            <w:tcW w:w="59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企业连锁及配送网点情况</w:t>
            </w:r>
          </w:p>
        </w:tc>
      </w:tr>
      <w:tr>
        <w:tblPrEx>
          <w:tblCellMar>
            <w:top w:w="0" w:type="dxa"/>
            <w:left w:w="108" w:type="dxa"/>
            <w:bottom w:w="0" w:type="dxa"/>
            <w:right w:w="108" w:type="dxa"/>
          </w:tblCellMar>
        </w:tblPrEx>
        <w:trPr>
          <w:trHeight w:val="1273" w:hRule="atLeast"/>
          <w:tblHeader/>
        </w:trPr>
        <w:tc>
          <w:tcPr>
            <w:tcW w:w="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20"/>
                <w:szCs w:val="20"/>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县乡村连锁零售网点数量（个）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提供集中采购、统一配送等服务的网点数量（个）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连锁及配送网点占全县同类零售网点比例（%）</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连锁及配送网点覆盖乡镇比例</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连锁及配送网点覆盖行政村比例（%）</w:t>
            </w:r>
          </w:p>
        </w:tc>
      </w:tr>
      <w:tr>
        <w:tblPrEx>
          <w:tblCellMar>
            <w:top w:w="0" w:type="dxa"/>
            <w:left w:w="108" w:type="dxa"/>
            <w:bottom w:w="0" w:type="dxa"/>
            <w:right w:w="108" w:type="dxa"/>
          </w:tblCellMar>
        </w:tblPrEx>
        <w:trPr>
          <w:trHeight w:val="3838"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kern w:val="0"/>
                <w:sz w:val="20"/>
                <w:szCs w:val="20"/>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kern w:val="0"/>
                <w:sz w:val="20"/>
                <w:szCs w:val="20"/>
              </w:rPr>
              <w:t>福建省鑫煌贸易有限公司</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kern w:val="0"/>
                <w:sz w:val="20"/>
                <w:szCs w:val="20"/>
              </w:rPr>
              <w:t>连城县莲峰镇百花小区2号楼1404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邮政</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供销</w:t>
            </w:r>
          </w:p>
          <w:p>
            <w:pPr>
              <w:jc w:val="left"/>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国有企业</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民营企业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FE"/>
            </w:r>
            <w:r>
              <w:rPr>
                <w:rFonts w:hint="eastAsia" w:ascii="宋体" w:hAnsi="宋体" w:eastAsia="宋体" w:cs="宋体"/>
                <w:sz w:val="20"/>
                <w:szCs w:val="20"/>
              </w:rPr>
              <w:t>本县</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本省</w:t>
            </w:r>
          </w:p>
          <w:p>
            <w:pPr>
              <w:jc w:val="left"/>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kern w:val="0"/>
                <w:sz w:val="20"/>
                <w:szCs w:val="20"/>
              </w:rPr>
              <w:t>全国</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日用消费品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快递物流</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餐饮</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生活服务</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电商</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农资</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生鲜农产品</w:t>
            </w:r>
          </w:p>
          <w:p>
            <w:pPr>
              <w:pStyle w:val="24"/>
              <w:rPr>
                <w:b w:val="0"/>
              </w:rPr>
            </w:pPr>
            <w:r>
              <w:rPr>
                <w:rFonts w:hint="eastAsia" w:cs="宋体"/>
                <w:b w:val="0"/>
                <w:sz w:val="20"/>
                <w:szCs w:val="20"/>
              </w:rPr>
              <w:sym w:font="Wingdings" w:char="00FE"/>
            </w:r>
            <w:r>
              <w:rPr>
                <w:rFonts w:hint="eastAsia" w:cs="宋体"/>
                <w:b w:val="0"/>
                <w:sz w:val="20"/>
                <w:szCs w:val="20"/>
              </w:rPr>
              <w:t>其他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5000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w:t>
            </w:r>
          </w:p>
        </w:tc>
      </w:tr>
      <w:tr>
        <w:tblPrEx>
          <w:tblCellMar>
            <w:top w:w="0" w:type="dxa"/>
            <w:left w:w="108" w:type="dxa"/>
            <w:bottom w:w="0" w:type="dxa"/>
            <w:right w:w="108" w:type="dxa"/>
          </w:tblCellMar>
        </w:tblPrEx>
        <w:trPr>
          <w:trHeight w:val="315"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连城县佳源超市</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福建省龙岩市连城县莲峰镇城西村北大西路23号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邮政</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供销</w:t>
            </w:r>
          </w:p>
          <w:p>
            <w:pPr>
              <w:jc w:val="left"/>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国有企业</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民营企业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kern w:val="0"/>
                <w:sz w:val="20"/>
                <w:szCs w:val="20"/>
              </w:rPr>
              <w:sym w:font="Wingdings" w:char="00FE"/>
            </w:r>
            <w:r>
              <w:rPr>
                <w:rFonts w:hint="eastAsia" w:ascii="宋体" w:hAnsi="宋体" w:eastAsia="宋体" w:cs="宋体"/>
                <w:sz w:val="20"/>
                <w:szCs w:val="20"/>
              </w:rPr>
              <w:t>本县</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本省</w:t>
            </w:r>
          </w:p>
          <w:p>
            <w:pPr>
              <w:jc w:val="left"/>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kern w:val="0"/>
                <w:sz w:val="20"/>
                <w:szCs w:val="20"/>
              </w:rPr>
              <w:t>全国</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日用消费品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快递物流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餐饮</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生活服务</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电商</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农资</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生鲜农产品</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其他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3000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r>
      <w:tr>
        <w:tblPrEx>
          <w:tblCellMar>
            <w:top w:w="0" w:type="dxa"/>
            <w:left w:w="108" w:type="dxa"/>
            <w:bottom w:w="0" w:type="dxa"/>
            <w:right w:w="108" w:type="dxa"/>
          </w:tblCellMar>
        </w:tblPrEx>
        <w:trPr>
          <w:trHeight w:val="315"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龙岩佰翔冠豸秘谷酒店有限公司</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福建省龙岩市连城县莲峰镇大坪村冠豸下路30号</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邮政</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供销</w:t>
            </w:r>
          </w:p>
          <w:p>
            <w:pPr>
              <w:jc w:val="left"/>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国有企业</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民营企业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FE"/>
            </w:r>
            <w:r>
              <w:rPr>
                <w:rFonts w:hint="eastAsia" w:ascii="宋体" w:hAnsi="宋体" w:eastAsia="宋体" w:cs="宋体"/>
                <w:sz w:val="20"/>
                <w:szCs w:val="20"/>
              </w:rPr>
              <w:t>本县</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本省</w:t>
            </w:r>
          </w:p>
          <w:p>
            <w:pPr>
              <w:jc w:val="left"/>
              <w:rPr>
                <w:rFonts w:ascii="宋体" w:hAnsi="宋体" w:eastAsia="宋体" w:cs="宋体"/>
                <w:sz w:val="20"/>
                <w:szCs w:val="20"/>
              </w:rPr>
            </w:pPr>
            <w:r>
              <w:rPr>
                <w:rFonts w:hint="eastAsia" w:ascii="宋体" w:hAnsi="宋体" w:eastAsia="宋体" w:cs="宋体"/>
                <w:sz w:val="20"/>
                <w:szCs w:val="20"/>
              </w:rPr>
              <w:sym w:font="Wingdings" w:char="00FE"/>
            </w:r>
            <w:r>
              <w:rPr>
                <w:rFonts w:hint="eastAsia" w:ascii="宋体" w:hAnsi="宋体" w:eastAsia="宋体" w:cs="宋体"/>
                <w:kern w:val="0"/>
                <w:sz w:val="20"/>
                <w:szCs w:val="20"/>
              </w:rPr>
              <w:t>全国</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日用消费品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快递物流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餐饮</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生活服务</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电商</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农资</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生鲜农产品</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其他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r>
      <w:tr>
        <w:tblPrEx>
          <w:tblCellMar>
            <w:top w:w="0" w:type="dxa"/>
            <w:left w:w="108" w:type="dxa"/>
            <w:bottom w:w="0" w:type="dxa"/>
            <w:right w:w="108" w:type="dxa"/>
          </w:tblCellMar>
        </w:tblPrEx>
        <w:trPr>
          <w:trHeight w:val="3008" w:hRule="atLeast"/>
        </w:trPr>
        <w:tc>
          <w:tcPr>
            <w:tcW w:w="4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天一温泉度假村有限公司</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连城县文亨乡文保村汤头</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邮政</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供销</w:t>
            </w:r>
          </w:p>
          <w:p>
            <w:pPr>
              <w:jc w:val="left"/>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国有企业</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民营企业</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FE"/>
            </w:r>
            <w:r>
              <w:rPr>
                <w:rFonts w:hint="eastAsia" w:ascii="宋体" w:hAnsi="宋体" w:eastAsia="宋体" w:cs="宋体"/>
                <w:sz w:val="20"/>
                <w:szCs w:val="20"/>
              </w:rPr>
              <w:t>本县</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本省</w:t>
            </w:r>
          </w:p>
          <w:p>
            <w:pPr>
              <w:jc w:val="left"/>
              <w:rPr>
                <w:rFonts w:ascii="宋体" w:hAnsi="宋体" w:eastAsia="宋体" w:cs="宋体"/>
                <w:sz w:val="20"/>
                <w:szCs w:val="20"/>
              </w:rPr>
            </w:pPr>
            <w:r>
              <w:rPr>
                <w:rFonts w:ascii="Wingdings" w:hAnsi="Wingdings" w:eastAsia="Wingdings 2" w:cs="Wingdings"/>
                <w:color w:val="000000"/>
                <w:kern w:val="0"/>
                <w:sz w:val="18"/>
                <w:szCs w:val="18"/>
              </w:rPr>
              <w:sym w:font="Wingdings" w:char="00FE"/>
            </w:r>
            <w:r>
              <w:rPr>
                <w:rFonts w:hint="eastAsia" w:ascii="宋体" w:hAnsi="宋体" w:eastAsia="宋体" w:cs="宋体"/>
                <w:kern w:val="0"/>
                <w:sz w:val="20"/>
                <w:szCs w:val="20"/>
              </w:rPr>
              <w:t>全国</w:t>
            </w: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日用消费品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快递物流</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餐饮</w:t>
            </w:r>
          </w:p>
          <w:p>
            <w:pPr>
              <w:pStyle w:val="24"/>
              <w:rPr>
                <w:rFonts w:cs="宋体"/>
                <w:b w:val="0"/>
                <w:sz w:val="20"/>
                <w:szCs w:val="20"/>
              </w:rPr>
            </w:pPr>
            <w:r>
              <w:rPr>
                <w:rFonts w:hint="eastAsia" w:cs="宋体"/>
                <w:b w:val="0"/>
                <w:sz w:val="20"/>
                <w:szCs w:val="20"/>
              </w:rPr>
              <w:sym w:font="Wingdings" w:char="00FE"/>
            </w:r>
            <w:r>
              <w:rPr>
                <w:rFonts w:hint="eastAsia" w:cs="宋体"/>
                <w:b w:val="0"/>
                <w:sz w:val="20"/>
                <w:szCs w:val="20"/>
              </w:rPr>
              <w:t>生活服务</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电商</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农资</w:t>
            </w:r>
          </w:p>
          <w:p>
            <w:pPr>
              <w:pStyle w:val="24"/>
              <w:rPr>
                <w:rFonts w:cs="宋体"/>
                <w:b w:val="0"/>
                <w:sz w:val="20"/>
                <w:szCs w:val="20"/>
              </w:rPr>
            </w:pPr>
            <w:r>
              <w:rPr>
                <w:rFonts w:hint="eastAsia" w:cs="宋体"/>
                <w:b w:val="0"/>
                <w:sz w:val="20"/>
                <w:szCs w:val="20"/>
              </w:rPr>
              <w:sym w:font="Wingdings" w:char="00A8"/>
            </w:r>
            <w:r>
              <w:rPr>
                <w:rFonts w:hint="eastAsia" w:cs="宋体"/>
                <w:b w:val="0"/>
                <w:sz w:val="20"/>
                <w:szCs w:val="20"/>
              </w:rPr>
              <w:t>生鲜农产品</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其他</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否</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sz w:val="20"/>
                <w:szCs w:val="20"/>
              </w:rPr>
            </w:pPr>
            <w:r>
              <w:rPr>
                <w:rFonts w:hint="eastAsia" w:ascii="宋体" w:hAnsi="宋体" w:eastAsia="宋体" w:cs="宋体"/>
                <w:sz w:val="20"/>
                <w:szCs w:val="20"/>
              </w:rPr>
              <w:sym w:font="Wingdings" w:char="00A8"/>
            </w:r>
            <w:r>
              <w:rPr>
                <w:rFonts w:hint="eastAsia" w:ascii="宋体" w:hAnsi="宋体" w:eastAsia="宋体" w:cs="宋体"/>
                <w:sz w:val="20"/>
                <w:szCs w:val="20"/>
              </w:rPr>
              <w:t>是</w:t>
            </w:r>
          </w:p>
          <w:p>
            <w:pPr>
              <w:pStyle w:val="24"/>
              <w:rPr>
                <w:rFonts w:cs="宋体"/>
                <w:sz w:val="20"/>
                <w:szCs w:val="20"/>
              </w:rPr>
            </w:pPr>
            <w:r>
              <w:rPr>
                <w:rFonts w:hint="eastAsia" w:cs="宋体"/>
                <w:b w:val="0"/>
                <w:sz w:val="20"/>
                <w:szCs w:val="20"/>
              </w:rPr>
              <w:sym w:font="Wingdings" w:char="00FE"/>
            </w:r>
            <w:r>
              <w:rPr>
                <w:rFonts w:hint="eastAsia" w:cs="宋体"/>
                <w:b w:val="0"/>
                <w:sz w:val="20"/>
                <w:szCs w:val="20"/>
              </w:rPr>
              <w:t>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rPr>
            </w:pPr>
            <w:r>
              <w:rPr>
                <w:rFonts w:hint="eastAsia" w:ascii="宋体" w:hAnsi="宋体" w:eastAsia="宋体" w:cs="宋体"/>
                <w:kern w:val="0"/>
                <w:sz w:val="20"/>
                <w:szCs w:val="20"/>
              </w:rPr>
              <w:t>2000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0  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sz w:val="20"/>
                <w:szCs w:val="20"/>
                <w:u w:val="single"/>
              </w:rPr>
            </w:pPr>
            <w:r>
              <w:rPr>
                <w:rFonts w:hint="eastAsia" w:ascii="宋体" w:hAnsi="宋体" w:eastAsia="宋体" w:cs="宋体"/>
                <w:kern w:val="0"/>
                <w:sz w:val="20"/>
                <w:szCs w:val="20"/>
                <w:u w:val="single"/>
              </w:rPr>
              <w:t xml:space="preserve">   /  %</w:t>
            </w:r>
          </w:p>
        </w:tc>
      </w:tr>
    </w:tbl>
    <w:p>
      <w:pPr>
        <w:ind w:left="420" w:leftChars="200"/>
      </w:pPr>
    </w:p>
    <w:p>
      <w:pPr>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br w:type="page"/>
      </w:r>
    </w:p>
    <w:p>
      <w:pPr>
        <w:numPr>
          <w:ilvl w:val="0"/>
          <w:numId w:val="4"/>
        </w:numPr>
        <w:ind w:left="0" w:firstLine="643" w:firstLineChars="200"/>
        <w:outlineLvl w:val="3"/>
        <w:rPr>
          <w:rFonts w:asciiTheme="majorEastAsia" w:hAnsiTheme="majorEastAsia" w:eastAsiaTheme="majorEastAsia" w:cstheme="majorEastAsia"/>
          <w:b/>
          <w:bCs/>
          <w:color w:val="000000"/>
          <w:kern w:val="0"/>
          <w:sz w:val="32"/>
          <w:szCs w:val="32"/>
        </w:rPr>
      </w:pPr>
      <w:bookmarkStart w:id="11" w:name="_Toc582"/>
      <w:r>
        <w:rPr>
          <w:rFonts w:hint="eastAsia" w:asciiTheme="majorEastAsia" w:hAnsiTheme="majorEastAsia" w:eastAsiaTheme="majorEastAsia" w:cstheme="majorEastAsia"/>
          <w:b/>
          <w:bCs/>
          <w:color w:val="000000"/>
          <w:kern w:val="0"/>
          <w:sz w:val="32"/>
          <w:szCs w:val="32"/>
        </w:rPr>
        <w:t>县城综合商贸服务中心</w:t>
      </w:r>
      <w:bookmarkEnd w:id="11"/>
    </w:p>
    <w:tbl>
      <w:tblPr>
        <w:tblStyle w:val="19"/>
        <w:tblW w:w="5000" w:type="pct"/>
        <w:jc w:val="center"/>
        <w:tblLayout w:type="fixed"/>
        <w:tblCellMar>
          <w:top w:w="0" w:type="dxa"/>
          <w:left w:w="108" w:type="dxa"/>
          <w:bottom w:w="0" w:type="dxa"/>
          <w:right w:w="108" w:type="dxa"/>
        </w:tblCellMar>
      </w:tblPr>
      <w:tblGrid>
        <w:gridCol w:w="540"/>
        <w:gridCol w:w="882"/>
        <w:gridCol w:w="751"/>
        <w:gridCol w:w="1165"/>
        <w:gridCol w:w="1035"/>
        <w:gridCol w:w="666"/>
        <w:gridCol w:w="816"/>
        <w:gridCol w:w="748"/>
        <w:gridCol w:w="859"/>
        <w:gridCol w:w="1009"/>
        <w:gridCol w:w="992"/>
        <w:gridCol w:w="1420"/>
        <w:gridCol w:w="3291"/>
      </w:tblGrid>
      <w:tr>
        <w:tblPrEx>
          <w:tblCellMar>
            <w:top w:w="0" w:type="dxa"/>
            <w:left w:w="108" w:type="dxa"/>
            <w:bottom w:w="0" w:type="dxa"/>
            <w:right w:w="108" w:type="dxa"/>
          </w:tblCellMar>
        </w:tblPrEx>
        <w:trPr>
          <w:trHeight w:val="362" w:hRule="atLeast"/>
          <w:tblHeader/>
          <w:jc w:val="center"/>
        </w:trPr>
        <w:tc>
          <w:tcPr>
            <w:tcW w:w="5000" w:type="pct"/>
            <w:gridSpan w:val="13"/>
            <w:tcBorders>
              <w:top w:val="nil"/>
              <w:left w:val="nil"/>
              <w:bottom w:val="nil"/>
              <w:right w:val="nil"/>
            </w:tcBorders>
            <w:shd w:val="clear" w:color="auto" w:fill="auto"/>
            <w:noWrap/>
            <w:vAlign w:val="bottom"/>
          </w:tcPr>
          <w:p>
            <w:pPr>
              <w:widowControl/>
              <w:jc w:val="center"/>
              <w:textAlignment w:val="bottom"/>
              <w:rPr>
                <w:rFonts w:ascii="宋体" w:hAnsi="宋体" w:eastAsia="宋体" w:cs="宋体"/>
                <w:color w:val="000000"/>
                <w:sz w:val="48"/>
                <w:szCs w:val="48"/>
              </w:rPr>
            </w:pPr>
            <w:r>
              <w:rPr>
                <w:rFonts w:hint="eastAsia" w:ascii="宋体" w:hAnsi="宋体" w:eastAsia="宋体" w:cs="宋体"/>
                <w:b/>
                <w:bCs/>
                <w:color w:val="000000"/>
                <w:kern w:val="0"/>
                <w:sz w:val="32"/>
                <w:szCs w:val="32"/>
              </w:rPr>
              <w:t>县城综合商贸服务中心</w:t>
            </w:r>
          </w:p>
        </w:tc>
      </w:tr>
      <w:tr>
        <w:tblPrEx>
          <w:tblCellMar>
            <w:top w:w="0" w:type="dxa"/>
            <w:left w:w="108" w:type="dxa"/>
            <w:bottom w:w="0" w:type="dxa"/>
            <w:right w:w="108" w:type="dxa"/>
          </w:tblCellMar>
        </w:tblPrEx>
        <w:trPr>
          <w:trHeight w:val="1561" w:hRule="atLeast"/>
          <w:tblHeader/>
          <w:jc w:val="center"/>
        </w:trPr>
        <w:tc>
          <w:tcPr>
            <w:tcW w:w="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序号</w:t>
            </w:r>
          </w:p>
        </w:tc>
        <w:tc>
          <w:tcPr>
            <w:tcW w:w="3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名称</w:t>
            </w:r>
          </w:p>
        </w:tc>
        <w:tc>
          <w:tcPr>
            <w:tcW w:w="2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所在地区（选择）</w:t>
            </w:r>
          </w:p>
        </w:tc>
        <w:tc>
          <w:tcPr>
            <w:tcW w:w="4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地址</w:t>
            </w:r>
          </w:p>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（同时注明所在建制村村名）</w:t>
            </w:r>
          </w:p>
        </w:tc>
        <w:tc>
          <w:tcPr>
            <w:tcW w:w="36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建设或运营的主体企业</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经营面积（㎡）</w:t>
            </w:r>
          </w:p>
        </w:tc>
        <w:tc>
          <w:tcPr>
            <w:tcW w:w="2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日均客流量(人)</w:t>
            </w:r>
          </w:p>
        </w:tc>
        <w:tc>
          <w:tcPr>
            <w:tcW w:w="26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2021年销售额（万元）</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是否为</w:t>
            </w:r>
          </w:p>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本县龙头商贸流通企业连锁经营</w:t>
            </w:r>
          </w:p>
        </w:tc>
        <w:tc>
          <w:tcPr>
            <w:tcW w:w="3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连锁经营形式</w:t>
            </w:r>
          </w:p>
        </w:tc>
        <w:tc>
          <w:tcPr>
            <w:tcW w:w="3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是否对</w:t>
            </w:r>
          </w:p>
          <w:p>
            <w:pPr>
              <w:widowControl/>
              <w:jc w:val="center"/>
              <w:textAlignment w:val="center"/>
              <w:rPr>
                <w:rFonts w:ascii="宋体" w:hAnsi="宋体" w:eastAsia="宋体" w:cs="宋体"/>
                <w:b/>
                <w:bCs/>
                <w:color w:val="000000"/>
                <w:kern w:val="0"/>
                <w:szCs w:val="21"/>
              </w:rPr>
            </w:pPr>
            <w:r>
              <w:rPr>
                <w:rFonts w:hint="eastAsia" w:ascii="宋体" w:hAnsi="宋体" w:eastAsia="宋体" w:cs="宋体"/>
                <w:b/>
                <w:bCs/>
                <w:color w:val="000000"/>
                <w:kern w:val="0"/>
                <w:szCs w:val="21"/>
              </w:rPr>
              <w:t>乡镇村</w:t>
            </w:r>
          </w:p>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商业网点提供商品配送服务</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主要生活服务种类（类）</w:t>
            </w:r>
          </w:p>
        </w:tc>
        <w:tc>
          <w:tcPr>
            <w:tcW w:w="11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目前所处类型</w:t>
            </w:r>
          </w:p>
        </w:tc>
      </w:tr>
      <w:tr>
        <w:tblPrEx>
          <w:tblCellMar>
            <w:top w:w="0" w:type="dxa"/>
            <w:left w:w="108" w:type="dxa"/>
            <w:bottom w:w="0" w:type="dxa"/>
            <w:right w:w="108" w:type="dxa"/>
          </w:tblCellMar>
        </w:tblPrEx>
        <w:trPr>
          <w:trHeight w:val="319" w:hRule="atLeast"/>
          <w:jc w:val="center"/>
        </w:trPr>
        <w:tc>
          <w:tcPr>
            <w:tcW w:w="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3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2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4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36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26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3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3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3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c>
          <w:tcPr>
            <w:tcW w:w="11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000000"/>
                <w:sz w:val="16"/>
                <w:szCs w:val="16"/>
              </w:rPr>
            </w:pPr>
          </w:p>
        </w:tc>
      </w:tr>
      <w:tr>
        <w:tblPrEx>
          <w:tblCellMar>
            <w:top w:w="0" w:type="dxa"/>
            <w:left w:w="108" w:type="dxa"/>
            <w:bottom w:w="0" w:type="dxa"/>
            <w:right w:w="108" w:type="dxa"/>
          </w:tblCellMar>
        </w:tblPrEx>
        <w:trPr>
          <w:trHeight w:val="3840" w:hRule="atLeast"/>
          <w:jc w:val="center"/>
        </w:trPr>
        <w:tc>
          <w:tcPr>
            <w:tcW w:w="19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lang w:val="en-US" w:eastAsia="zh-CN"/>
              </w:rPr>
              <w:t>1</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连城县锡园新润发超市</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连城县莲峰镇万星广场一楼</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连城县锡园新润发超市</w:t>
            </w:r>
          </w:p>
        </w:tc>
        <w:tc>
          <w:tcPr>
            <w:tcW w:w="2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3800</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1500</w:t>
            </w:r>
          </w:p>
        </w:tc>
        <w:tc>
          <w:tcPr>
            <w:tcW w:w="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5835</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是</w:t>
            </w:r>
          </w:p>
          <w:p>
            <w:pPr>
              <w:widowControl/>
              <w:jc w:val="center"/>
              <w:textAlignment w:val="center"/>
              <w:rPr>
                <w:rFonts w:ascii="Wingdings 2" w:hAnsi="Wingdings 2" w:eastAsia="Wingdings 2" w:cs="Wingdings 2"/>
                <w:color w:val="000000"/>
                <w:szCs w:val="21"/>
              </w:rPr>
            </w:pPr>
            <w:r>
              <w:rPr>
                <w:rFonts w:ascii="Wingdings" w:hAnsi="Wingdings" w:eastAsia="Wingdings 2" w:cs="Wingdings"/>
                <w:color w:val="000000"/>
                <w:kern w:val="0"/>
                <w:szCs w:val="21"/>
              </w:rPr>
              <w:t></w:t>
            </w:r>
            <w:r>
              <w:rPr>
                <w:rStyle w:val="43"/>
                <w:rFonts w:hint="default"/>
                <w:sz w:val="21"/>
                <w:szCs w:val="21"/>
              </w:rPr>
              <w:t>否</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直营</w:t>
            </w:r>
          </w:p>
          <w:p>
            <w:pPr>
              <w:widowControl/>
              <w:jc w:val="center"/>
              <w:textAlignment w:val="center"/>
              <w:rPr>
                <w:rStyle w:val="43"/>
                <w:rFonts w:hint="default"/>
                <w:sz w:val="21"/>
                <w:szCs w:val="21"/>
              </w:rPr>
            </w:pPr>
            <w:r>
              <w:rPr>
                <w:rFonts w:ascii="Wingdings" w:hAnsi="Wingdings" w:eastAsia="Wingdings 2" w:cs="Wingdings"/>
                <w:color w:val="000000"/>
                <w:kern w:val="0"/>
                <w:szCs w:val="21"/>
              </w:rPr>
              <w:t></w:t>
            </w:r>
            <w:r>
              <w:rPr>
                <w:rStyle w:val="43"/>
                <w:rFonts w:hint="default"/>
                <w:sz w:val="21"/>
                <w:szCs w:val="21"/>
              </w:rPr>
              <w:t>加盟</w:t>
            </w:r>
          </w:p>
          <w:p>
            <w:pPr>
              <w:widowControl/>
              <w:jc w:val="center"/>
              <w:textAlignment w:val="center"/>
              <w:rPr>
                <w:rFonts w:ascii="Wingdings 2" w:hAnsi="Wingdings 2" w:eastAsia="Wingdings 2" w:cs="Wingdings 2"/>
                <w:color w:val="000000"/>
                <w:szCs w:val="21"/>
              </w:rPr>
            </w:pPr>
            <w:r>
              <w:rPr>
                <w:rFonts w:ascii="Wingdings" w:hAnsi="Wingdings" w:eastAsia="Wingdings 2" w:cs="Wingdings"/>
                <w:color w:val="000000"/>
                <w:kern w:val="0"/>
                <w:szCs w:val="21"/>
              </w:rPr>
              <w:t></w:t>
            </w:r>
            <w:r>
              <w:rPr>
                <w:rStyle w:val="43"/>
                <w:rFonts w:hint="default"/>
                <w:sz w:val="21"/>
                <w:szCs w:val="21"/>
              </w:rPr>
              <w:t>其他</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是</w:t>
            </w:r>
          </w:p>
          <w:p>
            <w:pPr>
              <w:widowControl/>
              <w:jc w:val="center"/>
              <w:textAlignment w:val="center"/>
              <w:rPr>
                <w:rFonts w:ascii="Wingdings 2" w:hAnsi="Wingdings 2" w:eastAsia="Wingdings 2" w:cs="Wingdings 2"/>
                <w:color w:val="000000"/>
                <w:szCs w:val="21"/>
              </w:rPr>
            </w:pPr>
            <w:r>
              <w:rPr>
                <w:rFonts w:ascii="Wingdings" w:hAnsi="Wingdings" w:eastAsia="Wingdings 2" w:cs="Wingdings"/>
                <w:color w:val="000000"/>
                <w:kern w:val="0"/>
                <w:szCs w:val="21"/>
              </w:rPr>
              <w:t></w:t>
            </w:r>
            <w:r>
              <w:rPr>
                <w:rStyle w:val="43"/>
                <w:rFonts w:hint="default"/>
                <w:sz w:val="21"/>
                <w:szCs w:val="21"/>
              </w:rPr>
              <w:t>否</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餐饮</w:t>
            </w:r>
          </w:p>
          <w:p>
            <w:pPr>
              <w:widowControl/>
              <w:jc w:val="left"/>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维修</w:t>
            </w:r>
          </w:p>
          <w:p>
            <w:pPr>
              <w:widowControl/>
              <w:jc w:val="left"/>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美容美发</w:t>
            </w:r>
          </w:p>
          <w:p>
            <w:pPr>
              <w:widowControl/>
              <w:jc w:val="left"/>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休闲娱乐</w:t>
            </w:r>
          </w:p>
          <w:p>
            <w:pPr>
              <w:widowControl/>
              <w:jc w:val="left"/>
              <w:textAlignment w:val="center"/>
              <w:rPr>
                <w:rStyle w:val="43"/>
                <w:rFonts w:hint="default"/>
                <w:sz w:val="21"/>
                <w:szCs w:val="21"/>
              </w:rPr>
            </w:pPr>
            <w:r>
              <w:rPr>
                <w:rFonts w:hint="eastAsia" w:ascii="宋体" w:hAnsi="宋体" w:eastAsia="宋体" w:cs="宋体"/>
                <w:sz w:val="20"/>
                <w:szCs w:val="20"/>
              </w:rPr>
              <w:sym w:font="Wingdings" w:char="00FE"/>
            </w:r>
            <w:r>
              <w:rPr>
                <w:rStyle w:val="43"/>
                <w:rFonts w:hint="default"/>
                <w:sz w:val="21"/>
                <w:szCs w:val="21"/>
              </w:rPr>
              <w:t>亲子</w:t>
            </w:r>
          </w:p>
          <w:p>
            <w:pPr>
              <w:widowControl/>
              <w:jc w:val="left"/>
              <w:textAlignment w:val="center"/>
              <w:rPr>
                <w:rStyle w:val="43"/>
                <w:rFonts w:hint="default"/>
                <w:sz w:val="21"/>
                <w:szCs w:val="21"/>
              </w:rPr>
            </w:pPr>
            <w:r>
              <w:rPr>
                <w:rStyle w:val="43"/>
                <w:rFonts w:hint="default"/>
                <w:sz w:val="21"/>
                <w:szCs w:val="21"/>
              </w:rPr>
              <w:t>教育</w:t>
            </w:r>
          </w:p>
          <w:p>
            <w:pPr>
              <w:widowControl/>
              <w:jc w:val="left"/>
              <w:textAlignment w:val="center"/>
              <w:rPr>
                <w:rStyle w:val="43"/>
                <w:rFonts w:hint="default"/>
                <w:sz w:val="21"/>
                <w:szCs w:val="21"/>
              </w:rPr>
            </w:pPr>
            <w:r>
              <w:rPr>
                <w:rFonts w:ascii="Wingdings" w:hAnsi="Wingdings" w:eastAsia="Wingdings 2" w:cs="Wingdings"/>
                <w:color w:val="000000"/>
                <w:kern w:val="0"/>
                <w:szCs w:val="21"/>
              </w:rPr>
              <w:t></w:t>
            </w:r>
            <w:r>
              <w:rPr>
                <w:rStyle w:val="43"/>
                <w:rFonts w:hint="default"/>
                <w:sz w:val="21"/>
                <w:szCs w:val="21"/>
              </w:rPr>
              <w:t>小额存取代理</w:t>
            </w:r>
          </w:p>
          <w:p>
            <w:pPr>
              <w:widowControl/>
              <w:jc w:val="left"/>
              <w:textAlignment w:val="center"/>
              <w:rPr>
                <w:rStyle w:val="43"/>
                <w:rFonts w:hint="default"/>
                <w:sz w:val="21"/>
                <w:szCs w:val="21"/>
              </w:rPr>
            </w:pPr>
            <w:r>
              <w:rPr>
                <w:rFonts w:ascii="Wingdings" w:hAnsi="Wingdings" w:eastAsia="Wingdings 2" w:cs="Wingdings"/>
                <w:color w:val="000000"/>
                <w:kern w:val="0"/>
                <w:szCs w:val="21"/>
              </w:rPr>
              <w:t></w:t>
            </w:r>
            <w:r>
              <w:rPr>
                <w:rStyle w:val="43"/>
                <w:rFonts w:hint="default"/>
                <w:sz w:val="21"/>
                <w:szCs w:val="21"/>
              </w:rPr>
              <w:t>文化创意</w:t>
            </w:r>
          </w:p>
          <w:p>
            <w:pPr>
              <w:widowControl/>
              <w:jc w:val="left"/>
              <w:textAlignment w:val="center"/>
              <w:rPr>
                <w:rStyle w:val="43"/>
                <w:rFonts w:hint="default"/>
                <w:sz w:val="21"/>
                <w:szCs w:val="21"/>
              </w:rPr>
            </w:pPr>
            <w:r>
              <w:rPr>
                <w:rFonts w:ascii="Wingdings" w:hAnsi="Wingdings" w:eastAsia="Wingdings 2" w:cs="Wingdings"/>
                <w:color w:val="000000"/>
                <w:kern w:val="0"/>
                <w:szCs w:val="21"/>
              </w:rPr>
              <w:t></w:t>
            </w:r>
            <w:r>
              <w:rPr>
                <w:rStyle w:val="43"/>
                <w:rFonts w:hint="default"/>
                <w:sz w:val="21"/>
                <w:szCs w:val="21"/>
              </w:rPr>
              <w:t>直播网购</w:t>
            </w:r>
          </w:p>
          <w:p>
            <w:pPr>
              <w:widowControl/>
              <w:jc w:val="left"/>
              <w:textAlignment w:val="center"/>
              <w:rPr>
                <w:rFonts w:ascii="Wingdings 2" w:hAnsi="Wingdings 2" w:eastAsia="Wingdings 2" w:cs="Wingdings 2"/>
                <w:color w:val="000000"/>
                <w:szCs w:val="21"/>
              </w:rPr>
            </w:pPr>
            <w:r>
              <w:rPr>
                <w:rFonts w:ascii="Wingdings" w:hAnsi="Wingdings" w:eastAsia="Wingdings 2" w:cs="Wingdings"/>
                <w:color w:val="000000"/>
                <w:kern w:val="0"/>
                <w:szCs w:val="21"/>
              </w:rPr>
              <w:t></w:t>
            </w:r>
            <w:r>
              <w:rPr>
                <w:rStyle w:val="43"/>
                <w:rFonts w:hint="default"/>
                <w:sz w:val="21"/>
                <w:szCs w:val="21"/>
              </w:rPr>
              <w:t>其他</w:t>
            </w:r>
          </w:p>
        </w:tc>
        <w:tc>
          <w:tcPr>
            <w:tcW w:w="116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Style w:val="43"/>
                <w:rFonts w:hint="default"/>
                <w:sz w:val="21"/>
                <w:szCs w:val="21"/>
              </w:rPr>
            </w:pPr>
            <w:r>
              <w:rPr>
                <w:rFonts w:ascii="Wingdings" w:hAnsi="Wingdings" w:eastAsia="Tahoma" w:cs="Wingdings"/>
                <w:color w:val="000000"/>
                <w:kern w:val="0"/>
                <w:szCs w:val="21"/>
              </w:rPr>
              <w:t></w:t>
            </w:r>
            <w:r>
              <w:rPr>
                <w:rStyle w:val="43"/>
                <w:rFonts w:hint="default"/>
                <w:sz w:val="21"/>
                <w:szCs w:val="21"/>
              </w:rPr>
              <w:t>未达到基本型</w:t>
            </w:r>
          </w:p>
          <w:p>
            <w:pPr>
              <w:widowControl/>
              <w:jc w:val="left"/>
              <w:textAlignment w:val="center"/>
              <w:rPr>
                <w:rStyle w:val="43"/>
                <w:rFonts w:hint="default"/>
                <w:sz w:val="21"/>
                <w:szCs w:val="21"/>
              </w:rPr>
            </w:pPr>
            <w:r>
              <w:rPr>
                <w:rFonts w:ascii="Wingdings" w:hAnsi="Wingdings" w:eastAsia="Tahoma" w:cs="Wingdings"/>
                <w:color w:val="000000"/>
                <w:kern w:val="0"/>
                <w:szCs w:val="21"/>
              </w:rPr>
              <w:sym w:font="Wingdings" w:char="00FE"/>
            </w:r>
            <w:r>
              <w:rPr>
                <w:rStyle w:val="43"/>
                <w:rFonts w:hint="default"/>
                <w:sz w:val="21"/>
                <w:szCs w:val="21"/>
              </w:rPr>
              <w:t>基本型</w:t>
            </w:r>
          </w:p>
          <w:p>
            <w:pPr>
              <w:widowControl/>
              <w:jc w:val="left"/>
              <w:textAlignment w:val="center"/>
              <w:rPr>
                <w:rStyle w:val="43"/>
                <w:rFonts w:hint="default"/>
                <w:sz w:val="21"/>
                <w:szCs w:val="21"/>
              </w:rPr>
            </w:pPr>
            <w:r>
              <w:rPr>
                <w:rStyle w:val="43"/>
                <w:rFonts w:hint="default"/>
                <w:sz w:val="21"/>
                <w:szCs w:val="21"/>
              </w:rPr>
              <w:t>（日用消费品零售、餐饮、维修）</w:t>
            </w:r>
          </w:p>
          <w:p>
            <w:pPr>
              <w:widowControl/>
              <w:jc w:val="left"/>
              <w:textAlignment w:val="center"/>
              <w:rPr>
                <w:rStyle w:val="43"/>
                <w:rFonts w:hint="default"/>
                <w:sz w:val="21"/>
                <w:szCs w:val="21"/>
              </w:rPr>
            </w:pPr>
            <w:r>
              <w:rPr>
                <w:rFonts w:hint="eastAsia" w:ascii="宋体" w:hAnsi="宋体" w:eastAsia="宋体" w:cs="宋体"/>
                <w:sz w:val="20"/>
                <w:szCs w:val="20"/>
              </w:rPr>
              <w:sym w:font="Wingdings" w:char="00A8"/>
            </w:r>
            <w:r>
              <w:rPr>
                <w:rStyle w:val="43"/>
                <w:rFonts w:hint="default"/>
                <w:sz w:val="21"/>
                <w:szCs w:val="21"/>
              </w:rPr>
              <w:t>增强型</w:t>
            </w:r>
          </w:p>
          <w:p>
            <w:pPr>
              <w:widowControl/>
              <w:jc w:val="left"/>
              <w:textAlignment w:val="center"/>
              <w:rPr>
                <w:rStyle w:val="43"/>
                <w:rFonts w:hint="default"/>
                <w:sz w:val="21"/>
                <w:szCs w:val="21"/>
              </w:rPr>
            </w:pPr>
            <w:r>
              <w:rPr>
                <w:rStyle w:val="43"/>
                <w:rFonts w:hint="default"/>
                <w:sz w:val="21"/>
                <w:szCs w:val="21"/>
              </w:rPr>
              <w:t>（日用消费品零售、餐饮、家电家居服饰、休闲娱乐、亲子教育、物流配送服务、小额存取代理）</w:t>
            </w:r>
          </w:p>
          <w:p>
            <w:pPr>
              <w:widowControl/>
              <w:jc w:val="left"/>
              <w:textAlignment w:val="center"/>
              <w:rPr>
                <w:rStyle w:val="43"/>
                <w:rFonts w:hint="default"/>
                <w:sz w:val="21"/>
                <w:szCs w:val="21"/>
              </w:rPr>
            </w:pPr>
            <w:r>
              <w:rPr>
                <w:rFonts w:ascii="Wingdings" w:hAnsi="Wingdings" w:eastAsia="Tahoma" w:cs="Wingdings"/>
                <w:color w:val="000000"/>
                <w:kern w:val="0"/>
                <w:szCs w:val="21"/>
              </w:rPr>
              <w:t></w:t>
            </w:r>
            <w:r>
              <w:rPr>
                <w:rStyle w:val="43"/>
                <w:rFonts w:hint="default"/>
                <w:sz w:val="21"/>
                <w:szCs w:val="21"/>
              </w:rPr>
              <w:t>提升型</w:t>
            </w:r>
          </w:p>
          <w:p>
            <w:pPr>
              <w:widowControl/>
              <w:jc w:val="left"/>
              <w:textAlignment w:val="center"/>
              <w:rPr>
                <w:rFonts w:ascii="Wingdings" w:hAnsi="Wingdings" w:eastAsia="Tahoma" w:cs="Wingdings"/>
                <w:color w:val="000000"/>
                <w:szCs w:val="21"/>
              </w:rPr>
            </w:pPr>
            <w:r>
              <w:rPr>
                <w:rStyle w:val="43"/>
                <w:rFonts w:hint="default"/>
                <w:sz w:val="21"/>
                <w:szCs w:val="21"/>
              </w:rPr>
              <w:t>（日用消费品零售、餐饮、家电家居服饰、休闲娱乐、亲子教育、物流配送服务、小额存取代理、特色商品体验、直播网购）</w:t>
            </w:r>
          </w:p>
        </w:tc>
      </w:tr>
    </w:tbl>
    <w:p>
      <w:pPr>
        <w:pStyle w:val="24"/>
      </w:pPr>
    </w:p>
    <w:p>
      <w:pPr>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br w:type="page"/>
      </w:r>
    </w:p>
    <w:p>
      <w:pPr>
        <w:numPr>
          <w:ilvl w:val="0"/>
          <w:numId w:val="4"/>
        </w:numPr>
        <w:ind w:left="0" w:firstLine="643" w:firstLineChars="200"/>
        <w:outlineLvl w:val="3"/>
        <w:rPr>
          <w:rFonts w:ascii="黑体" w:hAnsi="黑体" w:eastAsia="黑体" w:cs="黑体"/>
          <w:b/>
          <w:bCs/>
          <w:color w:val="000000"/>
          <w:kern w:val="0"/>
          <w:sz w:val="32"/>
          <w:szCs w:val="32"/>
        </w:rPr>
        <w:sectPr>
          <w:pgSz w:w="16838" w:h="11906" w:orient="landscape"/>
          <w:pgMar w:top="1803" w:right="1440" w:bottom="1803" w:left="1440" w:header="851" w:footer="992" w:gutter="0"/>
          <w:cols w:space="0" w:num="1"/>
          <w:docGrid w:type="lines" w:linePitch="319" w:charSpace="0"/>
        </w:sectPr>
      </w:pPr>
    </w:p>
    <w:p>
      <w:pPr>
        <w:numPr>
          <w:ilvl w:val="0"/>
          <w:numId w:val="4"/>
        </w:numPr>
        <w:ind w:left="0" w:firstLine="643" w:firstLineChars="200"/>
        <w:outlineLvl w:val="3"/>
        <w:rPr>
          <w:rFonts w:asciiTheme="majorEastAsia" w:hAnsiTheme="majorEastAsia" w:eastAsiaTheme="majorEastAsia" w:cstheme="majorEastAsia"/>
          <w:b/>
          <w:bCs/>
          <w:color w:val="000000"/>
          <w:kern w:val="0"/>
          <w:sz w:val="32"/>
          <w:szCs w:val="32"/>
        </w:rPr>
      </w:pPr>
      <w:bookmarkStart w:id="12" w:name="_Toc23629"/>
      <w:r>
        <w:rPr>
          <w:rFonts w:hint="eastAsia" w:asciiTheme="majorEastAsia" w:hAnsiTheme="majorEastAsia" w:eastAsiaTheme="majorEastAsia" w:cstheme="majorEastAsia"/>
          <w:b/>
          <w:bCs/>
          <w:color w:val="000000"/>
          <w:kern w:val="0"/>
          <w:sz w:val="32"/>
          <w:szCs w:val="32"/>
        </w:rPr>
        <w:t>乡镇商贸中心</w:t>
      </w:r>
      <w:bookmarkEnd w:id="12"/>
    </w:p>
    <w:tbl>
      <w:tblPr>
        <w:tblStyle w:val="19"/>
        <w:tblW w:w="5000" w:type="pct"/>
        <w:tblInd w:w="0" w:type="dxa"/>
        <w:tblLayout w:type="autofit"/>
        <w:tblCellMar>
          <w:top w:w="0" w:type="dxa"/>
          <w:left w:w="108" w:type="dxa"/>
          <w:bottom w:w="0" w:type="dxa"/>
          <w:right w:w="108" w:type="dxa"/>
        </w:tblCellMar>
      </w:tblPr>
      <w:tblGrid>
        <w:gridCol w:w="827"/>
        <w:gridCol w:w="1751"/>
        <w:gridCol w:w="1174"/>
        <w:gridCol w:w="831"/>
        <w:gridCol w:w="845"/>
        <w:gridCol w:w="763"/>
        <w:gridCol w:w="1534"/>
        <w:gridCol w:w="845"/>
        <w:gridCol w:w="961"/>
        <w:gridCol w:w="1111"/>
        <w:gridCol w:w="3532"/>
      </w:tblGrid>
      <w:tr>
        <w:tblPrEx>
          <w:tblCellMar>
            <w:top w:w="0" w:type="dxa"/>
            <w:left w:w="108" w:type="dxa"/>
            <w:bottom w:w="0" w:type="dxa"/>
            <w:right w:w="108" w:type="dxa"/>
          </w:tblCellMar>
        </w:tblPrEx>
        <w:trPr>
          <w:trHeight w:val="618" w:hRule="atLeast"/>
          <w:tblHeader/>
        </w:trPr>
        <w:tc>
          <w:tcPr>
            <w:tcW w:w="5000" w:type="pct"/>
            <w:gridSpan w:val="11"/>
            <w:tcBorders>
              <w:top w:val="nil"/>
              <w:left w:val="nil"/>
              <w:bottom w:val="nil"/>
              <w:right w:val="nil"/>
            </w:tcBorders>
            <w:shd w:val="clear" w:color="auto" w:fill="auto"/>
            <w:noWrap/>
            <w:vAlign w:val="center"/>
          </w:tcPr>
          <w:p>
            <w:pPr>
              <w:widowControl/>
              <w:jc w:val="center"/>
              <w:textAlignment w:val="center"/>
              <w:rPr>
                <w:rFonts w:ascii="宋体" w:hAnsi="宋体" w:eastAsia="宋体" w:cs="宋体"/>
                <w:b/>
                <w:bCs/>
                <w:color w:val="000000"/>
                <w:sz w:val="44"/>
                <w:szCs w:val="44"/>
              </w:rPr>
            </w:pPr>
            <w:r>
              <w:rPr>
                <w:rFonts w:hint="eastAsia" w:ascii="宋体" w:hAnsi="宋体" w:eastAsia="宋体" w:cs="宋体"/>
                <w:b/>
                <w:bCs/>
                <w:color w:val="000000"/>
                <w:kern w:val="0"/>
                <w:sz w:val="28"/>
                <w:szCs w:val="28"/>
              </w:rPr>
              <w:t>乡镇商贸中心</w:t>
            </w:r>
          </w:p>
        </w:tc>
      </w:tr>
      <w:tr>
        <w:tblPrEx>
          <w:tblCellMar>
            <w:top w:w="0" w:type="dxa"/>
            <w:left w:w="108" w:type="dxa"/>
            <w:bottom w:w="0" w:type="dxa"/>
            <w:right w:w="108" w:type="dxa"/>
          </w:tblCellMar>
        </w:tblPrEx>
        <w:trPr>
          <w:trHeight w:val="2398" w:hRule="atLeast"/>
          <w:tblHeader/>
        </w:trPr>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sz w:val="20"/>
                <w:szCs w:val="20"/>
              </w:rPr>
            </w:pPr>
            <w:r>
              <w:rPr>
                <w:rFonts w:hint="eastAsia" w:ascii="宋体" w:hAnsi="宋体" w:eastAsia="宋体" w:cs="宋体"/>
                <w:b/>
                <w:bCs/>
                <w:kern w:val="0"/>
                <w:sz w:val="20"/>
                <w:szCs w:val="20"/>
              </w:rPr>
              <w:t>序号</w:t>
            </w:r>
          </w:p>
        </w:tc>
        <w:tc>
          <w:tcPr>
            <w:tcW w:w="61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名称</w:t>
            </w:r>
          </w:p>
        </w:tc>
        <w:tc>
          <w:tcPr>
            <w:tcW w:w="4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kern w:val="0"/>
                <w:sz w:val="20"/>
                <w:szCs w:val="20"/>
              </w:rPr>
            </w:pPr>
            <w:r>
              <w:rPr>
                <w:rFonts w:hint="eastAsia" w:ascii="宋体" w:hAnsi="宋体" w:eastAsia="宋体" w:cs="宋体"/>
                <w:b/>
                <w:bCs/>
                <w:kern w:val="0"/>
                <w:sz w:val="20"/>
                <w:szCs w:val="20"/>
              </w:rPr>
              <w:t>详细地址</w:t>
            </w:r>
          </w:p>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（填写）</w:t>
            </w:r>
          </w:p>
        </w:tc>
        <w:tc>
          <w:tcPr>
            <w:tcW w:w="2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经营面积</w:t>
            </w: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就业人数</w:t>
            </w:r>
          </w:p>
        </w:tc>
        <w:tc>
          <w:tcPr>
            <w:tcW w:w="2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2021年零售额（万元）</w:t>
            </w:r>
          </w:p>
        </w:tc>
        <w:tc>
          <w:tcPr>
            <w:tcW w:w="5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kern w:val="0"/>
                <w:sz w:val="20"/>
                <w:szCs w:val="20"/>
              </w:rPr>
            </w:pPr>
            <w:r>
              <w:rPr>
                <w:rFonts w:hint="eastAsia" w:ascii="宋体" w:hAnsi="宋体" w:eastAsia="宋体" w:cs="宋体"/>
                <w:b/>
                <w:bCs/>
                <w:kern w:val="0"/>
                <w:sz w:val="20"/>
                <w:szCs w:val="20"/>
              </w:rPr>
              <w:t>商业集聚</w:t>
            </w:r>
          </w:p>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形态</w:t>
            </w:r>
          </w:p>
        </w:tc>
        <w:tc>
          <w:tcPr>
            <w:tcW w:w="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是否为连锁经营</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是否由本县龙头商贸流通企业配送商品和服务</w:t>
            </w:r>
          </w:p>
        </w:tc>
        <w:tc>
          <w:tcPr>
            <w:tcW w:w="3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配送商品和服务的商贸流通企业</w:t>
            </w:r>
          </w:p>
        </w:tc>
        <w:tc>
          <w:tcPr>
            <w:tcW w:w="12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sz w:val="20"/>
                <w:szCs w:val="20"/>
              </w:rPr>
            </w:pPr>
            <w:r>
              <w:rPr>
                <w:rFonts w:hint="eastAsia" w:ascii="宋体" w:hAnsi="宋体" w:eastAsia="宋体" w:cs="宋体"/>
                <w:b/>
                <w:bCs/>
                <w:kern w:val="0"/>
                <w:sz w:val="20"/>
                <w:szCs w:val="20"/>
              </w:rPr>
              <w:t>对照《指南》类型</w:t>
            </w:r>
          </w:p>
        </w:tc>
      </w:tr>
      <w:tr>
        <w:tblPrEx>
          <w:tblCellMar>
            <w:top w:w="0" w:type="dxa"/>
            <w:left w:w="108" w:type="dxa"/>
            <w:bottom w:w="0" w:type="dxa"/>
            <w:right w:w="108" w:type="dxa"/>
          </w:tblCellMar>
        </w:tblPrEx>
        <w:trPr>
          <w:trHeight w:val="319" w:hRule="atLeast"/>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eastAsia="宋体" w:cs="宋体"/>
                <w:b/>
                <w:bCs/>
                <w:color w:val="FF0000"/>
                <w:sz w:val="18"/>
                <w:szCs w:val="18"/>
              </w:rPr>
            </w:pPr>
          </w:p>
        </w:tc>
        <w:tc>
          <w:tcPr>
            <w:tcW w:w="61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2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2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3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c>
          <w:tcPr>
            <w:tcW w:w="12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b/>
                <w:bCs/>
                <w:color w:val="FF0000"/>
                <w:sz w:val="18"/>
                <w:szCs w:val="18"/>
              </w:rPr>
            </w:pPr>
          </w:p>
        </w:tc>
      </w:tr>
      <w:tr>
        <w:tblPrEx>
          <w:tblCellMar>
            <w:top w:w="0" w:type="dxa"/>
            <w:left w:w="108" w:type="dxa"/>
            <w:bottom w:w="0" w:type="dxa"/>
            <w:right w:w="108" w:type="dxa"/>
          </w:tblCellMar>
        </w:tblPrEx>
        <w:trPr>
          <w:trHeight w:val="2760" w:hRule="atLeast"/>
        </w:trPr>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6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新泉美食一条街</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新泉镇新泉村</w:t>
            </w:r>
          </w:p>
        </w:tc>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8000</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200</w:t>
            </w:r>
          </w:p>
        </w:tc>
        <w:tc>
          <w:tcPr>
            <w:tcW w:w="2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30000</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单体商超</w:t>
            </w:r>
          </w:p>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单体商超为中心、集聚多种服务的商圈形态</w:t>
            </w:r>
          </w:p>
          <w:p>
            <w:pPr>
              <w:widowControl/>
              <w:jc w:val="left"/>
              <w:textAlignment w:val="center"/>
              <w:rPr>
                <w:rFonts w:ascii="Wingdings" w:hAnsi="Wingdings" w:eastAsia="Tahoma" w:cs="Wingdings"/>
                <w:color w:val="00000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主要街道条状分布的农村特色商业街</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是</w:t>
            </w:r>
          </w:p>
          <w:p>
            <w:pPr>
              <w:widowControl/>
              <w:jc w:val="center"/>
              <w:textAlignment w:val="center"/>
              <w:rPr>
                <w:rFonts w:ascii="Wingdings" w:hAnsi="Wingdings" w:eastAsia="Tahoma" w:cs="Wingdings"/>
                <w:color w:val="00000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否</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是</w:t>
            </w:r>
          </w:p>
          <w:p>
            <w:pPr>
              <w:widowControl/>
              <w:jc w:val="center"/>
              <w:textAlignment w:val="center"/>
              <w:rPr>
                <w:rFonts w:ascii="Wingdings" w:hAnsi="Wingdings" w:eastAsia="Tahoma" w:cs="Wingdings"/>
                <w:color w:val="00000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否</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Wingdings" w:hAnsi="Wingdings" w:eastAsia="Tahoma" w:cs="Wingdings"/>
                <w:color w:val="000000"/>
                <w:szCs w:val="21"/>
              </w:rPr>
            </w:pPr>
            <w:r>
              <w:rPr>
                <w:rFonts w:ascii="Wingdings" w:hAnsi="Wingdings" w:eastAsia="Tahoma" w:cs="Wingdings"/>
                <w:color w:val="000000"/>
                <w:kern w:val="0"/>
                <w:szCs w:val="21"/>
              </w:rPr>
              <w:t>无</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未达到基本型</w:t>
            </w:r>
          </w:p>
          <w:p>
            <w:pPr>
              <w:widowControl/>
              <w:jc w:val="left"/>
              <w:textAlignment w:val="center"/>
              <w:rPr>
                <w:rFonts w:ascii="宋体" w:hAnsi="宋体" w:eastAsia="宋体" w:cs="宋体"/>
                <w:color w:val="000000"/>
                <w:kern w:val="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基本型</w:t>
            </w:r>
          </w:p>
          <w:p>
            <w:pPr>
              <w:widowControl/>
              <w:jc w:val="left"/>
              <w:textAlignment w:val="center"/>
              <w:rPr>
                <w:rFonts w:ascii="宋体" w:hAnsi="宋体" w:eastAsia="宋体" w:cs="宋体"/>
                <w:color w:val="000000"/>
                <w:kern w:val="0"/>
                <w:szCs w:val="21"/>
              </w:rPr>
            </w:pPr>
            <w:r>
              <w:rPr>
                <w:rFonts w:hint="eastAsia" w:ascii="宋体" w:hAnsi="宋体" w:eastAsia="宋体" w:cs="宋体"/>
                <w:color w:val="000000"/>
                <w:kern w:val="0"/>
                <w:szCs w:val="21"/>
              </w:rPr>
              <w:t>（日用消费品零售、餐饮）</w:t>
            </w:r>
          </w:p>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增强型</w:t>
            </w:r>
          </w:p>
          <w:p>
            <w:pPr>
              <w:widowControl/>
              <w:jc w:val="left"/>
              <w:textAlignment w:val="center"/>
              <w:rPr>
                <w:rFonts w:ascii="宋体" w:hAnsi="宋体" w:eastAsia="宋体" w:cs="宋体"/>
                <w:color w:val="000000"/>
                <w:kern w:val="0"/>
                <w:szCs w:val="21"/>
              </w:rPr>
            </w:pPr>
            <w:r>
              <w:rPr>
                <w:rFonts w:hint="eastAsia" w:ascii="宋体" w:hAnsi="宋体" w:eastAsia="宋体" w:cs="宋体"/>
                <w:color w:val="000000"/>
                <w:kern w:val="0"/>
                <w:szCs w:val="21"/>
              </w:rPr>
              <w:t>（日用消费品零售、餐饮、家电家居服饰、维修、洗衣修鞋、农产品收购）</w:t>
            </w:r>
          </w:p>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提升型</w:t>
            </w:r>
          </w:p>
          <w:p>
            <w:pPr>
              <w:widowControl/>
              <w:jc w:val="left"/>
              <w:textAlignment w:val="center"/>
              <w:rPr>
                <w:rFonts w:ascii="Wingdings" w:hAnsi="Wingdings" w:eastAsia="Tahoma" w:cs="Wingdings"/>
                <w:color w:val="000000"/>
                <w:szCs w:val="21"/>
              </w:rPr>
            </w:pPr>
            <w:r>
              <w:rPr>
                <w:rFonts w:hint="eastAsia" w:ascii="宋体" w:hAnsi="宋体" w:eastAsia="宋体" w:cs="宋体"/>
                <w:color w:val="000000"/>
                <w:kern w:val="0"/>
                <w:szCs w:val="21"/>
              </w:rPr>
              <w:t>（日用消费品零售、餐饮、家电家居服饰、维修、洗衣修鞋、农产品收购、休闲娱乐、生活服务、农资农具销售、简易仓储配送）</w:t>
            </w:r>
          </w:p>
        </w:tc>
      </w:tr>
      <w:tr>
        <w:tblPrEx>
          <w:tblCellMar>
            <w:top w:w="0" w:type="dxa"/>
            <w:left w:w="108" w:type="dxa"/>
            <w:bottom w:w="0" w:type="dxa"/>
            <w:right w:w="108" w:type="dxa"/>
          </w:tblCellMar>
        </w:tblPrEx>
        <w:trPr>
          <w:trHeight w:val="2760" w:hRule="atLeast"/>
        </w:trPr>
        <w:tc>
          <w:tcPr>
            <w:tcW w:w="2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ascii="宋体" w:hAnsi="宋体" w:eastAsia="宋体" w:cs="宋体"/>
                <w:color w:val="000000"/>
                <w:kern w:val="0"/>
                <w:sz w:val="18"/>
                <w:szCs w:val="18"/>
                <w:lang w:val="en-US" w:eastAsia="zh-CN"/>
              </w:rPr>
              <w:t>2</w:t>
            </w:r>
          </w:p>
        </w:tc>
        <w:tc>
          <w:tcPr>
            <w:tcW w:w="61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文亨镇文陂商贸中心</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文亨镇文陂村</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3000</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2000</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1500</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单体商超</w:t>
            </w:r>
          </w:p>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单体商超为中心、集聚多种服务的商圈形态</w:t>
            </w:r>
          </w:p>
          <w:p>
            <w:pPr>
              <w:widowControl/>
              <w:jc w:val="left"/>
              <w:textAlignment w:val="center"/>
              <w:rPr>
                <w:rFonts w:ascii="Wingdings" w:hAnsi="Wingdings" w:eastAsia="Tahoma" w:cs="Wingdings"/>
                <w:color w:val="00000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主要街道条状分布的农村特色商业街</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是</w:t>
            </w:r>
          </w:p>
          <w:p>
            <w:pPr>
              <w:widowControl/>
              <w:jc w:val="center"/>
              <w:textAlignment w:val="center"/>
              <w:rPr>
                <w:rFonts w:ascii="Wingdings" w:hAnsi="Wingdings" w:eastAsia="Tahoma" w:cs="Wingdings"/>
                <w:color w:val="00000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否</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是</w:t>
            </w:r>
          </w:p>
          <w:p>
            <w:pPr>
              <w:widowControl/>
              <w:jc w:val="center"/>
              <w:textAlignment w:val="center"/>
              <w:rPr>
                <w:rFonts w:ascii="Wingdings" w:hAnsi="Wingdings" w:eastAsia="Tahoma" w:cs="Wingdings"/>
                <w:color w:val="00000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否</w:t>
            </w:r>
          </w:p>
        </w:tc>
        <w:tc>
          <w:tcPr>
            <w:tcW w:w="39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Wingdings" w:hAnsi="Wingdings" w:eastAsia="Tahoma" w:cs="Wingdings"/>
                <w:color w:val="000000"/>
                <w:szCs w:val="21"/>
              </w:rPr>
            </w:pPr>
            <w:r>
              <w:rPr>
                <w:rFonts w:ascii="Wingdings" w:hAnsi="Wingdings" w:eastAsia="Tahoma" w:cs="Wingdings"/>
                <w:color w:val="000000"/>
                <w:kern w:val="0"/>
                <w:szCs w:val="21"/>
              </w:rPr>
              <w:t>无</w:t>
            </w:r>
          </w:p>
        </w:tc>
        <w:tc>
          <w:tcPr>
            <w:tcW w:w="12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未达到基本型</w:t>
            </w:r>
          </w:p>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基本型</w:t>
            </w:r>
          </w:p>
          <w:p>
            <w:pPr>
              <w:widowControl/>
              <w:jc w:val="left"/>
              <w:textAlignment w:val="center"/>
              <w:rPr>
                <w:rFonts w:ascii="宋体" w:hAnsi="宋体" w:eastAsia="宋体" w:cs="宋体"/>
                <w:color w:val="000000"/>
                <w:kern w:val="0"/>
                <w:szCs w:val="21"/>
              </w:rPr>
            </w:pPr>
            <w:r>
              <w:rPr>
                <w:rFonts w:hint="eastAsia" w:ascii="宋体" w:hAnsi="宋体" w:eastAsia="宋体" w:cs="宋体"/>
                <w:color w:val="000000"/>
                <w:kern w:val="0"/>
                <w:szCs w:val="21"/>
              </w:rPr>
              <w:t>（日用消费品零售、餐饮）</w:t>
            </w:r>
          </w:p>
          <w:p>
            <w:pPr>
              <w:widowControl/>
              <w:jc w:val="left"/>
              <w:textAlignment w:val="center"/>
              <w:rPr>
                <w:rFonts w:ascii="宋体" w:hAnsi="宋体" w:eastAsia="宋体" w:cs="宋体"/>
                <w:color w:val="000000"/>
                <w:kern w:val="0"/>
                <w:szCs w:val="21"/>
              </w:rPr>
            </w:pPr>
            <w:r>
              <w:rPr>
                <w:rFonts w:hint="eastAsia" w:ascii="宋体" w:hAnsi="宋体" w:eastAsia="宋体" w:cs="宋体"/>
                <w:sz w:val="20"/>
                <w:szCs w:val="20"/>
              </w:rPr>
              <w:sym w:font="Wingdings" w:char="00FE"/>
            </w:r>
            <w:r>
              <w:rPr>
                <w:rFonts w:hint="eastAsia" w:ascii="宋体" w:hAnsi="宋体" w:eastAsia="宋体" w:cs="宋体"/>
                <w:color w:val="000000"/>
                <w:kern w:val="0"/>
                <w:szCs w:val="21"/>
              </w:rPr>
              <w:t>增强型</w:t>
            </w:r>
          </w:p>
          <w:p>
            <w:pPr>
              <w:widowControl/>
              <w:jc w:val="left"/>
              <w:textAlignment w:val="center"/>
              <w:rPr>
                <w:rFonts w:ascii="宋体" w:hAnsi="宋体" w:eastAsia="宋体" w:cs="宋体"/>
                <w:color w:val="000000"/>
                <w:kern w:val="0"/>
                <w:szCs w:val="21"/>
              </w:rPr>
            </w:pPr>
            <w:r>
              <w:rPr>
                <w:rFonts w:hint="eastAsia" w:ascii="宋体" w:hAnsi="宋体" w:eastAsia="宋体" w:cs="宋体"/>
                <w:color w:val="000000"/>
                <w:kern w:val="0"/>
                <w:szCs w:val="21"/>
              </w:rPr>
              <w:t>（日用消费品零售、餐饮、家电家居服饰、维修、洗衣修鞋、农产品收购）</w:t>
            </w:r>
          </w:p>
          <w:p>
            <w:pPr>
              <w:widowControl/>
              <w:jc w:val="left"/>
              <w:textAlignment w:val="center"/>
              <w:rPr>
                <w:rFonts w:ascii="宋体" w:hAnsi="宋体" w:eastAsia="宋体" w:cs="宋体"/>
                <w:color w:val="000000"/>
                <w:kern w:val="0"/>
                <w:szCs w:val="21"/>
              </w:rPr>
            </w:pPr>
            <w:r>
              <w:rPr>
                <w:rFonts w:ascii="Wingdings" w:hAnsi="Wingdings" w:eastAsia="Tahoma" w:cs="Wingdings"/>
                <w:color w:val="000000"/>
                <w:kern w:val="0"/>
                <w:szCs w:val="21"/>
              </w:rPr>
              <w:t></w:t>
            </w:r>
            <w:r>
              <w:rPr>
                <w:rFonts w:hint="eastAsia" w:ascii="宋体" w:hAnsi="宋体" w:eastAsia="宋体" w:cs="宋体"/>
                <w:color w:val="000000"/>
                <w:kern w:val="0"/>
                <w:szCs w:val="21"/>
              </w:rPr>
              <w:t>提升型</w:t>
            </w:r>
          </w:p>
          <w:p>
            <w:pPr>
              <w:widowControl/>
              <w:jc w:val="left"/>
              <w:textAlignment w:val="center"/>
              <w:rPr>
                <w:rFonts w:ascii="Wingdings" w:hAnsi="Wingdings" w:eastAsia="Tahoma" w:cs="Wingdings"/>
                <w:color w:val="000000"/>
                <w:szCs w:val="21"/>
              </w:rPr>
            </w:pPr>
            <w:r>
              <w:rPr>
                <w:rFonts w:hint="eastAsia" w:ascii="宋体" w:hAnsi="宋体" w:eastAsia="宋体" w:cs="宋体"/>
                <w:color w:val="000000"/>
                <w:kern w:val="0"/>
                <w:szCs w:val="21"/>
              </w:rPr>
              <w:t>（日用消费品零售、餐饮、家电家居服饰、维修、洗衣修鞋、农产品收购、休闲娱乐、生活服务、农资农具销售、简易仓储配送）</w:t>
            </w:r>
          </w:p>
        </w:tc>
      </w:tr>
    </w:tbl>
    <w:p>
      <w:pPr>
        <w:pStyle w:val="24"/>
      </w:pPr>
    </w:p>
    <w:p>
      <w:pPr>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br w:type="page"/>
      </w:r>
    </w:p>
    <w:p>
      <w:pPr>
        <w:numPr>
          <w:ilvl w:val="0"/>
          <w:numId w:val="4"/>
        </w:numPr>
        <w:ind w:left="0" w:firstLine="643" w:firstLineChars="200"/>
        <w:outlineLvl w:val="3"/>
        <w:rPr>
          <w:rFonts w:ascii="黑体" w:hAnsi="黑体" w:eastAsia="黑体" w:cs="黑体"/>
          <w:b/>
          <w:bCs/>
          <w:color w:val="000000"/>
          <w:kern w:val="0"/>
          <w:sz w:val="32"/>
          <w:szCs w:val="32"/>
        </w:rPr>
        <w:sectPr>
          <w:pgSz w:w="16838" w:h="11906" w:orient="landscape"/>
          <w:pgMar w:top="1803" w:right="1440" w:bottom="1803" w:left="1440" w:header="851" w:footer="992" w:gutter="0"/>
          <w:cols w:space="0" w:num="1"/>
          <w:docGrid w:type="lines" w:linePitch="319" w:charSpace="0"/>
        </w:sectPr>
      </w:pPr>
    </w:p>
    <w:p>
      <w:pPr>
        <w:numPr>
          <w:ilvl w:val="0"/>
          <w:numId w:val="4"/>
        </w:numPr>
        <w:ind w:left="0" w:firstLine="643" w:firstLineChars="200"/>
        <w:outlineLvl w:val="3"/>
        <w:rPr>
          <w:rFonts w:asciiTheme="majorEastAsia" w:hAnsiTheme="majorEastAsia" w:eastAsiaTheme="majorEastAsia" w:cstheme="majorEastAsia"/>
          <w:b/>
          <w:bCs/>
          <w:color w:val="000000"/>
          <w:kern w:val="0"/>
          <w:sz w:val="32"/>
          <w:szCs w:val="32"/>
        </w:rPr>
      </w:pPr>
      <w:bookmarkStart w:id="13" w:name="_Toc27192"/>
      <w:r>
        <w:rPr>
          <w:rFonts w:hint="eastAsia" w:asciiTheme="majorEastAsia" w:hAnsiTheme="majorEastAsia" w:eastAsiaTheme="majorEastAsia" w:cstheme="majorEastAsia"/>
          <w:b/>
          <w:bCs/>
          <w:color w:val="000000"/>
          <w:kern w:val="0"/>
          <w:sz w:val="32"/>
          <w:szCs w:val="32"/>
        </w:rPr>
        <w:t>村级便民商店覆盖率</w:t>
      </w:r>
      <w:bookmarkEnd w:id="13"/>
    </w:p>
    <w:tbl>
      <w:tblPr>
        <w:tblStyle w:val="19"/>
        <w:tblW w:w="5000" w:type="pct"/>
        <w:tblInd w:w="0" w:type="dxa"/>
        <w:tblLayout w:type="autofit"/>
        <w:tblCellMar>
          <w:top w:w="0" w:type="dxa"/>
          <w:left w:w="108" w:type="dxa"/>
          <w:bottom w:w="0" w:type="dxa"/>
          <w:right w:w="108" w:type="dxa"/>
        </w:tblCellMar>
      </w:tblPr>
      <w:tblGrid>
        <w:gridCol w:w="1092"/>
        <w:gridCol w:w="620"/>
        <w:gridCol w:w="801"/>
        <w:gridCol w:w="801"/>
        <w:gridCol w:w="656"/>
        <w:gridCol w:w="1315"/>
        <w:gridCol w:w="1165"/>
        <w:gridCol w:w="1306"/>
        <w:gridCol w:w="760"/>
      </w:tblGrid>
      <w:tr>
        <w:tblPrEx>
          <w:tblCellMar>
            <w:top w:w="0" w:type="dxa"/>
            <w:left w:w="108" w:type="dxa"/>
            <w:bottom w:w="0" w:type="dxa"/>
            <w:right w:w="108" w:type="dxa"/>
          </w:tblCellMar>
        </w:tblPrEx>
        <w:trPr>
          <w:trHeight w:val="340" w:hRule="atLeast"/>
          <w:tblHeader/>
        </w:trPr>
        <w:tc>
          <w:tcPr>
            <w:tcW w:w="5000" w:type="pct"/>
            <w:gridSpan w:val="9"/>
            <w:tcBorders>
              <w:top w:val="nil"/>
              <w:left w:val="nil"/>
              <w:bottom w:val="single" w:color="000000" w:sz="4" w:space="0"/>
              <w:right w:val="nil"/>
            </w:tcBorders>
            <w:shd w:val="clear" w:color="auto" w:fill="auto"/>
            <w:noWrap/>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 w:val="24"/>
              </w:rPr>
              <w:t>连城村级便民店摸底情况汇总</w:t>
            </w:r>
          </w:p>
        </w:tc>
      </w:tr>
      <w:tr>
        <w:tblPrEx>
          <w:tblCellMar>
            <w:top w:w="0" w:type="dxa"/>
            <w:left w:w="108" w:type="dxa"/>
            <w:bottom w:w="0" w:type="dxa"/>
            <w:right w:w="108" w:type="dxa"/>
          </w:tblCellMar>
        </w:tblPrEx>
        <w:trPr>
          <w:trHeight w:val="2131" w:hRule="atLeast"/>
          <w:tblHeader/>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镇（街）</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建制村个数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有便民商店村数</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便民商店覆盖率</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序号</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建制村村名</w:t>
            </w:r>
          </w:p>
        </w:tc>
        <w:tc>
          <w:tcPr>
            <w:tcW w:w="6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有无村级</w:t>
            </w:r>
            <w:r>
              <w:rPr>
                <w:rFonts w:hint="eastAsia" w:ascii="宋体" w:hAnsi="宋体" w:eastAsia="宋体" w:cs="宋体"/>
                <w:b/>
                <w:bCs/>
                <w:color w:val="000000"/>
                <w:kern w:val="0"/>
                <w:szCs w:val="21"/>
              </w:rPr>
              <w:br w:type="textWrapping"/>
            </w:r>
            <w:r>
              <w:rPr>
                <w:rFonts w:hint="eastAsia" w:ascii="宋体" w:hAnsi="宋体" w:eastAsia="宋体" w:cs="宋体"/>
                <w:b/>
                <w:bCs/>
                <w:color w:val="000000"/>
                <w:kern w:val="0"/>
                <w:szCs w:val="21"/>
              </w:rPr>
              <w:t>便民商店是/否</w:t>
            </w:r>
            <w:r>
              <w:rPr>
                <w:rFonts w:hint="eastAsia" w:ascii="宋体" w:hAnsi="宋体" w:eastAsia="宋体" w:cs="宋体"/>
                <w:b/>
                <w:bCs/>
                <w:color w:val="000000"/>
                <w:kern w:val="0"/>
                <w:szCs w:val="21"/>
              </w:rPr>
              <w:br w:type="textWrapping"/>
            </w:r>
            <w:r>
              <w:rPr>
                <w:rFonts w:hint="eastAsia" w:ascii="宋体" w:hAnsi="宋体" w:eastAsia="宋体" w:cs="宋体"/>
                <w:b/>
                <w:bCs/>
                <w:color w:val="000000"/>
                <w:kern w:val="0"/>
                <w:szCs w:val="21"/>
              </w:rPr>
              <w:t>若是，有几个</w:t>
            </w:r>
          </w:p>
        </w:tc>
        <w:tc>
          <w:tcPr>
            <w:tcW w:w="76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其中，是否有本县龙头商贸流通企业直营、加盟连锁网点是/否</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Cs w:val="21"/>
              </w:rPr>
            </w:pPr>
            <w:r>
              <w:rPr>
                <w:rFonts w:hint="eastAsia" w:ascii="宋体" w:hAnsi="宋体" w:eastAsia="宋体" w:cs="宋体"/>
                <w:b/>
                <w:bCs/>
                <w:color w:val="000000"/>
                <w:kern w:val="0"/>
                <w:szCs w:val="21"/>
              </w:rPr>
              <w:t>是，有几个</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100%</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李彭村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是</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大坪村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洪山村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杨屋村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李坊村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江坊村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姚坊村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朱坊村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城西村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姚坪村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鹧鸪村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李兴村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赤岭村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74%</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柯坊村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许坊村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罗王村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江园村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下江村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老营村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孙台村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山下村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溪尾村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山龙村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富坪村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石丰村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张地井村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大张村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到湖村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蕉坑村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503"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北团镇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车上村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c>
          <w:tcPr>
            <w:tcW w:w="470" w:type="pct"/>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470" w:type="pct"/>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79%</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华垅村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上堡村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中堡村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下堡村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厚洋村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大洋地村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郭坑村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溪口村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城兜村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长较村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上余村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下余村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东华村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姑田镇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白莲村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w:t>
            </w:r>
          </w:p>
        </w:tc>
        <w:tc>
          <w:tcPr>
            <w:tcW w:w="470" w:type="pct"/>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w:t>
            </w:r>
          </w:p>
        </w:tc>
        <w:tc>
          <w:tcPr>
            <w:tcW w:w="470" w:type="pct"/>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74%</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天马村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张家营村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洋坊尾村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马埔村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上莒村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杨地村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王城村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良增村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竹溪村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李庄村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林家坪村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鱼潭村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张屋田村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池溪村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桂花村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瑶里村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金龙村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朋城村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朋口镇</w:t>
            </w:r>
          </w:p>
        </w:tc>
        <w:tc>
          <w:tcPr>
            <w:tcW w:w="364"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朋兴村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是</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71%</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莒市村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莒莲村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詹坑村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壁洲村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小莒村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 xml:space="preserve">  墩坑村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墙里村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后埔村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吴坑村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隔口村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溪源村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乐地村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厦庄村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陈地村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厦地村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高地村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铁山罗地村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坪坑村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太平寮村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池家山村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莒溪镇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梅村头村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349"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84%</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良福村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良盟村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清安村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是</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畲部村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儒畲村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儒陂村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莲华村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联溪村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良坑村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乐江村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乐联村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西村村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北村村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官庄村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温坊村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洋梅村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新泉镇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林国村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73%</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吕坊村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水北村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江畲村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蓝桥村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岩背村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珠地村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坪头村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芷联村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芷溪村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芷红村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芷星村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芷民村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庙前镇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丰图村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73%</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文陂村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班竹村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文保村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福地村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亨明村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田心村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文楼村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龙岗村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竹岗村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炉坪村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南坑村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富塘村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湖峰村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田头村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南阳村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蒋坊村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鲤江村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李屋村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福坑村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文亨镇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大地村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上枧村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149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双泉村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雾阁村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田茶村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团结村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四桥村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四堡镇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腊坑村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73%</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岗尾村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大梨村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林联村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159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林塘村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林坵村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塘坵村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陂桥村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庐屋村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五磜村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横坑村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李丰村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169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魏坊村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林坊镇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有福村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0"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75%</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联益村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朱余村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井坑村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竹叶山村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新营村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隔川镇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松洋村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12</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92%</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179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新曹村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中曹村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上曹村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下曹村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城溪村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科南村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洋贝村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黄沙村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升星村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培田村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紫林村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宣和镇</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前进村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67%</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吕屋村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罗坊塅村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官峰村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石达砾村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小朱地村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199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魏磜村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揭乐乡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布地村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塘前乡</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67%</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水源村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迪坑村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罗地村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塘前乡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张地村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邱赖村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下罗村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209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岗头村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萧坑村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文敷村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富地村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坪上村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rPr>
              <w:t>罗坊乡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长坑村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9</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6</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蒲溪村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219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木陂村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大东溪村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冯地村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罗胜村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223</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白石村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曲溪乡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224</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军山村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88%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225</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下村村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226</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上村村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227</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黄宗村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228</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黄地村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229</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郭地村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230</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牛家村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231</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河祠村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0</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赖源乡</w:t>
            </w:r>
          </w:p>
        </w:tc>
        <w:tc>
          <w:tcPr>
            <w:tcW w:w="36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232</w:t>
            </w: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科明村</w:t>
            </w: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否</w:t>
            </w:r>
          </w:p>
        </w:tc>
      </w:tr>
      <w:tr>
        <w:tblPrEx>
          <w:tblCellMar>
            <w:top w:w="0" w:type="dxa"/>
            <w:left w:w="108" w:type="dxa"/>
            <w:bottom w:w="0" w:type="dxa"/>
            <w:right w:w="108" w:type="dxa"/>
          </w:tblCellMar>
        </w:tblPrEx>
        <w:trPr>
          <w:trHeight w:val="285" w:hRule="atLeast"/>
        </w:trPr>
        <w:tc>
          <w:tcPr>
            <w:tcW w:w="64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合计</w:t>
            </w:r>
          </w:p>
        </w:tc>
        <w:tc>
          <w:tcPr>
            <w:tcW w:w="3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232</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180</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78%</w:t>
            </w:r>
          </w:p>
        </w:tc>
        <w:tc>
          <w:tcPr>
            <w:tcW w:w="3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7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6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1175</w:t>
            </w:r>
          </w:p>
        </w:tc>
        <w:tc>
          <w:tcPr>
            <w:tcW w:w="7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Cs w:val="21"/>
              </w:rPr>
            </w:pPr>
            <w:r>
              <w:rPr>
                <w:rFonts w:hint="eastAsia" w:ascii="宋体" w:hAnsi="宋体" w:eastAsia="宋体" w:cs="宋体"/>
                <w:color w:val="000000"/>
                <w:szCs w:val="21"/>
              </w:rPr>
              <w:t>4</w:t>
            </w:r>
          </w:p>
        </w:tc>
      </w:tr>
    </w:tbl>
    <w:p>
      <w:pPr>
        <w:pStyle w:val="24"/>
      </w:pPr>
    </w:p>
    <w:p>
      <w:pPr>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br w:type="page"/>
      </w:r>
    </w:p>
    <w:p>
      <w:pPr>
        <w:numPr>
          <w:ilvl w:val="0"/>
          <w:numId w:val="4"/>
        </w:numPr>
        <w:ind w:left="0" w:firstLine="643" w:firstLineChars="200"/>
        <w:outlineLvl w:val="3"/>
        <w:rPr>
          <w:rFonts w:ascii="黑体" w:hAnsi="黑体" w:eastAsia="黑体" w:cs="黑体"/>
          <w:b/>
          <w:bCs/>
          <w:color w:val="000000"/>
          <w:kern w:val="0"/>
          <w:sz w:val="32"/>
          <w:szCs w:val="32"/>
        </w:rPr>
        <w:sectPr>
          <w:pgSz w:w="11906" w:h="16838"/>
          <w:pgMar w:top="1440" w:right="1803" w:bottom="1440" w:left="1803" w:header="851" w:footer="992" w:gutter="0"/>
          <w:cols w:space="0" w:num="1"/>
          <w:docGrid w:type="lines" w:linePitch="319" w:charSpace="0"/>
        </w:sectPr>
      </w:pPr>
    </w:p>
    <w:p>
      <w:pPr>
        <w:numPr>
          <w:ilvl w:val="0"/>
          <w:numId w:val="4"/>
        </w:numPr>
        <w:ind w:left="0" w:firstLine="643" w:firstLineChars="200"/>
        <w:outlineLvl w:val="3"/>
        <w:rPr>
          <w:rFonts w:asciiTheme="majorEastAsia" w:hAnsiTheme="majorEastAsia" w:eastAsiaTheme="majorEastAsia" w:cstheme="majorEastAsia"/>
          <w:b/>
          <w:bCs/>
          <w:color w:val="000000"/>
          <w:kern w:val="0"/>
          <w:sz w:val="32"/>
          <w:szCs w:val="32"/>
        </w:rPr>
      </w:pPr>
      <w:bookmarkStart w:id="14" w:name="_Toc23825"/>
      <w:r>
        <w:rPr>
          <w:rFonts w:hint="eastAsia" w:asciiTheme="majorEastAsia" w:hAnsiTheme="majorEastAsia" w:eastAsiaTheme="majorEastAsia" w:cstheme="majorEastAsia"/>
          <w:b/>
          <w:bCs/>
          <w:color w:val="000000"/>
          <w:kern w:val="0"/>
          <w:sz w:val="32"/>
          <w:szCs w:val="32"/>
        </w:rPr>
        <w:t>县级物流配送中心</w:t>
      </w:r>
      <w:bookmarkEnd w:id="14"/>
    </w:p>
    <w:tbl>
      <w:tblPr>
        <w:tblStyle w:val="19"/>
        <w:tblW w:w="5000" w:type="pct"/>
        <w:tblInd w:w="0" w:type="dxa"/>
        <w:tblLayout w:type="fixed"/>
        <w:tblCellMar>
          <w:top w:w="0" w:type="dxa"/>
          <w:left w:w="108" w:type="dxa"/>
          <w:bottom w:w="0" w:type="dxa"/>
          <w:right w:w="108" w:type="dxa"/>
        </w:tblCellMar>
      </w:tblPr>
      <w:tblGrid>
        <w:gridCol w:w="655"/>
        <w:gridCol w:w="689"/>
        <w:gridCol w:w="1213"/>
        <w:gridCol w:w="950"/>
        <w:gridCol w:w="1063"/>
        <w:gridCol w:w="975"/>
        <w:gridCol w:w="649"/>
        <w:gridCol w:w="757"/>
        <w:gridCol w:w="853"/>
        <w:gridCol w:w="1942"/>
        <w:gridCol w:w="1134"/>
        <w:gridCol w:w="995"/>
        <w:gridCol w:w="2299"/>
      </w:tblGrid>
      <w:tr>
        <w:trPr>
          <w:trHeight w:val="675" w:hRule="atLeast"/>
          <w:tblHeader/>
        </w:trPr>
        <w:tc>
          <w:tcPr>
            <w:tcW w:w="5000" w:type="pct"/>
            <w:gridSpan w:val="13"/>
            <w:tcBorders>
              <w:top w:val="nil"/>
              <w:left w:val="nil"/>
              <w:bottom w:val="single" w:color="auto" w:sz="4" w:space="0"/>
              <w:right w:val="nil"/>
            </w:tcBorders>
            <w:shd w:val="clear" w:color="auto" w:fill="auto"/>
            <w:noWrap/>
            <w:vAlign w:val="center"/>
          </w:tcPr>
          <w:p>
            <w:pPr>
              <w:widowControl/>
              <w:jc w:val="center"/>
              <w:textAlignment w:val="center"/>
              <w:rPr>
                <w:rFonts w:ascii="宋体" w:hAnsi="宋体" w:eastAsia="宋体" w:cs="宋体"/>
                <w:b/>
                <w:bCs/>
                <w:color w:val="000000"/>
                <w:sz w:val="52"/>
                <w:szCs w:val="52"/>
              </w:rPr>
            </w:pPr>
            <w:r>
              <w:rPr>
                <w:rFonts w:hint="eastAsia" w:ascii="宋体" w:hAnsi="宋体" w:eastAsia="宋体" w:cs="宋体"/>
                <w:b/>
                <w:bCs/>
                <w:color w:val="000000"/>
                <w:kern w:val="0"/>
                <w:sz w:val="32"/>
                <w:szCs w:val="32"/>
              </w:rPr>
              <w:t>县级物流配送中心</w:t>
            </w:r>
          </w:p>
        </w:tc>
      </w:tr>
      <w:tr>
        <w:tblPrEx>
          <w:tblCellMar>
            <w:top w:w="0" w:type="dxa"/>
            <w:left w:w="108" w:type="dxa"/>
            <w:bottom w:w="0" w:type="dxa"/>
            <w:right w:w="108" w:type="dxa"/>
          </w:tblCellMar>
        </w:tblPrEx>
        <w:trPr>
          <w:trHeight w:val="900" w:hRule="atLeast"/>
          <w:tblHeader/>
        </w:trPr>
        <w:tc>
          <w:tcPr>
            <w:tcW w:w="23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序号</w:t>
            </w:r>
          </w:p>
        </w:tc>
        <w:tc>
          <w:tcPr>
            <w:tcW w:w="24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名称</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地址</w:t>
            </w:r>
          </w:p>
        </w:tc>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kern w:val="0"/>
                <w:sz w:val="20"/>
                <w:szCs w:val="20"/>
              </w:rPr>
            </w:pPr>
            <w:r>
              <w:rPr>
                <w:rFonts w:hint="eastAsia" w:ascii="宋体" w:hAnsi="宋体" w:eastAsia="宋体" w:cs="宋体"/>
                <w:b/>
                <w:bCs/>
                <w:color w:val="000000"/>
                <w:kern w:val="0"/>
                <w:sz w:val="20"/>
                <w:szCs w:val="20"/>
              </w:rPr>
              <w:t>承办</w:t>
            </w:r>
          </w:p>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企业</w:t>
            </w:r>
          </w:p>
        </w:tc>
        <w:tc>
          <w:tcPr>
            <w:tcW w:w="3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是否是本县龙头商贸流通企业建设或运营</w:t>
            </w:r>
          </w:p>
        </w:tc>
        <w:tc>
          <w:tcPr>
            <w:tcW w:w="34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占地面积（㎡）</w:t>
            </w:r>
          </w:p>
        </w:tc>
        <w:tc>
          <w:tcPr>
            <w:tcW w:w="22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2021年快递物流收发量（万件）</w:t>
            </w:r>
          </w:p>
        </w:tc>
        <w:tc>
          <w:tcPr>
            <w:tcW w:w="2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是否实现物流资源整合</w:t>
            </w:r>
          </w:p>
        </w:tc>
        <w:tc>
          <w:tcPr>
            <w:tcW w:w="3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实现了哪些资源整合</w:t>
            </w:r>
          </w:p>
        </w:tc>
        <w:tc>
          <w:tcPr>
            <w:tcW w:w="68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配送覆盖范围</w:t>
            </w:r>
          </w:p>
        </w:tc>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中心物流件吞吐量约占全县物流总量</w:t>
            </w:r>
          </w:p>
        </w:tc>
        <w:tc>
          <w:tcPr>
            <w:tcW w:w="3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物流配送中心配送到村平均时间</w:t>
            </w:r>
          </w:p>
        </w:tc>
        <w:tc>
          <w:tcPr>
            <w:tcW w:w="8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对照《指南》类型</w:t>
            </w:r>
          </w:p>
        </w:tc>
      </w:tr>
      <w:tr>
        <w:tblPrEx>
          <w:tblCellMar>
            <w:top w:w="0" w:type="dxa"/>
            <w:left w:w="108" w:type="dxa"/>
            <w:bottom w:w="0" w:type="dxa"/>
            <w:right w:w="108" w:type="dxa"/>
          </w:tblCellMar>
        </w:tblPrEx>
        <w:trPr>
          <w:trHeight w:val="3466" w:hRule="atLeast"/>
        </w:trPr>
        <w:tc>
          <w:tcPr>
            <w:tcW w:w="231"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243"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县级物流处理配送中心</w:t>
            </w:r>
          </w:p>
        </w:tc>
        <w:tc>
          <w:tcPr>
            <w:tcW w:w="427"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福建省连城县204省道与莲北大道交会处中国连城国际物流商贸城</w:t>
            </w:r>
          </w:p>
        </w:tc>
        <w:tc>
          <w:tcPr>
            <w:tcW w:w="335"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中国邮政连城分公司</w:t>
            </w:r>
          </w:p>
        </w:tc>
        <w:tc>
          <w:tcPr>
            <w:tcW w:w="374"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是</w:t>
            </w:r>
          </w:p>
          <w:p>
            <w:pPr>
              <w:widowControl/>
              <w:jc w:val="center"/>
              <w:textAlignment w:val="center"/>
              <w:rPr>
                <w:rFonts w:ascii="Wingdings 2" w:hAnsi="Wingdings 2" w:eastAsia="Wingdings 2" w:cs="Wingdings 2"/>
                <w:color w:val="000000"/>
                <w:sz w:val="18"/>
                <w:szCs w:val="18"/>
              </w:rPr>
            </w:pPr>
            <w:r>
              <w:rPr>
                <w:rFonts w:ascii="Wingdings" w:hAnsi="Wingdings" w:eastAsia="Wingdings 2" w:cs="Wingdings"/>
                <w:color w:val="000000"/>
                <w:kern w:val="0"/>
                <w:sz w:val="18"/>
                <w:szCs w:val="18"/>
              </w:rPr>
              <w:t></w:t>
            </w:r>
            <w:r>
              <w:rPr>
                <w:rFonts w:hint="eastAsia" w:ascii="宋体" w:hAnsi="宋体" w:eastAsia="宋体" w:cs="宋体"/>
                <w:color w:val="000000"/>
                <w:kern w:val="0"/>
                <w:sz w:val="18"/>
                <w:szCs w:val="18"/>
              </w:rPr>
              <w:t>否</w:t>
            </w:r>
          </w:p>
        </w:tc>
        <w:tc>
          <w:tcPr>
            <w:tcW w:w="343"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1149.58</w:t>
            </w:r>
          </w:p>
        </w:tc>
        <w:tc>
          <w:tcPr>
            <w:tcW w:w="228"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482</w:t>
            </w:r>
          </w:p>
        </w:tc>
        <w:tc>
          <w:tcPr>
            <w:tcW w:w="267"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是</w:t>
            </w:r>
          </w:p>
          <w:p>
            <w:pPr>
              <w:widowControl/>
              <w:jc w:val="center"/>
              <w:textAlignment w:val="center"/>
              <w:rPr>
                <w:rFonts w:ascii="Wingdings 2" w:hAnsi="Wingdings 2" w:eastAsia="Wingdings 2" w:cs="Wingdings 2"/>
                <w:color w:val="000000"/>
                <w:sz w:val="18"/>
                <w:szCs w:val="18"/>
              </w:rPr>
            </w:pPr>
            <w:r>
              <w:rPr>
                <w:rFonts w:ascii="Wingdings" w:hAnsi="Wingdings" w:eastAsia="Wingdings 2" w:cs="Wingdings"/>
                <w:color w:val="000000"/>
                <w:kern w:val="0"/>
                <w:sz w:val="18"/>
                <w:szCs w:val="18"/>
              </w:rPr>
              <w:sym w:font="Wingdings" w:char="00A8"/>
            </w:r>
            <w:r>
              <w:rPr>
                <w:rFonts w:hint="eastAsia" w:ascii="宋体" w:hAnsi="宋体" w:eastAsia="宋体" w:cs="宋体"/>
                <w:color w:val="000000"/>
                <w:kern w:val="0"/>
                <w:sz w:val="18"/>
                <w:szCs w:val="18"/>
              </w:rPr>
              <w:t>否</w:t>
            </w:r>
          </w:p>
        </w:tc>
        <w:tc>
          <w:tcPr>
            <w:tcW w:w="30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Wingdings" w:hAnsi="Wingdings" w:cs="Wingdings"/>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场地</w:t>
            </w:r>
          </w:p>
          <w:p>
            <w:pPr>
              <w:widowControl/>
              <w:jc w:val="left"/>
              <w:textAlignment w:val="center"/>
              <w:rPr>
                <w:rFonts w:ascii="Wingdings" w:hAnsi="Wingdings" w:eastAsia="Wingdings 2" w:cs="Wingdings"/>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车辆</w:t>
            </w: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人员</w:t>
            </w:r>
          </w:p>
          <w:p>
            <w:pPr>
              <w:widowControl/>
              <w:jc w:val="left"/>
              <w:textAlignment w:val="center"/>
              <w:rPr>
                <w:rFonts w:ascii="Wingdings" w:hAnsi="Wingdings" w:eastAsia="Wingdings 2" w:cs="Wingdings"/>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运营</w:t>
            </w: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管理</w:t>
            </w:r>
          </w:p>
          <w:p>
            <w:pPr>
              <w:widowControl/>
              <w:jc w:val="left"/>
              <w:textAlignment w:val="center"/>
              <w:rPr>
                <w:rFonts w:ascii="Wingdings" w:hAnsi="Wingdings" w:eastAsia="Wingdings 2" w:cs="Wingdings"/>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线路</w:t>
            </w: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数据</w:t>
            </w: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其他</w:t>
            </w:r>
          </w:p>
        </w:tc>
        <w:tc>
          <w:tcPr>
            <w:tcW w:w="685"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县城</w:t>
            </w:r>
          </w:p>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县城和主要乡镇</w:t>
            </w:r>
          </w:p>
          <w:p>
            <w:pPr>
              <w:rPr>
                <w:rFonts w:ascii="Wingdings" w:hAnsi="Wingdings" w:cs="Wingdings"/>
                <w:kern w:val="0"/>
              </w:rPr>
            </w:pPr>
            <w:r>
              <w:rPr>
                <w:rFonts w:ascii="Wingdings" w:hAnsi="Wingdings" w:eastAsia="Tahoma" w:cs="Wingdings"/>
                <w:kern w:val="0"/>
              </w:rPr>
              <w:t></w:t>
            </w:r>
            <w:r>
              <w:rPr>
                <w:rFonts w:hint="eastAsia" w:ascii="宋体" w:hAnsi="宋体" w:eastAsia="宋体" w:cs="宋体"/>
                <w:color w:val="000000"/>
                <w:kern w:val="0"/>
                <w:sz w:val="18"/>
                <w:szCs w:val="18"/>
              </w:rPr>
              <w:t>县城和主要乡镇村</w:t>
            </w:r>
          </w:p>
          <w:p>
            <w:pPr>
              <w:rPr>
                <w:rFonts w:ascii="Wingdings" w:hAnsi="Wingdings" w:eastAsia="Tahoma" w:cs="Wingdings"/>
                <w:kern w:val="0"/>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县城和所有乡镇村</w:t>
            </w:r>
          </w:p>
        </w:tc>
        <w:tc>
          <w:tcPr>
            <w:tcW w:w="40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 xml:space="preserve">20%以下  </w:t>
            </w:r>
          </w:p>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 xml:space="preserve">20%-30%  </w:t>
            </w:r>
          </w:p>
          <w:p>
            <w:pPr>
              <w:widowControl/>
              <w:jc w:val="left"/>
              <w:textAlignment w:val="center"/>
              <w:rPr>
                <w:rFonts w:ascii="宋体" w:hAnsi="宋体" w:eastAsia="宋体" w:cs="宋体"/>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 xml:space="preserve">30%-50%  </w:t>
            </w:r>
          </w:p>
          <w:p>
            <w:pPr>
              <w:widowControl/>
              <w:jc w:val="left"/>
              <w:textAlignment w:val="center"/>
              <w:rPr>
                <w:rFonts w:ascii="Wingdings" w:hAnsi="Wingdings" w:eastAsia="Tahoma" w:cs="Wingdings"/>
                <w:color w:val="00000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50%以上</w:t>
            </w:r>
          </w:p>
        </w:tc>
        <w:tc>
          <w:tcPr>
            <w:tcW w:w="35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 xml:space="preserve">1日  </w:t>
            </w:r>
          </w:p>
          <w:p>
            <w:pPr>
              <w:widowControl/>
              <w:jc w:val="center"/>
              <w:textAlignment w:val="center"/>
              <w:rPr>
                <w:rFonts w:ascii="宋体" w:hAnsi="宋体" w:eastAsia="宋体" w:cs="宋体"/>
                <w:color w:val="000000"/>
                <w:kern w:val="0"/>
                <w:sz w:val="18"/>
                <w:szCs w:val="18"/>
              </w:rPr>
            </w:pPr>
            <w:r>
              <w:rPr>
                <w:rFonts w:ascii="Wingdings" w:hAnsi="Wingdings" w:eastAsia="Wingdings 2" w:cs="Wingdings"/>
                <w:color w:val="000000"/>
                <w:kern w:val="0"/>
                <w:sz w:val="18"/>
                <w:szCs w:val="18"/>
              </w:rPr>
              <w:sym w:font="Wingdings" w:char="00FE"/>
            </w:r>
            <w:r>
              <w:rPr>
                <w:rFonts w:hint="eastAsia" w:ascii="宋体" w:hAnsi="宋体" w:eastAsia="宋体" w:cs="宋体"/>
                <w:color w:val="000000"/>
                <w:kern w:val="0"/>
                <w:sz w:val="18"/>
                <w:szCs w:val="18"/>
              </w:rPr>
              <w:t xml:space="preserve">2日  </w:t>
            </w:r>
          </w:p>
          <w:p>
            <w:pPr>
              <w:widowControl/>
              <w:jc w:val="center"/>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 xml:space="preserve">3日  </w:t>
            </w:r>
          </w:p>
          <w:p>
            <w:pPr>
              <w:widowControl/>
              <w:jc w:val="center"/>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6日</w:t>
            </w:r>
          </w:p>
          <w:p>
            <w:pPr>
              <w:widowControl/>
              <w:jc w:val="center"/>
              <w:textAlignment w:val="center"/>
              <w:rPr>
                <w:rFonts w:ascii="Wingdings" w:hAnsi="Wingdings" w:eastAsia="Tahoma" w:cs="Wingdings"/>
                <w:color w:val="000000"/>
                <w:sz w:val="18"/>
                <w:szCs w:val="18"/>
              </w:rPr>
            </w:pPr>
            <w:r>
              <w:rPr>
                <w:rFonts w:hint="eastAsia" w:ascii="宋体" w:hAnsi="宋体" w:eastAsia="宋体" w:cs="宋体"/>
                <w:color w:val="000000"/>
                <w:kern w:val="0"/>
                <w:sz w:val="18"/>
                <w:szCs w:val="18"/>
              </w:rPr>
              <w:t xml:space="preserve"> </w:t>
            </w: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以上</w:t>
            </w:r>
          </w:p>
        </w:tc>
        <w:tc>
          <w:tcPr>
            <w:tcW w:w="81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未达到基本型</w:t>
            </w:r>
          </w:p>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sym w:font="Wingdings" w:char="00FE"/>
            </w:r>
            <w:r>
              <w:rPr>
                <w:rFonts w:hint="eastAsia" w:ascii="宋体" w:hAnsi="宋体" w:eastAsia="宋体" w:cs="宋体"/>
                <w:color w:val="000000"/>
                <w:kern w:val="0"/>
                <w:sz w:val="18"/>
                <w:szCs w:val="18"/>
              </w:rPr>
              <w:t>基本型</w:t>
            </w:r>
          </w:p>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（仓储、分拣、中转、配送）</w:t>
            </w:r>
          </w:p>
          <w:p>
            <w:pPr>
              <w:widowControl/>
              <w:jc w:val="left"/>
              <w:textAlignment w:val="center"/>
              <w:rPr>
                <w:rFonts w:ascii="宋体" w:hAnsi="宋体" w:eastAsia="宋体" w:cs="宋体"/>
                <w:color w:val="000000"/>
                <w:kern w:val="0"/>
                <w:sz w:val="18"/>
                <w:szCs w:val="18"/>
              </w:rPr>
            </w:pPr>
            <w:r>
              <w:rPr>
                <w:rFonts w:ascii="Wingdings" w:hAnsi="Wingdings" w:eastAsia="Tahoma" w:cs="Wingdings"/>
                <w:color w:val="000000"/>
                <w:kern w:val="0"/>
                <w:sz w:val="18"/>
                <w:szCs w:val="18"/>
              </w:rPr>
              <w:t></w:t>
            </w:r>
            <w:r>
              <w:rPr>
                <w:rFonts w:hint="eastAsia" w:ascii="宋体" w:hAnsi="宋体" w:eastAsia="宋体" w:cs="宋体"/>
                <w:color w:val="000000"/>
                <w:kern w:val="0"/>
                <w:sz w:val="18"/>
                <w:szCs w:val="18"/>
              </w:rPr>
              <w:t>增强型</w:t>
            </w:r>
          </w:p>
          <w:p>
            <w:pPr>
              <w:widowControl/>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（仓储、分拣、中转、配送，物流整合）</w:t>
            </w:r>
          </w:p>
          <w:p>
            <w:pPr>
              <w:widowControl/>
              <w:jc w:val="left"/>
              <w:textAlignment w:val="center"/>
              <w:rPr>
                <w:rFonts w:ascii="宋体" w:hAnsi="宋体" w:eastAsia="宋体" w:cs="宋体"/>
                <w:color w:val="000000"/>
                <w:kern w:val="0"/>
                <w:sz w:val="18"/>
                <w:szCs w:val="18"/>
              </w:rPr>
            </w:pPr>
            <w:r>
              <w:rPr>
                <w:rFonts w:ascii="Wingdings" w:hAnsi="Wingdings" w:eastAsia="Wingdings 2" w:cs="Wingdings"/>
                <w:color w:val="000000"/>
                <w:kern w:val="0"/>
                <w:sz w:val="18"/>
                <w:szCs w:val="18"/>
              </w:rPr>
              <w:sym w:font="Wingdings" w:char="00A8"/>
            </w:r>
            <w:r>
              <w:rPr>
                <w:rFonts w:hint="eastAsia" w:ascii="宋体" w:hAnsi="宋体" w:eastAsia="宋体" w:cs="宋体"/>
                <w:color w:val="000000"/>
                <w:kern w:val="0"/>
                <w:sz w:val="18"/>
                <w:szCs w:val="18"/>
              </w:rPr>
              <w:t>提升型</w:t>
            </w:r>
          </w:p>
          <w:p>
            <w:pPr>
              <w:widowControl/>
              <w:jc w:val="left"/>
              <w:textAlignment w:val="center"/>
              <w:rPr>
                <w:rFonts w:ascii="Wingdings" w:hAnsi="Wingdings" w:eastAsia="Tahoma" w:cs="Wingdings"/>
                <w:color w:val="000000"/>
                <w:sz w:val="18"/>
                <w:szCs w:val="18"/>
              </w:rPr>
            </w:pPr>
            <w:r>
              <w:rPr>
                <w:rFonts w:hint="eastAsia" w:ascii="宋体" w:hAnsi="宋体" w:eastAsia="宋体" w:cs="宋体"/>
                <w:color w:val="000000"/>
                <w:kern w:val="0"/>
                <w:sz w:val="18"/>
                <w:szCs w:val="18"/>
              </w:rPr>
              <w:t>（仓储、分拣、中转、配送服务，物流整合，平台交易、支付结算、数据分析等）</w:t>
            </w:r>
          </w:p>
        </w:tc>
      </w:tr>
    </w:tbl>
    <w:p>
      <w:pPr>
        <w:pStyle w:val="24"/>
      </w:pPr>
    </w:p>
    <w:p>
      <w:pPr>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br w:type="page"/>
      </w:r>
    </w:p>
    <w:p>
      <w:pPr>
        <w:numPr>
          <w:ilvl w:val="0"/>
          <w:numId w:val="4"/>
        </w:numPr>
        <w:ind w:left="0" w:firstLine="643" w:firstLineChars="200"/>
        <w:outlineLvl w:val="3"/>
        <w:rPr>
          <w:rFonts w:ascii="黑体" w:hAnsi="黑体" w:eastAsia="黑体" w:cs="黑体"/>
          <w:b/>
          <w:bCs/>
          <w:color w:val="000000"/>
          <w:kern w:val="0"/>
          <w:sz w:val="32"/>
          <w:szCs w:val="32"/>
        </w:rPr>
        <w:sectPr>
          <w:pgSz w:w="16838" w:h="11906" w:orient="landscape"/>
          <w:pgMar w:top="1803" w:right="1440" w:bottom="1803" w:left="1440" w:header="851" w:footer="992" w:gutter="0"/>
          <w:cols w:space="0" w:num="1"/>
          <w:docGrid w:type="lines" w:linePitch="319" w:charSpace="0"/>
        </w:sectPr>
      </w:pPr>
    </w:p>
    <w:p>
      <w:pPr>
        <w:numPr>
          <w:ilvl w:val="0"/>
          <w:numId w:val="4"/>
        </w:numPr>
        <w:ind w:left="0" w:firstLine="643" w:firstLineChars="200"/>
        <w:outlineLvl w:val="3"/>
        <w:rPr>
          <w:rFonts w:asciiTheme="majorEastAsia" w:hAnsiTheme="majorEastAsia" w:eastAsiaTheme="majorEastAsia" w:cstheme="majorEastAsia"/>
          <w:b/>
          <w:bCs/>
          <w:color w:val="000000"/>
          <w:kern w:val="0"/>
          <w:sz w:val="32"/>
          <w:szCs w:val="32"/>
        </w:rPr>
      </w:pPr>
      <w:bookmarkStart w:id="15" w:name="_Toc8541"/>
      <w:r>
        <w:rPr>
          <w:rFonts w:hint="eastAsia" w:asciiTheme="majorEastAsia" w:hAnsiTheme="majorEastAsia" w:eastAsiaTheme="majorEastAsia" w:cstheme="majorEastAsia"/>
          <w:b/>
          <w:bCs/>
          <w:color w:val="000000"/>
          <w:kern w:val="0"/>
          <w:sz w:val="32"/>
          <w:szCs w:val="32"/>
        </w:rPr>
        <w:t>快递物流服务站点</w:t>
      </w:r>
      <w:bookmarkEnd w:id="15"/>
    </w:p>
    <w:tbl>
      <w:tblPr>
        <w:tblStyle w:val="19"/>
        <w:tblW w:w="5000" w:type="pct"/>
        <w:tblInd w:w="0" w:type="dxa"/>
        <w:tblLayout w:type="autofit"/>
        <w:tblCellMar>
          <w:top w:w="0" w:type="dxa"/>
          <w:left w:w="108" w:type="dxa"/>
          <w:bottom w:w="0" w:type="dxa"/>
          <w:right w:w="108" w:type="dxa"/>
        </w:tblCellMar>
      </w:tblPr>
      <w:tblGrid>
        <w:gridCol w:w="1311"/>
        <w:gridCol w:w="2945"/>
        <w:gridCol w:w="2129"/>
        <w:gridCol w:w="2131"/>
      </w:tblGrid>
      <w:tr>
        <w:trPr>
          <w:trHeight w:val="540" w:hRule="atLeast"/>
        </w:trPr>
        <w:tc>
          <w:tcPr>
            <w:tcW w:w="5000" w:type="pct"/>
            <w:gridSpan w:val="4"/>
            <w:tcBorders>
              <w:top w:val="nil"/>
              <w:left w:val="nil"/>
              <w:bottom w:val="single" w:color="auto" w:sz="4" w:space="0"/>
              <w:right w:val="nil"/>
            </w:tcBorders>
            <w:shd w:val="clear" w:color="auto" w:fill="auto"/>
            <w:noWrap/>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8"/>
                <w:szCs w:val="28"/>
              </w:rPr>
              <w:t>乡镇快递物流站点</w:t>
            </w:r>
          </w:p>
        </w:tc>
      </w:tr>
      <w:tr>
        <w:tblPrEx>
          <w:tblCellMar>
            <w:top w:w="0" w:type="dxa"/>
            <w:left w:w="108" w:type="dxa"/>
            <w:bottom w:w="0" w:type="dxa"/>
            <w:right w:w="108" w:type="dxa"/>
          </w:tblCellMar>
        </w:tblPrEx>
        <w:trPr>
          <w:trHeight w:val="755" w:hRule="atLeast"/>
        </w:trPr>
        <w:tc>
          <w:tcPr>
            <w:tcW w:w="77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序号</w:t>
            </w:r>
          </w:p>
        </w:tc>
        <w:tc>
          <w:tcPr>
            <w:tcW w:w="172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所在地区（选择）</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是否有乡镇快递物流站点</w:t>
            </w:r>
          </w:p>
        </w:tc>
        <w:tc>
          <w:tcPr>
            <w:tcW w:w="125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eastAsia="宋体" w:cs="宋体"/>
                <w:b/>
                <w:bCs/>
                <w:color w:val="000000"/>
                <w:sz w:val="24"/>
              </w:rPr>
            </w:pPr>
            <w:r>
              <w:rPr>
                <w:rFonts w:hint="eastAsia" w:ascii="宋体" w:hAnsi="宋体" w:eastAsia="宋体" w:cs="宋体"/>
                <w:b/>
                <w:bCs/>
                <w:color w:val="000000"/>
                <w:kern w:val="0"/>
                <w:sz w:val="24"/>
              </w:rPr>
              <w:t>是否由县级物流配送中心统一配送</w:t>
            </w:r>
          </w:p>
        </w:tc>
      </w:tr>
      <w:tr>
        <w:tblPrEx>
          <w:tblCellMar>
            <w:top w:w="0" w:type="dxa"/>
            <w:left w:w="108" w:type="dxa"/>
            <w:bottom w:w="0" w:type="dxa"/>
            <w:right w:w="108" w:type="dxa"/>
          </w:tblCellMar>
        </w:tblPrEx>
        <w:trPr>
          <w:trHeight w:val="375" w:hRule="atLeast"/>
        </w:trPr>
        <w:tc>
          <w:tcPr>
            <w:tcW w:w="77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w:t>
            </w:r>
          </w:p>
        </w:tc>
        <w:tc>
          <w:tcPr>
            <w:tcW w:w="1729" w:type="pct"/>
            <w:tcBorders>
              <w:top w:val="single" w:color="auto"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莲峰镇</w:t>
            </w:r>
          </w:p>
        </w:tc>
        <w:tc>
          <w:tcPr>
            <w:tcW w:w="1250" w:type="pct"/>
            <w:tcBorders>
              <w:top w:val="single" w:color="auto"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2</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北团镇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3</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姑田镇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4</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朋口镇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5</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莒溪镇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6</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新泉镇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7</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庙前镇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8</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文亨镇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9</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四堡镇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10</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林坊镇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11</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隔川镇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12</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宣和镇</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13</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揭乐乡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14</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塘前乡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15</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罗坊乡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16</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曲溪乡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17</w:t>
            </w:r>
          </w:p>
        </w:tc>
        <w:tc>
          <w:tcPr>
            <w:tcW w:w="172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ascii="宋体" w:hAnsi="宋体" w:eastAsia="宋体" w:cs="宋体"/>
                <w:color w:val="000000"/>
                <w:sz w:val="24"/>
              </w:rPr>
            </w:pPr>
            <w:r>
              <w:rPr>
                <w:rFonts w:hint="eastAsia" w:ascii="宋体" w:hAnsi="宋体" w:eastAsia="宋体" w:cs="宋体"/>
                <w:color w:val="000000"/>
                <w:kern w:val="0"/>
                <w:sz w:val="24"/>
              </w:rPr>
              <w:t>赖源乡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否</w:t>
            </w:r>
          </w:p>
        </w:tc>
      </w:tr>
      <w:tr>
        <w:tblPrEx>
          <w:tblCellMar>
            <w:top w:w="0" w:type="dxa"/>
            <w:left w:w="108" w:type="dxa"/>
            <w:bottom w:w="0" w:type="dxa"/>
            <w:right w:w="108" w:type="dxa"/>
          </w:tblCellMar>
        </w:tblPrEx>
        <w:trPr>
          <w:trHeight w:val="375" w:hRule="atLeast"/>
        </w:trPr>
        <w:tc>
          <w:tcPr>
            <w:tcW w:w="7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18</w:t>
            </w:r>
          </w:p>
        </w:tc>
        <w:tc>
          <w:tcPr>
            <w:tcW w:w="172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4"/>
              </w:rPr>
            </w:pPr>
            <w:r>
              <w:rPr>
                <w:rFonts w:hint="eastAsia" w:ascii="宋体" w:hAnsi="宋体" w:eastAsia="宋体" w:cs="宋体"/>
                <w:color w:val="000000"/>
                <w:kern w:val="0"/>
                <w:sz w:val="24"/>
              </w:rPr>
              <w:t>合计</w:t>
            </w:r>
          </w:p>
        </w:tc>
        <w:tc>
          <w:tcPr>
            <w:tcW w:w="125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jc w:val="center"/>
              <w:textAlignment w:val="bottom"/>
              <w:rPr>
                <w:rFonts w:hint="default" w:ascii="宋体" w:hAnsi="宋体" w:eastAsia="宋体" w:cs="宋体"/>
                <w:color w:val="000000"/>
                <w:sz w:val="24"/>
                <w:lang w:val="en-US" w:eastAsia="zh-CN"/>
              </w:rPr>
            </w:pPr>
            <w:r>
              <w:rPr>
                <w:rFonts w:hint="eastAsia" w:ascii="宋体" w:hAnsi="宋体" w:eastAsia="宋体" w:cs="宋体"/>
                <w:color w:val="000000"/>
                <w:kern w:val="0"/>
                <w:sz w:val="24"/>
                <w:lang w:val="en-US" w:eastAsia="zh-CN"/>
              </w:rPr>
              <w:t>17</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4"/>
              </w:rPr>
            </w:pPr>
          </w:p>
        </w:tc>
      </w:tr>
      <w:tr>
        <w:tblPrEx>
          <w:tblCellMar>
            <w:top w:w="0" w:type="dxa"/>
            <w:left w:w="108" w:type="dxa"/>
            <w:bottom w:w="0" w:type="dxa"/>
            <w:right w:w="108" w:type="dxa"/>
          </w:tblCellMar>
        </w:tblPrEx>
        <w:trPr>
          <w:trHeight w:val="1220" w:hRule="atLeast"/>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4"/>
              </w:rPr>
            </w:pPr>
            <w:r>
              <w:rPr>
                <w:rStyle w:val="45"/>
                <w:rFonts w:hint="default"/>
                <w:sz w:val="24"/>
                <w:szCs w:val="24"/>
              </w:rPr>
              <w:t>注：“十四五”时期县域商业体系建设约束性指标5（乡村末端物流）：建设改造一批乡镇邮政、快递网点和村级寄递物流综合服务站，提供消费品下乡、农产品进城寄递服务，基本实现乡乡（镇）有网点、村村有服务。</w:t>
            </w:r>
          </w:p>
        </w:tc>
      </w:tr>
    </w:tbl>
    <w:p>
      <w:pPr>
        <w:pStyle w:val="24"/>
      </w:pPr>
    </w:p>
    <w:p>
      <w:r>
        <w:br w:type="page"/>
      </w:r>
    </w:p>
    <w:p/>
    <w:p>
      <w:pPr>
        <w:numPr>
          <w:ilvl w:val="0"/>
          <w:numId w:val="4"/>
        </w:numPr>
        <w:ind w:left="0" w:firstLine="643" w:firstLineChars="200"/>
        <w:outlineLvl w:val="3"/>
        <w:rPr>
          <w:rFonts w:asciiTheme="majorEastAsia" w:hAnsiTheme="majorEastAsia" w:eastAsiaTheme="majorEastAsia" w:cstheme="majorEastAsia"/>
          <w:b/>
          <w:bCs/>
          <w:color w:val="000000"/>
          <w:kern w:val="0"/>
          <w:sz w:val="32"/>
          <w:szCs w:val="32"/>
        </w:rPr>
      </w:pPr>
      <w:bookmarkStart w:id="16" w:name="_Toc2162"/>
      <w:r>
        <w:rPr>
          <w:rFonts w:hint="eastAsia" w:asciiTheme="majorEastAsia" w:hAnsiTheme="majorEastAsia" w:eastAsiaTheme="majorEastAsia" w:cstheme="majorEastAsia"/>
          <w:b/>
          <w:bCs/>
          <w:color w:val="000000"/>
          <w:kern w:val="0"/>
          <w:sz w:val="32"/>
          <w:szCs w:val="32"/>
        </w:rPr>
        <w:t>未达到县域商业体系建设标准</w:t>
      </w:r>
      <w:bookmarkEnd w:id="16"/>
    </w:p>
    <w:p>
      <w:pPr>
        <w:widowControl/>
        <w:spacing w:line="540" w:lineRule="exact"/>
        <w:ind w:firstLine="640" w:firstLineChars="200"/>
        <w:jc w:val="left"/>
        <w:rPr>
          <w:rFonts w:ascii="仿宋" w:hAnsi="仿宋" w:eastAsia="仿宋" w:cs="仿宋"/>
          <w:color w:val="000000"/>
          <w:kern w:val="0"/>
          <w:sz w:val="32"/>
          <w:szCs w:val="32"/>
        </w:rPr>
      </w:pPr>
      <w:bookmarkStart w:id="17" w:name="_Toc12634"/>
      <w:r>
        <w:rPr>
          <w:rFonts w:hint="eastAsia" w:ascii="仿宋" w:hAnsi="仿宋" w:eastAsia="仿宋" w:cs="仿宋"/>
          <w:color w:val="000000"/>
          <w:kern w:val="0"/>
          <w:sz w:val="32"/>
          <w:szCs w:val="32"/>
        </w:rPr>
        <w:t>2021年我县有基本型县城</w:t>
      </w:r>
      <w:r>
        <w:rPr>
          <w:rFonts w:hint="eastAsia" w:ascii="仿宋" w:hAnsi="仿宋" w:eastAsia="仿宋" w:cs="仿宋"/>
          <w:color w:val="000000"/>
          <w:kern w:val="0"/>
          <w:sz w:val="32"/>
          <w:szCs w:val="32"/>
          <w:lang w:val="en-US" w:eastAsia="zh-CN"/>
        </w:rPr>
        <w:t>综合商贸服务</w:t>
      </w:r>
      <w:r>
        <w:rPr>
          <w:rFonts w:hint="eastAsia" w:ascii="仿宋" w:hAnsi="仿宋" w:eastAsia="仿宋" w:cs="仿宋"/>
          <w:color w:val="000000"/>
          <w:kern w:val="0"/>
          <w:sz w:val="32"/>
          <w:szCs w:val="32"/>
        </w:rPr>
        <w:t>中心1个；基本型以上乡镇商贸中心</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个、增强型以上乡镇商贸中心1个；拥有基本型以上村级便民商店的建制村180个，拥有乡镇快递物流站点的乡镇17个，覆盖率100%；拥有村级快递物流站点的建制村</w:t>
      </w:r>
      <w:r>
        <w:rPr>
          <w:rFonts w:hint="eastAsia" w:ascii="仿宋" w:hAnsi="仿宋" w:eastAsia="仿宋" w:cs="仿宋"/>
          <w:color w:val="000000"/>
          <w:kern w:val="0"/>
          <w:sz w:val="32"/>
          <w:szCs w:val="32"/>
          <w:lang w:val="en-US" w:eastAsia="zh-CN"/>
        </w:rPr>
        <w:t>232</w:t>
      </w:r>
      <w:r>
        <w:rPr>
          <w:rFonts w:hint="eastAsia" w:ascii="仿宋" w:hAnsi="仿宋" w:eastAsia="仿宋" w:cs="仿宋"/>
          <w:color w:val="000000"/>
          <w:kern w:val="0"/>
          <w:sz w:val="32"/>
          <w:szCs w:val="32"/>
        </w:rPr>
        <w:t>个。未达到基本型县域商业体系建设标准。</w:t>
      </w:r>
      <w:bookmarkEnd w:id="17"/>
    </w:p>
    <w:p>
      <w:pPr>
        <w:rPr>
          <w:rFonts w:ascii="仿宋" w:hAnsi="仿宋" w:eastAsia="仿宋" w:cs="仿宋"/>
          <w:color w:val="000000"/>
          <w:kern w:val="0"/>
          <w:sz w:val="32"/>
          <w:szCs w:val="32"/>
        </w:rPr>
      </w:pPr>
      <w:r>
        <w:rPr>
          <w:rFonts w:hint="eastAsia" w:ascii="仿宋" w:hAnsi="仿宋" w:eastAsia="仿宋" w:cs="仿宋"/>
          <w:color w:val="000000"/>
          <w:kern w:val="0"/>
          <w:sz w:val="32"/>
          <w:szCs w:val="32"/>
        </w:rPr>
        <w:br w:type="page"/>
      </w:r>
    </w:p>
    <w:p/>
    <w:p>
      <w:pPr>
        <w:numPr>
          <w:ilvl w:val="0"/>
          <w:numId w:val="1"/>
        </w:numPr>
        <w:spacing w:line="560" w:lineRule="exact"/>
        <w:ind w:left="-11" w:firstLine="643" w:firstLineChars="200"/>
        <w:outlineLvl w:val="0"/>
        <w:rPr>
          <w:rFonts w:ascii="黑体" w:hAnsi="黑体" w:eastAsia="黑体" w:cs="黑体"/>
          <w:b/>
          <w:bCs/>
          <w:sz w:val="32"/>
          <w:szCs w:val="32"/>
        </w:rPr>
      </w:pPr>
      <w:bookmarkStart w:id="18" w:name="_Toc29864"/>
      <w:r>
        <w:rPr>
          <w:rFonts w:hint="eastAsia" w:ascii="黑体" w:hAnsi="黑体" w:eastAsia="黑体" w:cs="黑体"/>
          <w:b/>
          <w:bCs/>
          <w:sz w:val="32"/>
          <w:szCs w:val="32"/>
        </w:rPr>
        <w:t>目标任务</w:t>
      </w:r>
      <w:bookmarkEnd w:id="18"/>
    </w:p>
    <w:p>
      <w:pPr>
        <w:widowControl/>
        <w:numPr>
          <w:ilvl w:val="0"/>
          <w:numId w:val="5"/>
        </w:numPr>
        <w:spacing w:line="560" w:lineRule="exact"/>
        <w:ind w:firstLine="643" w:firstLineChars="200"/>
        <w:jc w:val="left"/>
        <w:outlineLvl w:val="1"/>
        <w:rPr>
          <w:rFonts w:asciiTheme="majorEastAsia" w:hAnsiTheme="majorEastAsia" w:eastAsiaTheme="majorEastAsia" w:cstheme="majorEastAsia"/>
          <w:b/>
          <w:bCs/>
          <w:color w:val="000000"/>
          <w:kern w:val="0"/>
          <w:sz w:val="32"/>
          <w:szCs w:val="32"/>
        </w:rPr>
      </w:pPr>
      <w:bookmarkStart w:id="19" w:name="_Toc9110"/>
      <w:r>
        <w:rPr>
          <w:rFonts w:hint="eastAsia" w:asciiTheme="majorEastAsia" w:hAnsiTheme="majorEastAsia" w:eastAsiaTheme="majorEastAsia" w:cstheme="majorEastAsia"/>
          <w:b/>
          <w:bCs/>
          <w:color w:val="000000"/>
          <w:kern w:val="0"/>
          <w:sz w:val="32"/>
          <w:szCs w:val="32"/>
        </w:rPr>
        <w:t>总体目标</w:t>
      </w:r>
      <w:bookmarkEnd w:id="19"/>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到2025年连城县商业建设行动达到基本型县域商业建设标准，具体情况如下：</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基本型以上县城综合商贸服务中心数</w:t>
      </w:r>
      <w:r>
        <w:rPr>
          <w:rFonts w:hint="eastAsia" w:ascii="仿宋" w:hAnsi="仿宋" w:eastAsia="仿宋" w:cs="仿宋"/>
          <w:sz w:val="32"/>
          <w:szCs w:val="32"/>
          <w:lang w:val="en-US" w:eastAsia="zh-CN"/>
        </w:rPr>
        <w:t>1</w:t>
      </w:r>
      <w:r>
        <w:rPr>
          <w:rFonts w:hint="eastAsia" w:ascii="仿宋" w:hAnsi="仿宋" w:eastAsia="仿宋" w:cs="仿宋"/>
          <w:sz w:val="32"/>
          <w:szCs w:val="32"/>
        </w:rPr>
        <w:t>个；基本型以上乡镇商贸中心数17个，增强型以上乡镇商贸中心数2个，提升型乡镇商贸中心数1个</w:t>
      </w:r>
      <w:r>
        <w:rPr>
          <w:rFonts w:hint="eastAsia" w:ascii="仿宋" w:hAnsi="仿宋" w:eastAsia="仿宋" w:cs="仿宋"/>
          <w:sz w:val="32"/>
          <w:szCs w:val="32"/>
          <w:lang w:eastAsia="zh-CN"/>
        </w:rPr>
        <w:t>。</w:t>
      </w:r>
      <w:r>
        <w:rPr>
          <w:rFonts w:hint="eastAsia" w:ascii="仿宋" w:hAnsi="仿宋" w:eastAsia="仿宋" w:cs="仿宋"/>
          <w:sz w:val="32"/>
          <w:szCs w:val="32"/>
        </w:rPr>
        <w:t>基本型以上乡镇商贸中心</w:t>
      </w:r>
      <w:r>
        <w:rPr>
          <w:rFonts w:hint="eastAsia" w:ascii="仿宋" w:hAnsi="仿宋" w:eastAsia="仿宋" w:cs="仿宋"/>
          <w:sz w:val="32"/>
          <w:szCs w:val="32"/>
          <w:lang w:val="en-US" w:eastAsia="zh-CN"/>
        </w:rPr>
        <w:t>覆盖率100%，增强</w:t>
      </w:r>
      <w:r>
        <w:rPr>
          <w:rFonts w:hint="eastAsia" w:ascii="仿宋" w:hAnsi="仿宋" w:eastAsia="仿宋" w:cs="仿宋"/>
          <w:sz w:val="32"/>
          <w:szCs w:val="32"/>
        </w:rPr>
        <w:t>型以上乡镇商贸中心</w:t>
      </w:r>
      <w:r>
        <w:rPr>
          <w:rFonts w:hint="eastAsia" w:ascii="仿宋" w:hAnsi="仿宋" w:eastAsia="仿宋" w:cs="仿宋"/>
          <w:sz w:val="32"/>
          <w:szCs w:val="32"/>
          <w:lang w:val="en-US" w:eastAsia="zh-CN"/>
        </w:rPr>
        <w:t>覆盖率18%，提升</w:t>
      </w:r>
      <w:r>
        <w:rPr>
          <w:rFonts w:hint="eastAsia" w:ascii="仿宋" w:hAnsi="仿宋" w:eastAsia="仿宋" w:cs="仿宋"/>
          <w:sz w:val="32"/>
          <w:szCs w:val="32"/>
        </w:rPr>
        <w:t>型以上乡镇商贸中心</w:t>
      </w:r>
      <w:r>
        <w:rPr>
          <w:rFonts w:hint="eastAsia" w:ascii="仿宋" w:hAnsi="仿宋" w:eastAsia="仿宋" w:cs="仿宋"/>
          <w:sz w:val="32"/>
          <w:szCs w:val="32"/>
          <w:lang w:val="en-US" w:eastAsia="zh-CN"/>
        </w:rPr>
        <w:t>覆盖率6%。</w:t>
      </w:r>
      <w:r>
        <w:rPr>
          <w:rFonts w:hint="eastAsia" w:ascii="仿宋" w:hAnsi="仿宋" w:eastAsia="仿宋" w:cs="仿宋"/>
          <w:sz w:val="32"/>
          <w:szCs w:val="32"/>
        </w:rPr>
        <w:t>基本型以上村级便民商店数12</w:t>
      </w:r>
      <w:r>
        <w:rPr>
          <w:rFonts w:hint="eastAsia" w:ascii="仿宋" w:hAnsi="仿宋" w:eastAsia="仿宋" w:cs="仿宋"/>
          <w:sz w:val="32"/>
          <w:szCs w:val="32"/>
          <w:lang w:val="en-US" w:eastAsia="zh-CN"/>
        </w:rPr>
        <w:t>57</w:t>
      </w:r>
      <w:r>
        <w:rPr>
          <w:rFonts w:hint="eastAsia" w:ascii="仿宋" w:hAnsi="仿宋" w:eastAsia="仿宋" w:cs="仿宋"/>
          <w:sz w:val="32"/>
          <w:szCs w:val="32"/>
        </w:rPr>
        <w:t>个，增强型以上村级便民商店数</w:t>
      </w:r>
      <w:r>
        <w:rPr>
          <w:rFonts w:hint="eastAsia" w:ascii="仿宋" w:hAnsi="仿宋" w:eastAsia="仿宋" w:cs="仿宋"/>
          <w:sz w:val="32"/>
          <w:szCs w:val="32"/>
          <w:lang w:val="en-US" w:eastAsia="zh-CN"/>
        </w:rPr>
        <w:t>12</w:t>
      </w:r>
      <w:r>
        <w:rPr>
          <w:rFonts w:hint="eastAsia" w:ascii="仿宋" w:hAnsi="仿宋" w:eastAsia="仿宋" w:cs="仿宋"/>
          <w:sz w:val="32"/>
          <w:szCs w:val="32"/>
        </w:rPr>
        <w:t>个，提升型村级便民商店数</w:t>
      </w:r>
      <w:r>
        <w:rPr>
          <w:rFonts w:hint="eastAsia" w:ascii="仿宋" w:hAnsi="仿宋" w:eastAsia="仿宋" w:cs="仿宋"/>
          <w:sz w:val="32"/>
          <w:szCs w:val="32"/>
          <w:lang w:val="en-US" w:eastAsia="zh-CN"/>
        </w:rPr>
        <w:t>6</w:t>
      </w:r>
      <w:r>
        <w:rPr>
          <w:rFonts w:hint="eastAsia" w:ascii="仿宋" w:hAnsi="仿宋" w:eastAsia="仿宋" w:cs="仿宋"/>
          <w:sz w:val="32"/>
          <w:szCs w:val="32"/>
        </w:rPr>
        <w:t>个</w:t>
      </w:r>
      <w:r>
        <w:rPr>
          <w:rFonts w:hint="eastAsia" w:ascii="仿宋" w:hAnsi="仿宋" w:eastAsia="仿宋" w:cs="仿宋"/>
          <w:sz w:val="32"/>
          <w:szCs w:val="32"/>
          <w:lang w:val="en-US" w:eastAsia="zh-CN"/>
        </w:rPr>
        <w:t>。拥有</w:t>
      </w:r>
      <w:r>
        <w:rPr>
          <w:rFonts w:hint="eastAsia" w:ascii="仿宋" w:hAnsi="仿宋" w:eastAsia="仿宋" w:cs="仿宋"/>
          <w:sz w:val="32"/>
          <w:szCs w:val="32"/>
        </w:rPr>
        <w:t>基本型以上便民商店</w:t>
      </w:r>
      <w:r>
        <w:rPr>
          <w:rFonts w:hint="eastAsia" w:ascii="仿宋" w:hAnsi="仿宋" w:eastAsia="仿宋" w:cs="仿宋"/>
          <w:sz w:val="32"/>
          <w:szCs w:val="32"/>
          <w:lang w:val="en-US" w:eastAsia="zh-CN"/>
        </w:rPr>
        <w:t>的建制村</w:t>
      </w:r>
      <w:r>
        <w:rPr>
          <w:rFonts w:hint="eastAsia" w:ascii="仿宋" w:hAnsi="仿宋" w:eastAsia="仿宋" w:cs="仿宋"/>
          <w:sz w:val="32"/>
          <w:szCs w:val="32"/>
        </w:rPr>
        <w:t>数</w:t>
      </w:r>
      <w:r>
        <w:rPr>
          <w:rFonts w:hint="eastAsia" w:ascii="仿宋" w:hAnsi="仿宋" w:eastAsia="仿宋" w:cs="仿宋"/>
          <w:sz w:val="32"/>
          <w:szCs w:val="32"/>
          <w:lang w:val="en-US" w:eastAsia="zh-CN"/>
        </w:rPr>
        <w:t>232个，拥有</w:t>
      </w:r>
      <w:r>
        <w:rPr>
          <w:rFonts w:hint="eastAsia" w:ascii="仿宋" w:hAnsi="仿宋" w:eastAsia="仿宋" w:cs="仿宋"/>
          <w:sz w:val="32"/>
          <w:szCs w:val="32"/>
        </w:rPr>
        <w:t>基本型以上便民商店</w:t>
      </w:r>
      <w:r>
        <w:rPr>
          <w:rFonts w:hint="eastAsia" w:ascii="仿宋" w:hAnsi="仿宋" w:eastAsia="仿宋" w:cs="仿宋"/>
          <w:sz w:val="32"/>
          <w:szCs w:val="32"/>
          <w:lang w:val="en-US" w:eastAsia="zh-CN"/>
        </w:rPr>
        <w:t>的建制村</w:t>
      </w:r>
      <w:r>
        <w:rPr>
          <w:rFonts w:hint="eastAsia" w:ascii="仿宋" w:hAnsi="仿宋" w:eastAsia="仿宋" w:cs="仿宋"/>
          <w:sz w:val="32"/>
          <w:szCs w:val="32"/>
        </w:rPr>
        <w:t>数</w:t>
      </w:r>
      <w:r>
        <w:rPr>
          <w:rFonts w:hint="eastAsia" w:ascii="仿宋" w:hAnsi="仿宋" w:eastAsia="仿宋" w:cs="仿宋"/>
          <w:sz w:val="32"/>
          <w:szCs w:val="32"/>
          <w:lang w:val="en-US" w:eastAsia="zh-CN"/>
        </w:rPr>
        <w:t>15个，拥有</w:t>
      </w:r>
      <w:r>
        <w:rPr>
          <w:rFonts w:hint="eastAsia" w:ascii="仿宋" w:hAnsi="仿宋" w:eastAsia="仿宋" w:cs="仿宋"/>
          <w:sz w:val="32"/>
          <w:szCs w:val="32"/>
        </w:rPr>
        <w:t>基本型以上便民商店</w:t>
      </w:r>
      <w:r>
        <w:rPr>
          <w:rFonts w:hint="eastAsia" w:ascii="仿宋" w:hAnsi="仿宋" w:eastAsia="仿宋" w:cs="仿宋"/>
          <w:sz w:val="32"/>
          <w:szCs w:val="32"/>
          <w:lang w:val="en-US" w:eastAsia="zh-CN"/>
        </w:rPr>
        <w:t>的建制村</w:t>
      </w:r>
      <w:r>
        <w:rPr>
          <w:rFonts w:hint="eastAsia" w:ascii="仿宋" w:hAnsi="仿宋" w:eastAsia="仿宋" w:cs="仿宋"/>
          <w:sz w:val="32"/>
          <w:szCs w:val="32"/>
        </w:rPr>
        <w:t>数</w:t>
      </w:r>
      <w:r>
        <w:rPr>
          <w:rFonts w:hint="eastAsia" w:ascii="仿宋" w:hAnsi="仿宋" w:eastAsia="仿宋" w:cs="仿宋"/>
          <w:sz w:val="32"/>
          <w:szCs w:val="32"/>
          <w:lang w:val="en-US" w:eastAsia="zh-CN"/>
        </w:rPr>
        <w:t>6个。基本型以上村级便民商店覆盖率100%，增强型以上村级便民商店覆盖率7%，提升型以上村级便民商店覆盖率3%。</w:t>
      </w:r>
      <w:r>
        <w:rPr>
          <w:rFonts w:hint="eastAsia" w:ascii="仿宋" w:hAnsi="仿宋" w:eastAsia="仿宋" w:cs="仿宋"/>
          <w:sz w:val="32"/>
          <w:szCs w:val="32"/>
        </w:rPr>
        <w:t>基本型以上县级物流配送中心数1个</w:t>
      </w:r>
      <w:r>
        <w:rPr>
          <w:rFonts w:hint="eastAsia" w:ascii="仿宋" w:hAnsi="仿宋" w:eastAsia="仿宋" w:cs="仿宋"/>
          <w:sz w:val="32"/>
          <w:szCs w:val="32"/>
          <w:lang w:eastAsia="zh-CN"/>
        </w:rPr>
        <w:t>，</w:t>
      </w:r>
      <w:r>
        <w:rPr>
          <w:rFonts w:hint="eastAsia" w:ascii="仿宋" w:hAnsi="仿宋" w:eastAsia="仿宋" w:cs="仿宋"/>
          <w:sz w:val="32"/>
          <w:szCs w:val="32"/>
        </w:rPr>
        <w:t>乡镇快递物流服务站点数17个，村级快递物流服务站点数232个，县域物流共同配送率31%</w:t>
      </w:r>
      <w:r>
        <w:rPr>
          <w:rFonts w:hint="eastAsia" w:ascii="仿宋" w:hAnsi="仿宋" w:eastAsia="仿宋" w:cs="仿宋"/>
          <w:sz w:val="32"/>
          <w:szCs w:val="32"/>
          <w:lang w:eastAsia="zh-CN"/>
        </w:rPr>
        <w:t>。</w:t>
      </w:r>
      <w:r>
        <w:rPr>
          <w:rFonts w:hint="eastAsia" w:ascii="仿宋" w:hAnsi="仿宋" w:eastAsia="仿宋" w:cs="仿宋"/>
          <w:sz w:val="32"/>
          <w:szCs w:val="32"/>
        </w:rPr>
        <w:t>达到的基本型县域商业建设标准。</w:t>
      </w:r>
    </w:p>
    <w:p>
      <w:pPr>
        <w:rPr>
          <w:rFonts w:ascii="仿宋" w:hAnsi="仿宋" w:eastAsia="仿宋" w:cs="仿宋"/>
          <w:sz w:val="32"/>
          <w:szCs w:val="32"/>
        </w:rPr>
      </w:pPr>
      <w:r>
        <w:rPr>
          <w:rFonts w:hint="eastAsia" w:ascii="仿宋" w:hAnsi="仿宋" w:eastAsia="仿宋" w:cs="仿宋"/>
          <w:sz w:val="32"/>
          <w:szCs w:val="32"/>
        </w:rPr>
        <w:br w:type="page"/>
      </w:r>
    </w:p>
    <w:tbl>
      <w:tblPr>
        <w:tblStyle w:val="19"/>
        <w:tblW w:w="5000" w:type="pct"/>
        <w:tblInd w:w="0" w:type="dxa"/>
        <w:tblLayout w:type="autofit"/>
        <w:tblCellMar>
          <w:top w:w="0" w:type="dxa"/>
          <w:left w:w="108" w:type="dxa"/>
          <w:bottom w:w="0" w:type="dxa"/>
          <w:right w:w="108" w:type="dxa"/>
        </w:tblCellMar>
      </w:tblPr>
      <w:tblGrid>
        <w:gridCol w:w="644"/>
        <w:gridCol w:w="3750"/>
        <w:gridCol w:w="2734"/>
        <w:gridCol w:w="1388"/>
      </w:tblGrid>
      <w:tr>
        <w:tblPrEx>
          <w:tblCellMar>
            <w:top w:w="0" w:type="dxa"/>
            <w:left w:w="108" w:type="dxa"/>
            <w:bottom w:w="0" w:type="dxa"/>
            <w:right w:w="108" w:type="dxa"/>
          </w:tblCellMar>
        </w:tblPrEx>
        <w:trPr>
          <w:trHeight w:val="660" w:hRule="atLeast"/>
          <w:tblHeader/>
        </w:trPr>
        <w:tc>
          <w:tcPr>
            <w:tcW w:w="5000"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8"/>
                <w:szCs w:val="28"/>
              </w:rPr>
            </w:pPr>
            <w:r>
              <w:rPr>
                <w:rFonts w:hint="eastAsia" w:ascii="宋体" w:hAnsi="宋体" w:eastAsia="宋体" w:cs="宋体"/>
                <w:b/>
                <w:bCs/>
                <w:color w:val="000000"/>
                <w:kern w:val="0"/>
                <w:sz w:val="28"/>
                <w:szCs w:val="28"/>
              </w:rPr>
              <w:t>县域商业建设行动摸底情况、总体目标及年度分解任务表</w:t>
            </w:r>
          </w:p>
        </w:tc>
      </w:tr>
      <w:tr>
        <w:tblPrEx>
          <w:tblCellMar>
            <w:top w:w="0" w:type="dxa"/>
            <w:left w:w="108" w:type="dxa"/>
            <w:bottom w:w="0" w:type="dxa"/>
            <w:right w:w="108" w:type="dxa"/>
          </w:tblCellMar>
        </w:tblPrEx>
        <w:trPr>
          <w:trHeight w:val="270" w:hRule="atLeast"/>
          <w:tblHeader/>
        </w:trPr>
        <w:tc>
          <w:tcPr>
            <w:tcW w:w="25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设区市：龙岩市</w:t>
            </w:r>
          </w:p>
        </w:tc>
        <w:tc>
          <w:tcPr>
            <w:tcW w:w="1605" w:type="pct"/>
            <w:tcBorders>
              <w:top w:val="single" w:color="000000" w:sz="4" w:space="0"/>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乡镇总数（不包括街道）：</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17</w:t>
            </w:r>
          </w:p>
        </w:tc>
      </w:tr>
      <w:tr>
        <w:trPr>
          <w:trHeight w:val="270" w:hRule="atLeast"/>
          <w:tblHeader/>
        </w:trPr>
        <w:tc>
          <w:tcPr>
            <w:tcW w:w="258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县（市、区）：连城县</w:t>
            </w:r>
          </w:p>
        </w:tc>
        <w:tc>
          <w:tcPr>
            <w:tcW w:w="1605" w:type="pct"/>
            <w:tcBorders>
              <w:top w:val="single" w:color="000000" w:sz="4" w:space="0"/>
              <w:left w:val="nil"/>
              <w:bottom w:val="single" w:color="000000" w:sz="4" w:space="0"/>
              <w:right w:val="single" w:color="000000" w:sz="4" w:space="0"/>
            </w:tcBorders>
            <w:shd w:val="clear" w:color="auto" w:fill="auto"/>
            <w:noWrap/>
            <w:vAlign w:val="center"/>
          </w:tcPr>
          <w:p>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建制村总数：</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232</w:t>
            </w:r>
          </w:p>
        </w:tc>
      </w:tr>
      <w:tr>
        <w:tblPrEx>
          <w:tblCellMar>
            <w:top w:w="0" w:type="dxa"/>
            <w:left w:w="108" w:type="dxa"/>
            <w:bottom w:w="0" w:type="dxa"/>
            <w:right w:w="108" w:type="dxa"/>
          </w:tblCellMar>
        </w:tblPrEx>
        <w:trPr>
          <w:trHeight w:val="720" w:hRule="atLeast"/>
          <w:tblHead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序号</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指标</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2025年</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2025年</w:t>
            </w:r>
            <w:r>
              <w:rPr>
                <w:rFonts w:hint="eastAsia" w:ascii="宋体" w:hAnsi="宋体" w:eastAsia="宋体" w:cs="宋体"/>
                <w:b/>
                <w:bCs/>
                <w:color w:val="000000"/>
                <w:kern w:val="0"/>
                <w:sz w:val="20"/>
                <w:szCs w:val="20"/>
              </w:rPr>
              <w:br w:type="textWrapping"/>
            </w:r>
            <w:r>
              <w:rPr>
                <w:rFonts w:hint="eastAsia" w:ascii="宋体" w:hAnsi="宋体" w:eastAsia="宋体" w:cs="宋体"/>
                <w:b/>
                <w:bCs/>
                <w:color w:val="000000"/>
                <w:kern w:val="0"/>
                <w:sz w:val="20"/>
                <w:szCs w:val="20"/>
              </w:rPr>
              <w:t>约束性</w:t>
            </w:r>
            <w:r>
              <w:rPr>
                <w:rFonts w:hint="eastAsia" w:ascii="宋体" w:hAnsi="宋体" w:eastAsia="宋体" w:cs="宋体"/>
                <w:b/>
                <w:bCs/>
                <w:color w:val="000000"/>
                <w:kern w:val="0"/>
                <w:sz w:val="20"/>
                <w:szCs w:val="20"/>
              </w:rPr>
              <w:br w:type="textWrapping"/>
            </w:r>
            <w:r>
              <w:rPr>
                <w:rFonts w:hint="eastAsia" w:ascii="宋体" w:hAnsi="宋体" w:eastAsia="宋体" w:cs="宋体"/>
                <w:b/>
                <w:bCs/>
                <w:color w:val="000000"/>
                <w:kern w:val="0"/>
                <w:sz w:val="20"/>
                <w:szCs w:val="20"/>
              </w:rPr>
              <w:t>目标</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基本型以上县城综合商贸服务中心数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1</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≥1个</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增强型以上县城综合商贸服务中心数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提升型　县城综合商贸服务中心数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基本型以上乡镇商贸中心数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增强型以上乡镇商贸中心数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提升型　乡镇商贸中心数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拥有基本型以上商贸中心的乡镇数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拥有增强型以上商贸中心的乡镇数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　提升型　商贸中心的乡镇数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3-4</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基本型以上乡镇商贸中心覆盖率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3-5</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增强型以上乡镇商贸中心覆盖率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w:t>
            </w:r>
            <w:r>
              <w:rPr>
                <w:rFonts w:hint="eastAsia" w:ascii="宋体" w:hAnsi="宋体" w:eastAsia="宋体" w:cs="宋体"/>
                <w:color w:val="000000"/>
                <w:kern w:val="0"/>
                <w:sz w:val="20"/>
                <w:szCs w:val="20"/>
                <w:lang w:val="en-US" w:eastAsia="zh-CN"/>
              </w:rPr>
              <w:t>8</w:t>
            </w:r>
            <w:r>
              <w:rPr>
                <w:rFonts w:hint="eastAsia" w:ascii="宋体" w:hAnsi="宋体" w:eastAsia="宋体" w:cs="宋体"/>
                <w:color w:val="000000"/>
                <w:kern w:val="0"/>
                <w:sz w:val="20"/>
                <w:szCs w:val="20"/>
              </w:rPr>
              <w:t>%</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3-6</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提升型　乡镇商贸中心覆盖率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基本型以上村级便民商店数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rPr>
              <w:t>12</w:t>
            </w:r>
            <w:r>
              <w:rPr>
                <w:rFonts w:hint="eastAsia" w:ascii="宋体" w:hAnsi="宋体" w:eastAsia="宋体" w:cs="宋体"/>
                <w:color w:val="000000"/>
                <w:kern w:val="0"/>
                <w:sz w:val="20"/>
                <w:szCs w:val="20"/>
                <w:lang w:val="en-US" w:eastAsia="zh-CN"/>
              </w:rPr>
              <w:t>57</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≥建制村总数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增强型以上村级便民商店数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提升型　村级便民商店数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6</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拥有基本型以上便民商店的建制村数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＝建制村总数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拥有增强型以上便民商店的建制村数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rPr>
              <w:t>1</w:t>
            </w:r>
            <w:r>
              <w:rPr>
                <w:rFonts w:hint="eastAsia" w:ascii="宋体" w:hAnsi="宋体" w:eastAsia="宋体" w:cs="宋体"/>
                <w:color w:val="000000"/>
                <w:kern w:val="0"/>
                <w:sz w:val="20"/>
                <w:szCs w:val="20"/>
                <w:lang w:val="en-US" w:eastAsia="zh-CN"/>
              </w:rPr>
              <w:t>5</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　提升型　便民商店的建制村数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6</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5-4</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基本型以上村级便民商店覆盖率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5-5</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增强型以上村级便民商店覆盖率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7</w:t>
            </w:r>
            <w:r>
              <w:rPr>
                <w:rFonts w:hint="eastAsia" w:ascii="宋体" w:hAnsi="宋体" w:eastAsia="宋体" w:cs="宋体"/>
                <w:color w:val="000000"/>
                <w:kern w:val="0"/>
                <w:sz w:val="20"/>
                <w:szCs w:val="20"/>
              </w:rPr>
              <w:t>%</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5-6</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提升型　村级便民商店覆盖率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3</w:t>
            </w:r>
            <w:r>
              <w:rPr>
                <w:rFonts w:hint="eastAsia" w:ascii="宋体" w:hAnsi="宋体" w:eastAsia="宋体" w:cs="宋体"/>
                <w:color w:val="000000"/>
                <w:kern w:val="0"/>
                <w:sz w:val="20"/>
                <w:szCs w:val="20"/>
              </w:rPr>
              <w:t>%</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基本型以上县级物流配送中心数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1</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≥1个</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增强型以上县级物流配送中心数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6-3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　提升型　县级物流配送中心数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乡镇快递物流服务站点数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拥有快递物流服务站点的乡镇数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17</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＝乡镇总数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7-3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乡镇快递物流服务站点覆盖率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8-1</w:t>
            </w:r>
          </w:p>
        </w:tc>
        <w:tc>
          <w:tcPr>
            <w:tcW w:w="2202" w:type="pct"/>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村级快递物流服务站点数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≥建制村总数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8-2</w:t>
            </w:r>
          </w:p>
        </w:tc>
        <w:tc>
          <w:tcPr>
            <w:tcW w:w="2202" w:type="pct"/>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拥有快递物流服务站点的建制村数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232</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＝建制村总数</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8-3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建制村快递物流服务站点覆盖率</w:t>
            </w:r>
            <w:r>
              <w:rPr>
                <w:rFonts w:hint="eastAsia" w:ascii="宋体" w:hAnsi="宋体" w:eastAsia="宋体" w:cs="宋体"/>
                <w:color w:val="000000"/>
                <w:kern w:val="0"/>
                <w:sz w:val="18"/>
                <w:szCs w:val="18"/>
              </w:rPr>
              <w:t>（自动计算）</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100%</w:t>
            </w:r>
          </w:p>
        </w:tc>
      </w:tr>
      <w:tr>
        <w:tblPrEx>
          <w:tblCellMar>
            <w:top w:w="0" w:type="dxa"/>
            <w:left w:w="108" w:type="dxa"/>
            <w:bottom w:w="0" w:type="dxa"/>
            <w:right w:w="108" w:type="dxa"/>
          </w:tblCellMar>
        </w:tblPrEx>
        <w:trPr>
          <w:trHeight w:val="80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9</w:t>
            </w:r>
          </w:p>
        </w:tc>
        <w:tc>
          <w:tcPr>
            <w:tcW w:w="2202" w:type="pct"/>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县域物流共同配送率</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（主要快递企业市场化合作开展共同配送，统一分拣、配送的快递单量占比）</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31%</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≥30%</w:t>
            </w:r>
          </w:p>
        </w:tc>
      </w:tr>
      <w:tr>
        <w:tblPrEx>
          <w:tblCellMar>
            <w:top w:w="0" w:type="dxa"/>
            <w:left w:w="108" w:type="dxa"/>
            <w:bottom w:w="0" w:type="dxa"/>
            <w:right w:w="108" w:type="dxa"/>
          </w:tblCellMar>
        </w:tblPrEx>
        <w:trPr>
          <w:trHeight w:val="48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w:t>
            </w:r>
          </w:p>
        </w:tc>
        <w:tc>
          <w:tcPr>
            <w:tcW w:w="2202" w:type="pct"/>
            <w:tcBorders>
              <w:top w:val="single" w:color="000000" w:sz="4" w:space="0"/>
              <w:left w:val="single" w:color="000000" w:sz="4" w:space="0"/>
              <w:bottom w:val="nil"/>
              <w:right w:val="single" w:color="000000" w:sz="4" w:space="0"/>
            </w:tcBorders>
            <w:shd w:val="clear" w:color="auto" w:fill="auto"/>
            <w:vAlign w:val="center"/>
          </w:tcPr>
          <w:p>
            <w:pPr>
              <w:widowControl/>
              <w:jc w:val="left"/>
              <w:textAlignment w:val="center"/>
              <w:rPr>
                <w:rFonts w:ascii="宋体" w:hAnsi="宋体" w:eastAsia="宋体" w:cs="宋体"/>
                <w:b/>
                <w:bCs/>
                <w:color w:val="000000"/>
                <w:sz w:val="20"/>
                <w:szCs w:val="20"/>
              </w:rPr>
            </w:pPr>
            <w:r>
              <w:rPr>
                <w:rFonts w:hint="eastAsia" w:ascii="宋体" w:hAnsi="宋体" w:eastAsia="宋体" w:cs="宋体"/>
                <w:b/>
                <w:bCs/>
                <w:color w:val="000000"/>
                <w:kern w:val="0"/>
                <w:sz w:val="20"/>
                <w:szCs w:val="20"/>
              </w:rPr>
              <w:t>达到的县域商业建设标准</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（未达基本型、基本型、增强型、提升型）</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基本型</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基本型</w:t>
            </w:r>
            <w:r>
              <w:rPr>
                <w:rFonts w:hint="eastAsia" w:ascii="宋体" w:hAnsi="宋体" w:eastAsia="宋体" w:cs="宋体"/>
                <w:color w:val="000000"/>
                <w:kern w:val="0"/>
                <w:sz w:val="20"/>
                <w:szCs w:val="20"/>
              </w:rPr>
              <w:br w:type="textWrapping"/>
            </w:r>
            <w:r>
              <w:rPr>
                <w:rFonts w:hint="eastAsia" w:ascii="宋体" w:hAnsi="宋体" w:eastAsia="宋体" w:cs="宋体"/>
                <w:color w:val="000000"/>
                <w:kern w:val="0"/>
                <w:sz w:val="20"/>
                <w:szCs w:val="20"/>
              </w:rPr>
              <w:t>以上</w:t>
            </w:r>
          </w:p>
        </w:tc>
      </w:tr>
      <w:tr>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建设改造冷链设施项目数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建设改造农贸（集贸、批发）市场数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4</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13</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建设改造产品商品化处理设施项目数</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0</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县域社会消费品零售额</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191.7亿元</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blPrEx>
          <w:tblCellMar>
            <w:top w:w="0" w:type="dxa"/>
            <w:left w:w="108" w:type="dxa"/>
            <w:bottom w:w="0" w:type="dxa"/>
            <w:right w:w="108" w:type="dxa"/>
          </w:tblCellMar>
        </w:tblPrEx>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14-2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县域社会消费品零售额年均增速</w:t>
            </w:r>
            <w:r>
              <w:rPr>
                <w:rFonts w:hint="eastAsia" w:ascii="宋体" w:hAnsi="宋体" w:eastAsia="宋体" w:cs="宋体"/>
                <w:color w:val="000000"/>
                <w:kern w:val="0"/>
                <w:sz w:val="18"/>
                <w:szCs w:val="18"/>
              </w:rPr>
              <w:t>（2021年起）</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10.7%</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15-1</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县域农产品网络零售额</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1.82亿元</w:t>
            </w:r>
          </w:p>
        </w:tc>
        <w:tc>
          <w:tcPr>
            <w:tcW w:w="81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r>
        <w:trPr>
          <w:trHeight w:val="27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15-2</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县域农产品网络零售额年均增速</w:t>
            </w:r>
            <w:r>
              <w:rPr>
                <w:rFonts w:hint="eastAsia" w:ascii="宋体" w:hAnsi="宋体" w:eastAsia="宋体" w:cs="宋体"/>
                <w:color w:val="000000"/>
                <w:kern w:val="0"/>
                <w:sz w:val="18"/>
                <w:szCs w:val="18"/>
              </w:rPr>
              <w:t>（2021年起）</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15.6%</w:t>
            </w:r>
          </w:p>
        </w:tc>
        <w:tc>
          <w:tcPr>
            <w:tcW w:w="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w:t>
            </w:r>
          </w:p>
        </w:tc>
      </w:tr>
    </w:tbl>
    <w:p/>
    <w:p/>
    <w:p/>
    <w:p>
      <w:r>
        <w:rPr>
          <w:rFonts w:hint="eastAsia"/>
        </w:rPr>
        <w:br w:type="page"/>
      </w:r>
    </w:p>
    <w:p/>
    <w:p>
      <w:pPr>
        <w:widowControl/>
        <w:numPr>
          <w:ilvl w:val="0"/>
          <w:numId w:val="5"/>
        </w:numPr>
        <w:spacing w:line="560" w:lineRule="exact"/>
        <w:ind w:firstLine="643" w:firstLineChars="200"/>
        <w:jc w:val="left"/>
        <w:outlineLvl w:val="1"/>
        <w:rPr>
          <w:rFonts w:asciiTheme="majorEastAsia" w:hAnsiTheme="majorEastAsia" w:eastAsiaTheme="majorEastAsia" w:cstheme="majorEastAsia"/>
          <w:b/>
          <w:bCs/>
          <w:color w:val="000000"/>
          <w:kern w:val="0"/>
          <w:sz w:val="32"/>
          <w:szCs w:val="32"/>
        </w:rPr>
      </w:pPr>
      <w:bookmarkStart w:id="20" w:name="_Toc29772"/>
      <w:r>
        <w:rPr>
          <w:rFonts w:hint="eastAsia" w:asciiTheme="majorEastAsia" w:hAnsiTheme="majorEastAsia" w:eastAsiaTheme="majorEastAsia" w:cstheme="majorEastAsia"/>
          <w:b/>
          <w:bCs/>
          <w:color w:val="000000"/>
          <w:kern w:val="0"/>
          <w:sz w:val="32"/>
          <w:szCs w:val="32"/>
        </w:rPr>
        <w:t>年度分解任务</w:t>
      </w:r>
      <w:bookmarkEnd w:id="20"/>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2022年度：实现基本型以上县城综合商贸服务中心1个，基本型以上乡镇商贸中心</w:t>
      </w:r>
      <w:r>
        <w:rPr>
          <w:rFonts w:hint="eastAsia" w:ascii="仿宋" w:hAnsi="仿宋" w:eastAsia="仿宋" w:cs="仿宋"/>
          <w:sz w:val="32"/>
          <w:szCs w:val="32"/>
          <w:lang w:val="en-US" w:eastAsia="zh-CN"/>
        </w:rPr>
        <w:t>7</w:t>
      </w:r>
      <w:r>
        <w:rPr>
          <w:rFonts w:hint="eastAsia" w:ascii="仿宋" w:hAnsi="仿宋" w:eastAsia="仿宋" w:cs="仿宋"/>
          <w:sz w:val="32"/>
          <w:szCs w:val="32"/>
        </w:rPr>
        <w:t>个，基本型以上乡镇商贸中心覆盖率</w:t>
      </w:r>
      <w:r>
        <w:rPr>
          <w:rFonts w:hint="eastAsia" w:ascii="仿宋" w:hAnsi="仿宋" w:eastAsia="仿宋" w:cs="仿宋"/>
          <w:sz w:val="32"/>
          <w:szCs w:val="32"/>
          <w:lang w:val="en-US" w:eastAsia="zh-CN"/>
        </w:rPr>
        <w:t>41</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增强</w:t>
      </w:r>
      <w:r>
        <w:rPr>
          <w:rFonts w:hint="eastAsia" w:ascii="仿宋" w:hAnsi="仿宋" w:eastAsia="仿宋" w:cs="仿宋"/>
          <w:sz w:val="32"/>
          <w:szCs w:val="32"/>
        </w:rPr>
        <w:t>型以上乡镇商贸中心覆盖率</w:t>
      </w:r>
      <w:r>
        <w:rPr>
          <w:rFonts w:hint="eastAsia" w:ascii="仿宋" w:hAnsi="仿宋" w:eastAsia="仿宋" w:cs="仿宋"/>
          <w:sz w:val="32"/>
          <w:szCs w:val="32"/>
          <w:lang w:val="en-US" w:eastAsia="zh-CN"/>
        </w:rPr>
        <w:t>6</w:t>
      </w:r>
      <w:r>
        <w:rPr>
          <w:rFonts w:hint="eastAsia" w:ascii="仿宋" w:hAnsi="仿宋" w:eastAsia="仿宋" w:cs="仿宋"/>
          <w:sz w:val="32"/>
          <w:szCs w:val="32"/>
        </w:rPr>
        <w:t>％。拥有基本型以上便民商店的建制村19</w:t>
      </w:r>
      <w:r>
        <w:rPr>
          <w:rFonts w:hint="eastAsia" w:ascii="仿宋" w:hAnsi="仿宋" w:eastAsia="仿宋" w:cs="仿宋"/>
          <w:sz w:val="32"/>
          <w:szCs w:val="32"/>
          <w:lang w:val="en-US" w:eastAsia="zh-CN"/>
        </w:rPr>
        <w:t>6</w:t>
      </w:r>
      <w:r>
        <w:rPr>
          <w:rFonts w:hint="eastAsia" w:ascii="仿宋" w:hAnsi="仿宋" w:eastAsia="仿宋" w:cs="仿宋"/>
          <w:sz w:val="32"/>
          <w:szCs w:val="32"/>
        </w:rPr>
        <w:t>个，拥有增强型以上便民商店的建制村</w:t>
      </w:r>
      <w:r>
        <w:rPr>
          <w:rFonts w:hint="eastAsia" w:ascii="仿宋" w:hAnsi="仿宋" w:eastAsia="仿宋" w:cs="仿宋"/>
          <w:sz w:val="32"/>
          <w:szCs w:val="32"/>
          <w:lang w:val="en-US" w:eastAsia="zh-CN"/>
        </w:rPr>
        <w:t>6</w:t>
      </w:r>
      <w:r>
        <w:rPr>
          <w:rFonts w:hint="eastAsia" w:ascii="仿宋" w:hAnsi="仿宋" w:eastAsia="仿宋" w:cs="仿宋"/>
          <w:sz w:val="32"/>
          <w:szCs w:val="32"/>
        </w:rPr>
        <w:t>个，拥有提升型便民商店的建制村</w:t>
      </w:r>
      <w:r>
        <w:rPr>
          <w:rFonts w:hint="eastAsia" w:ascii="仿宋" w:hAnsi="仿宋" w:eastAsia="仿宋" w:cs="仿宋"/>
          <w:sz w:val="32"/>
          <w:szCs w:val="32"/>
          <w:lang w:val="en-US" w:eastAsia="zh-CN"/>
        </w:rPr>
        <w:t>2</w:t>
      </w:r>
      <w:r>
        <w:rPr>
          <w:rFonts w:hint="eastAsia" w:ascii="仿宋" w:hAnsi="仿宋" w:eastAsia="仿宋" w:cs="仿宋"/>
          <w:sz w:val="32"/>
          <w:szCs w:val="32"/>
        </w:rPr>
        <w:t>个；基本型以上村级便民商店覆盖率8</w:t>
      </w:r>
      <w:r>
        <w:rPr>
          <w:rFonts w:hint="eastAsia" w:ascii="仿宋" w:hAnsi="仿宋" w:eastAsia="仿宋" w:cs="仿宋"/>
          <w:sz w:val="32"/>
          <w:szCs w:val="32"/>
          <w:lang w:val="en-US" w:eastAsia="zh-CN"/>
        </w:rPr>
        <w:t>5</w:t>
      </w:r>
      <w:r>
        <w:rPr>
          <w:rFonts w:hint="eastAsia" w:ascii="仿宋" w:hAnsi="仿宋" w:eastAsia="仿宋" w:cs="仿宋"/>
          <w:sz w:val="32"/>
          <w:szCs w:val="32"/>
        </w:rPr>
        <w:t>%，增强型以上村级便民商店覆盖率</w:t>
      </w:r>
      <w:r>
        <w:rPr>
          <w:rFonts w:hint="eastAsia" w:ascii="仿宋" w:hAnsi="仿宋" w:eastAsia="仿宋" w:cs="仿宋"/>
          <w:sz w:val="32"/>
          <w:szCs w:val="32"/>
          <w:lang w:val="en-US" w:eastAsia="zh-CN"/>
        </w:rPr>
        <w:t>3</w:t>
      </w:r>
      <w:r>
        <w:rPr>
          <w:rFonts w:hint="eastAsia" w:ascii="仿宋" w:hAnsi="仿宋" w:eastAsia="仿宋" w:cs="仿宋"/>
          <w:sz w:val="32"/>
          <w:szCs w:val="32"/>
        </w:rPr>
        <w:t>%，提升型村级便民商店覆盖率1%；基本型以上县级物流配送中心</w:t>
      </w:r>
      <w:r>
        <w:rPr>
          <w:rFonts w:hint="eastAsia" w:ascii="仿宋" w:hAnsi="仿宋" w:eastAsia="仿宋" w:cs="仿宋"/>
          <w:sz w:val="32"/>
          <w:szCs w:val="32"/>
          <w:lang w:val="en-US" w:eastAsia="zh-CN"/>
        </w:rPr>
        <w:t>1</w:t>
      </w:r>
      <w:r>
        <w:rPr>
          <w:rFonts w:hint="eastAsia" w:ascii="仿宋" w:hAnsi="仿宋" w:eastAsia="仿宋" w:cs="仿宋"/>
          <w:sz w:val="32"/>
          <w:szCs w:val="32"/>
        </w:rPr>
        <w:t>个，乡镇快递物流服务站点覆盖率100%，建制村快递物流服务站点覆盖率100%，未达到基本型商业建设标准。加快全县为主体的县域商业体系建设。</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2023年度：实现基本型以上乡镇商贸中心</w:t>
      </w:r>
      <w:r>
        <w:rPr>
          <w:rFonts w:hint="eastAsia" w:ascii="仿宋" w:hAnsi="仿宋" w:eastAsia="仿宋" w:cs="仿宋"/>
          <w:sz w:val="32"/>
          <w:szCs w:val="32"/>
          <w:lang w:val="en-US" w:eastAsia="zh-CN"/>
        </w:rPr>
        <w:t>11</w:t>
      </w:r>
      <w:r>
        <w:rPr>
          <w:rFonts w:hint="eastAsia" w:ascii="仿宋" w:hAnsi="仿宋" w:eastAsia="仿宋" w:cs="仿宋"/>
          <w:sz w:val="32"/>
          <w:szCs w:val="32"/>
        </w:rPr>
        <w:t>个，基本型以上乡镇商贸中心覆盖率</w:t>
      </w:r>
      <w:r>
        <w:rPr>
          <w:rFonts w:hint="eastAsia" w:ascii="仿宋" w:hAnsi="仿宋" w:eastAsia="仿宋" w:cs="仿宋"/>
          <w:sz w:val="32"/>
          <w:szCs w:val="32"/>
          <w:lang w:val="en-US" w:eastAsia="zh-CN"/>
        </w:rPr>
        <w:t>65</w:t>
      </w:r>
      <w:r>
        <w:rPr>
          <w:rFonts w:hint="eastAsia" w:ascii="仿宋" w:hAnsi="仿宋" w:eastAsia="仿宋" w:cs="仿宋"/>
          <w:sz w:val="32"/>
          <w:szCs w:val="32"/>
        </w:rPr>
        <w:t>％；拥有基本型以上便民商店的建制村21</w:t>
      </w:r>
      <w:r>
        <w:rPr>
          <w:rFonts w:hint="eastAsia" w:ascii="仿宋" w:hAnsi="仿宋" w:eastAsia="仿宋" w:cs="仿宋"/>
          <w:sz w:val="32"/>
          <w:szCs w:val="32"/>
          <w:lang w:val="en-US" w:eastAsia="zh-CN"/>
        </w:rPr>
        <w:t>8</w:t>
      </w:r>
      <w:r>
        <w:rPr>
          <w:rFonts w:hint="eastAsia" w:ascii="仿宋" w:hAnsi="仿宋" w:eastAsia="仿宋" w:cs="仿宋"/>
          <w:sz w:val="32"/>
          <w:szCs w:val="32"/>
        </w:rPr>
        <w:t>个，拥有增强型以上便民商店的建制村8个，拥有提升型便民商店的建制村3个，基本型以上村级便民商店覆盖率9</w:t>
      </w:r>
      <w:r>
        <w:rPr>
          <w:rFonts w:hint="eastAsia" w:ascii="仿宋" w:hAnsi="仿宋" w:eastAsia="仿宋" w:cs="仿宋"/>
          <w:sz w:val="32"/>
          <w:szCs w:val="32"/>
          <w:lang w:val="en-US" w:eastAsia="zh-CN"/>
        </w:rPr>
        <w:t>4</w:t>
      </w:r>
      <w:r>
        <w:rPr>
          <w:rFonts w:hint="eastAsia" w:ascii="仿宋" w:hAnsi="仿宋" w:eastAsia="仿宋" w:cs="仿宋"/>
          <w:sz w:val="32"/>
          <w:szCs w:val="32"/>
        </w:rPr>
        <w:t>%，增强型以上村级便民商店覆盖率3%，提升型村级便民商店覆盖率1%；基本型以上县级物流配送中心</w:t>
      </w:r>
      <w:r>
        <w:rPr>
          <w:rFonts w:hint="eastAsia" w:ascii="仿宋" w:hAnsi="仿宋" w:eastAsia="仿宋" w:cs="仿宋"/>
          <w:sz w:val="32"/>
          <w:szCs w:val="32"/>
          <w:lang w:val="en-US" w:eastAsia="zh-CN"/>
        </w:rPr>
        <w:t>1</w:t>
      </w:r>
      <w:r>
        <w:rPr>
          <w:rFonts w:hint="eastAsia" w:ascii="仿宋" w:hAnsi="仿宋" w:eastAsia="仿宋" w:cs="仿宋"/>
          <w:sz w:val="32"/>
          <w:szCs w:val="32"/>
        </w:rPr>
        <w:t>个；乡镇快递物流服务站点覆盖率100%；建制村快递物流服务站点覆盖率100%；持续推进县域商业体系建设。</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2024年度：实现基本型以上乡镇商贸中心</w:t>
      </w:r>
      <w:r>
        <w:rPr>
          <w:rFonts w:hint="eastAsia" w:ascii="仿宋" w:hAnsi="仿宋" w:eastAsia="仿宋" w:cs="仿宋"/>
          <w:sz w:val="32"/>
          <w:szCs w:val="32"/>
          <w:lang w:val="en-US" w:eastAsia="zh-CN"/>
        </w:rPr>
        <w:t>13</w:t>
      </w:r>
      <w:r>
        <w:rPr>
          <w:rFonts w:hint="eastAsia" w:ascii="仿宋" w:hAnsi="仿宋" w:eastAsia="仿宋" w:cs="仿宋"/>
          <w:sz w:val="32"/>
          <w:szCs w:val="32"/>
        </w:rPr>
        <w:t>个，基本型以上乡镇商贸中心覆盖率</w:t>
      </w:r>
      <w:r>
        <w:rPr>
          <w:rFonts w:hint="eastAsia" w:ascii="仿宋" w:hAnsi="仿宋" w:eastAsia="仿宋" w:cs="仿宋"/>
          <w:sz w:val="32"/>
          <w:szCs w:val="32"/>
          <w:lang w:val="en-US" w:eastAsia="zh-CN"/>
        </w:rPr>
        <w:t>77</w:t>
      </w:r>
      <w:r>
        <w:rPr>
          <w:rFonts w:hint="eastAsia" w:ascii="仿宋" w:hAnsi="仿宋" w:eastAsia="仿宋" w:cs="仿宋"/>
          <w:sz w:val="32"/>
          <w:szCs w:val="32"/>
        </w:rPr>
        <w:t>％；拥有基本型以上便民商店的建制村</w:t>
      </w:r>
      <w:r>
        <w:rPr>
          <w:rFonts w:hint="eastAsia" w:ascii="仿宋" w:hAnsi="仿宋" w:eastAsia="仿宋" w:cs="仿宋"/>
          <w:sz w:val="32"/>
          <w:szCs w:val="32"/>
          <w:lang w:val="en-US" w:eastAsia="zh-CN"/>
        </w:rPr>
        <w:t>225</w:t>
      </w:r>
      <w:r>
        <w:rPr>
          <w:rFonts w:hint="eastAsia" w:ascii="仿宋" w:hAnsi="仿宋" w:eastAsia="仿宋" w:cs="仿宋"/>
          <w:sz w:val="32"/>
          <w:szCs w:val="32"/>
        </w:rPr>
        <w:t>个，拥有增强型以上便民商店的建制村</w:t>
      </w:r>
      <w:r>
        <w:rPr>
          <w:rFonts w:hint="eastAsia" w:ascii="仿宋" w:hAnsi="仿宋" w:eastAsia="仿宋" w:cs="仿宋"/>
          <w:sz w:val="32"/>
          <w:szCs w:val="32"/>
          <w:lang w:val="en-US" w:eastAsia="zh-CN"/>
        </w:rPr>
        <w:t>10</w:t>
      </w:r>
      <w:r>
        <w:rPr>
          <w:rFonts w:hint="eastAsia" w:ascii="仿宋" w:hAnsi="仿宋" w:eastAsia="仿宋" w:cs="仿宋"/>
          <w:sz w:val="32"/>
          <w:szCs w:val="32"/>
        </w:rPr>
        <w:t>个，拥有提升型便民商店的建制村</w:t>
      </w:r>
      <w:r>
        <w:rPr>
          <w:rFonts w:hint="eastAsia" w:ascii="仿宋" w:hAnsi="仿宋" w:eastAsia="仿宋" w:cs="仿宋"/>
          <w:sz w:val="32"/>
          <w:szCs w:val="32"/>
          <w:lang w:val="en-US" w:eastAsia="zh-CN"/>
        </w:rPr>
        <w:t>4</w:t>
      </w:r>
      <w:r>
        <w:rPr>
          <w:rFonts w:hint="eastAsia" w:ascii="仿宋" w:hAnsi="仿宋" w:eastAsia="仿宋" w:cs="仿宋"/>
          <w:sz w:val="32"/>
          <w:szCs w:val="32"/>
        </w:rPr>
        <w:t>个，基本型以上村级便民商店覆盖率9</w:t>
      </w:r>
      <w:r>
        <w:rPr>
          <w:rFonts w:hint="eastAsia" w:ascii="仿宋" w:hAnsi="仿宋" w:eastAsia="仿宋" w:cs="仿宋"/>
          <w:sz w:val="32"/>
          <w:szCs w:val="32"/>
          <w:lang w:val="en-US" w:eastAsia="zh-CN"/>
        </w:rPr>
        <w:t>8</w:t>
      </w:r>
      <w:r>
        <w:rPr>
          <w:rFonts w:hint="eastAsia" w:ascii="仿宋" w:hAnsi="仿宋" w:eastAsia="仿宋" w:cs="仿宋"/>
          <w:sz w:val="32"/>
          <w:szCs w:val="32"/>
        </w:rPr>
        <w:t>%，增强型以上村级便民商店覆盖率</w:t>
      </w:r>
      <w:r>
        <w:rPr>
          <w:rFonts w:hint="eastAsia" w:ascii="仿宋" w:hAnsi="仿宋" w:eastAsia="仿宋" w:cs="仿宋"/>
          <w:sz w:val="32"/>
          <w:szCs w:val="32"/>
          <w:lang w:val="en-US" w:eastAsia="zh-CN"/>
        </w:rPr>
        <w:t>5</w:t>
      </w:r>
      <w:r>
        <w:rPr>
          <w:rFonts w:hint="eastAsia" w:ascii="仿宋" w:hAnsi="仿宋" w:eastAsia="仿宋" w:cs="仿宋"/>
          <w:sz w:val="32"/>
          <w:szCs w:val="32"/>
        </w:rPr>
        <w:t>%，提升型村级便民商店覆盖率</w:t>
      </w:r>
      <w:r>
        <w:rPr>
          <w:rFonts w:hint="eastAsia" w:ascii="仿宋" w:hAnsi="仿宋" w:eastAsia="仿宋" w:cs="仿宋"/>
          <w:sz w:val="32"/>
          <w:szCs w:val="32"/>
          <w:lang w:val="en-US" w:eastAsia="zh-CN"/>
        </w:rPr>
        <w:t>2</w:t>
      </w:r>
      <w:r>
        <w:rPr>
          <w:rFonts w:hint="eastAsia" w:ascii="仿宋" w:hAnsi="仿宋" w:eastAsia="仿宋" w:cs="仿宋"/>
          <w:sz w:val="32"/>
          <w:szCs w:val="32"/>
        </w:rPr>
        <w:t>%；基本型以上县级物流配送中心</w:t>
      </w:r>
      <w:r>
        <w:rPr>
          <w:rFonts w:hint="eastAsia" w:ascii="仿宋" w:hAnsi="仿宋" w:eastAsia="仿宋" w:cs="仿宋"/>
          <w:sz w:val="32"/>
          <w:szCs w:val="32"/>
          <w:lang w:val="en-US" w:eastAsia="zh-CN"/>
        </w:rPr>
        <w:t>1</w:t>
      </w:r>
      <w:r>
        <w:rPr>
          <w:rFonts w:hint="eastAsia" w:ascii="仿宋" w:hAnsi="仿宋" w:eastAsia="仿宋" w:cs="仿宋"/>
          <w:sz w:val="32"/>
          <w:szCs w:val="32"/>
        </w:rPr>
        <w:t>个；乡镇快递物流服务站点覆盖率100%；建制村快递物流服务站点覆盖率100%；加快推进县域商业体系建设项目。</w:t>
      </w:r>
    </w:p>
    <w:p>
      <w:pPr>
        <w:spacing w:line="560" w:lineRule="exact"/>
        <w:ind w:firstLine="640" w:firstLineChars="200"/>
        <w:rPr>
          <w:rFonts w:ascii="仿宋_GB2312" w:hAnsi="仿宋_GB2312" w:eastAsia="仿宋_GB2312" w:cs="仿宋_GB2312"/>
          <w:color w:val="000000" w:themeColor="text1"/>
          <w:sz w:val="32"/>
          <w:szCs w:val="32"/>
        </w:rPr>
      </w:pPr>
      <w:r>
        <w:rPr>
          <w:rFonts w:hint="eastAsia" w:ascii="仿宋" w:hAnsi="仿宋" w:eastAsia="仿宋" w:cs="仿宋"/>
          <w:sz w:val="32"/>
          <w:szCs w:val="32"/>
        </w:rPr>
        <w:t>2025年度：实现基本型以上乡镇商贸中心</w:t>
      </w:r>
      <w:r>
        <w:rPr>
          <w:rFonts w:hint="eastAsia" w:ascii="仿宋" w:hAnsi="仿宋" w:eastAsia="仿宋" w:cs="仿宋"/>
          <w:sz w:val="32"/>
          <w:szCs w:val="32"/>
          <w:lang w:val="en-US" w:eastAsia="zh-CN"/>
        </w:rPr>
        <w:t>17</w:t>
      </w:r>
      <w:r>
        <w:rPr>
          <w:rFonts w:hint="eastAsia" w:ascii="仿宋" w:hAnsi="仿宋" w:eastAsia="仿宋" w:cs="仿宋"/>
          <w:sz w:val="32"/>
          <w:szCs w:val="32"/>
        </w:rPr>
        <w:t>个，增强型以上乡镇商贸中心</w:t>
      </w:r>
      <w:r>
        <w:rPr>
          <w:rFonts w:hint="eastAsia" w:ascii="仿宋" w:hAnsi="仿宋" w:eastAsia="仿宋" w:cs="仿宋"/>
          <w:sz w:val="32"/>
          <w:szCs w:val="32"/>
          <w:lang w:val="en-US" w:eastAsia="zh-CN"/>
        </w:rPr>
        <w:t>2</w:t>
      </w:r>
      <w:r>
        <w:rPr>
          <w:rFonts w:hint="eastAsia" w:ascii="仿宋" w:hAnsi="仿宋" w:eastAsia="仿宋" w:cs="仿宋"/>
          <w:sz w:val="32"/>
          <w:szCs w:val="32"/>
        </w:rPr>
        <w:t>个，提升型乡镇商贸中心1个，基本型以上乡镇商贸中心覆盖率100％，增强型以上乡镇商贸中心覆盖率1</w:t>
      </w:r>
      <w:r>
        <w:rPr>
          <w:rFonts w:hint="eastAsia" w:ascii="仿宋" w:hAnsi="仿宋" w:eastAsia="仿宋" w:cs="仿宋"/>
          <w:sz w:val="32"/>
          <w:szCs w:val="32"/>
          <w:lang w:val="en-US" w:eastAsia="zh-CN"/>
        </w:rPr>
        <w:t>8</w:t>
      </w:r>
      <w:r>
        <w:rPr>
          <w:rFonts w:hint="eastAsia" w:ascii="仿宋" w:hAnsi="仿宋" w:eastAsia="仿宋" w:cs="仿宋"/>
          <w:sz w:val="32"/>
          <w:szCs w:val="32"/>
        </w:rPr>
        <w:t>％，提升型乡镇商贸中心覆盖率6％；拥有基本型以上便民商店的建制村232个，拥有增强型以上便民商店的建制村</w:t>
      </w:r>
      <w:r>
        <w:rPr>
          <w:rFonts w:hint="eastAsia" w:ascii="仿宋" w:hAnsi="仿宋" w:eastAsia="仿宋" w:cs="仿宋"/>
          <w:sz w:val="32"/>
          <w:szCs w:val="32"/>
          <w:lang w:val="en-US" w:eastAsia="zh-CN"/>
        </w:rPr>
        <w:t>15</w:t>
      </w:r>
      <w:r>
        <w:rPr>
          <w:rFonts w:hint="eastAsia" w:ascii="仿宋" w:hAnsi="仿宋" w:eastAsia="仿宋" w:cs="仿宋"/>
          <w:sz w:val="32"/>
          <w:szCs w:val="32"/>
        </w:rPr>
        <w:t>个，拥有提升型便民商店的建制村</w:t>
      </w:r>
      <w:r>
        <w:rPr>
          <w:rFonts w:hint="eastAsia" w:ascii="仿宋" w:hAnsi="仿宋" w:eastAsia="仿宋" w:cs="仿宋"/>
          <w:sz w:val="32"/>
          <w:szCs w:val="32"/>
          <w:lang w:val="en-US" w:eastAsia="zh-CN"/>
        </w:rPr>
        <w:t>6</w:t>
      </w:r>
      <w:r>
        <w:rPr>
          <w:rFonts w:hint="eastAsia" w:ascii="仿宋" w:hAnsi="仿宋" w:eastAsia="仿宋" w:cs="仿宋"/>
          <w:sz w:val="32"/>
          <w:szCs w:val="32"/>
        </w:rPr>
        <w:t>个，基本型以上村级便民商店覆盖率100%，增强型以上村级便民商店覆盖率</w:t>
      </w:r>
      <w:r>
        <w:rPr>
          <w:rFonts w:hint="eastAsia" w:ascii="仿宋" w:hAnsi="仿宋" w:eastAsia="仿宋" w:cs="仿宋"/>
          <w:sz w:val="32"/>
          <w:szCs w:val="32"/>
          <w:lang w:val="en-US" w:eastAsia="zh-CN"/>
        </w:rPr>
        <w:t>7</w:t>
      </w:r>
      <w:r>
        <w:rPr>
          <w:rFonts w:hint="eastAsia" w:ascii="仿宋" w:hAnsi="仿宋" w:eastAsia="仿宋" w:cs="仿宋"/>
          <w:sz w:val="32"/>
          <w:szCs w:val="32"/>
        </w:rPr>
        <w:t>%，提升型村级便民商店覆盖率</w:t>
      </w:r>
      <w:r>
        <w:rPr>
          <w:rFonts w:hint="eastAsia" w:ascii="仿宋" w:hAnsi="仿宋" w:eastAsia="仿宋" w:cs="仿宋"/>
          <w:sz w:val="32"/>
          <w:szCs w:val="32"/>
          <w:lang w:val="en-US" w:eastAsia="zh-CN"/>
        </w:rPr>
        <w:t>3</w:t>
      </w:r>
      <w:r>
        <w:rPr>
          <w:rFonts w:hint="eastAsia" w:ascii="仿宋" w:hAnsi="仿宋" w:eastAsia="仿宋" w:cs="仿宋"/>
          <w:sz w:val="32"/>
          <w:szCs w:val="32"/>
        </w:rPr>
        <w:t>%；基本型以上县级物流配送中心</w:t>
      </w:r>
      <w:r>
        <w:rPr>
          <w:rFonts w:hint="eastAsia" w:ascii="仿宋" w:hAnsi="仿宋" w:eastAsia="仿宋" w:cs="仿宋"/>
          <w:sz w:val="32"/>
          <w:szCs w:val="32"/>
          <w:lang w:val="en-US" w:eastAsia="zh-CN"/>
        </w:rPr>
        <w:t>1</w:t>
      </w:r>
      <w:r>
        <w:rPr>
          <w:rFonts w:hint="eastAsia" w:ascii="仿宋" w:hAnsi="仿宋" w:eastAsia="仿宋" w:cs="仿宋"/>
          <w:sz w:val="32"/>
          <w:szCs w:val="32"/>
        </w:rPr>
        <w:t>个；乡镇快递物流服务站点覆盖率100%；建制村快递物流服务站点覆盖率100%，达到基本型县域商业建设标准。</w:t>
      </w:r>
    </w:p>
    <w:p>
      <w:r>
        <w:rPr>
          <w:rFonts w:hint="eastAsia"/>
        </w:rPr>
        <w:br w:type="page"/>
      </w:r>
    </w:p>
    <w:p/>
    <w:p>
      <w:pPr>
        <w:keepNext w:val="0"/>
        <w:keepLines w:val="0"/>
        <w:pageBreakBefore w:val="0"/>
        <w:numPr>
          <w:ilvl w:val="0"/>
          <w:numId w:val="1"/>
        </w:numPr>
        <w:kinsoku/>
        <w:wordWrap/>
        <w:overflowPunct/>
        <w:topLinePunct w:val="0"/>
        <w:autoSpaceDE/>
        <w:autoSpaceDN/>
        <w:bidi w:val="0"/>
        <w:adjustRightInd/>
        <w:snapToGrid/>
        <w:spacing w:line="560" w:lineRule="exact"/>
        <w:ind w:left="0" w:firstLine="643" w:firstLineChars="200"/>
        <w:outlineLvl w:val="0"/>
        <w:rPr>
          <w:rFonts w:ascii="黑体" w:hAnsi="黑体" w:eastAsia="黑体" w:cs="黑体"/>
          <w:b/>
          <w:bCs/>
          <w:sz w:val="32"/>
          <w:szCs w:val="32"/>
        </w:rPr>
      </w:pPr>
      <w:bookmarkStart w:id="21" w:name="_Toc285"/>
      <w:r>
        <w:rPr>
          <w:rFonts w:hint="eastAsia" w:ascii="黑体" w:hAnsi="黑体" w:eastAsia="黑体" w:cs="黑体"/>
          <w:b/>
          <w:bCs/>
          <w:sz w:val="32"/>
          <w:szCs w:val="32"/>
        </w:rPr>
        <w:t>重点工作</w:t>
      </w:r>
      <w:bookmarkEnd w:id="21"/>
    </w:p>
    <w:p>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firstLine="643"/>
        <w:jc w:val="left"/>
        <w:outlineLvl w:val="1"/>
        <w:rPr>
          <w:rFonts w:ascii="宋体" w:hAnsi="宋体" w:eastAsia="宋体" w:cs="宋体"/>
          <w:b/>
          <w:bCs/>
          <w:color w:val="000000"/>
          <w:kern w:val="0"/>
          <w:sz w:val="32"/>
          <w:szCs w:val="32"/>
        </w:rPr>
      </w:pPr>
      <w:bookmarkStart w:id="22" w:name="_Toc22402"/>
      <w:r>
        <w:rPr>
          <w:rFonts w:hint="eastAsia" w:ascii="宋体" w:hAnsi="宋体" w:eastAsia="宋体" w:cs="宋体"/>
          <w:b/>
          <w:bCs/>
          <w:color w:val="000000"/>
          <w:kern w:val="0"/>
          <w:sz w:val="32"/>
          <w:szCs w:val="32"/>
        </w:rPr>
        <w:t>补齐县域商业基础设施短板</w:t>
      </w:r>
      <w:bookmarkEnd w:id="22"/>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围绕完善县域商业体系任务，强基础、稳投资、抓机遇。以切实改善民生为根本，科学合理对县城商贸中心、乡镇商贸中心、农贸市场、村级便民商店等商业基础设施进行增质扩容和布局调整。全力推进县城商贸中心、乡镇商贸中心、农贸市场、村级便民商店建设与提升，补齐县域冷链设施</w:t>
      </w:r>
      <w:r>
        <w:rPr>
          <w:rFonts w:ascii="仿宋" w:hAnsi="仿宋" w:eastAsia="仿宋" w:cs="仿宋"/>
          <w:color w:val="000000"/>
          <w:kern w:val="0"/>
          <w:sz w:val="32"/>
          <w:szCs w:val="32"/>
        </w:rPr>
        <w:t>冷藏运输设备</w:t>
      </w:r>
      <w:r>
        <w:rPr>
          <w:rFonts w:hint="eastAsia" w:ascii="仿宋" w:hAnsi="仿宋" w:eastAsia="仿宋" w:cs="仿宋"/>
          <w:color w:val="000000"/>
          <w:kern w:val="0"/>
          <w:sz w:val="32"/>
          <w:szCs w:val="32"/>
        </w:rPr>
        <w:t>、配</w:t>
      </w:r>
      <w:r>
        <w:rPr>
          <w:rFonts w:ascii="仿宋" w:hAnsi="仿宋" w:eastAsia="仿宋" w:cs="仿宋"/>
          <w:color w:val="000000"/>
          <w:kern w:val="0"/>
          <w:sz w:val="32"/>
          <w:szCs w:val="32"/>
        </w:rPr>
        <w:t>送服务的前置仓、物流仓储</w:t>
      </w:r>
      <w:r>
        <w:rPr>
          <w:rFonts w:hint="eastAsia" w:ascii="仿宋" w:hAnsi="仿宋" w:eastAsia="仿宋" w:cs="仿宋"/>
          <w:color w:val="000000"/>
          <w:kern w:val="0"/>
          <w:sz w:val="32"/>
          <w:szCs w:val="32"/>
        </w:rPr>
        <w:t>基础设施短板，2022-2025年，引导企业加快补齐产地冷藏保鲜、物流仓储设施短板。推广使用标准化物流流转箱。补齐商业基础设施功能不全短板，提升县域商业建设水平，满足全县人民的美好生活需要。</w:t>
      </w:r>
    </w:p>
    <w:p>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firstLine="643"/>
        <w:jc w:val="left"/>
        <w:outlineLvl w:val="1"/>
        <w:rPr>
          <w:rFonts w:ascii="宋体" w:hAnsi="宋体" w:eastAsia="宋体" w:cs="宋体"/>
          <w:b/>
          <w:bCs/>
          <w:color w:val="000000"/>
          <w:kern w:val="0"/>
          <w:sz w:val="32"/>
          <w:szCs w:val="32"/>
        </w:rPr>
      </w:pPr>
      <w:bookmarkStart w:id="23" w:name="_Toc12475"/>
      <w:r>
        <w:rPr>
          <w:rFonts w:hint="eastAsia" w:ascii="宋体" w:hAnsi="宋体" w:eastAsia="宋体" w:cs="宋体"/>
          <w:b/>
          <w:bCs/>
          <w:color w:val="000000"/>
          <w:kern w:val="0"/>
          <w:sz w:val="32"/>
          <w:szCs w:val="32"/>
        </w:rPr>
        <w:t>完善县乡村三级物流配送体系</w:t>
      </w:r>
      <w:bookmarkEnd w:id="23"/>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鼓励企业新建改造乡镇快递物流站点，增强畅通农村快递“最后一公里”，加强农村快递物流站点的基础设施和服务网络共享，实现多站合一、一点多能、一网多用。加快贯通县乡村三级快递物流配送体系，更好满足农村生产生活和消费升级需要，切实发挥好农产品出村进城、消费品下乡进村的重要渠道作用，满足农村群众生产生活需要、释放农村消费潜力。</w:t>
      </w:r>
    </w:p>
    <w:p>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firstLine="643"/>
        <w:jc w:val="left"/>
        <w:outlineLvl w:val="1"/>
        <w:rPr>
          <w:rFonts w:ascii="宋体" w:hAnsi="宋体" w:eastAsia="宋体" w:cs="宋体"/>
          <w:b/>
          <w:bCs/>
          <w:color w:val="000000"/>
          <w:kern w:val="0"/>
          <w:sz w:val="32"/>
          <w:szCs w:val="32"/>
        </w:rPr>
      </w:pPr>
      <w:bookmarkStart w:id="24" w:name="_Toc22280"/>
      <w:r>
        <w:rPr>
          <w:rFonts w:hint="eastAsia" w:ascii="宋体" w:hAnsi="宋体" w:eastAsia="宋体" w:cs="宋体"/>
          <w:b/>
          <w:bCs/>
          <w:color w:val="000000"/>
          <w:kern w:val="0"/>
          <w:sz w:val="32"/>
          <w:szCs w:val="32"/>
        </w:rPr>
        <w:t>改善优化县域消费渠道</w:t>
      </w:r>
      <w:bookmarkEnd w:id="24"/>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培育</w:t>
      </w:r>
      <w:r>
        <w:rPr>
          <w:rFonts w:hint="eastAsia" w:ascii="Times New Roman" w:hAnsi="Times New Roman" w:eastAsia="仿宋_GB2312" w:cs="Times New Roman"/>
          <w:sz w:val="32"/>
          <w:szCs w:val="32"/>
        </w:rPr>
        <w:t>连城县县域龙头商贸流通企业，利用旅游度假、酒店住宿、购物贸易，带动县域农产品上行，工业产品下沉</w:t>
      </w:r>
      <w:r>
        <w:rPr>
          <w:rFonts w:hint="eastAsia" w:ascii="仿宋" w:hAnsi="仿宋" w:eastAsia="仿宋" w:cs="仿宋"/>
          <w:color w:val="000000"/>
          <w:kern w:val="0"/>
          <w:sz w:val="32"/>
          <w:szCs w:val="32"/>
        </w:rPr>
        <w:t>产业发展。</w:t>
      </w:r>
      <w:r>
        <w:rPr>
          <w:rFonts w:hint="eastAsia" w:ascii="Times New Roman" w:hAnsi="Times New Roman" w:eastAsia="仿宋_GB2312" w:cs="Times New Roman"/>
          <w:sz w:val="32"/>
          <w:szCs w:val="32"/>
        </w:rPr>
        <w:t>鼓励企业新建县域配送服务的前置仓、物流仓储等设施，提供直供直销、集中采购、统一配送、库存管理等服务，让农民直购好产品、新产品。组件联合采购平台，加大农村地区商品投放力度。发展购物、餐饮、亲子、娱乐、农资等多种业态，承接市民下乡和农民进城消费。</w:t>
      </w:r>
    </w:p>
    <w:p>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firstLine="643"/>
        <w:jc w:val="left"/>
        <w:outlineLvl w:val="1"/>
        <w:rPr>
          <w:rFonts w:ascii="宋体" w:hAnsi="宋体" w:eastAsia="宋体" w:cs="宋体"/>
          <w:b/>
          <w:bCs/>
          <w:color w:val="000000"/>
          <w:kern w:val="0"/>
          <w:sz w:val="32"/>
          <w:szCs w:val="32"/>
        </w:rPr>
      </w:pPr>
      <w:bookmarkStart w:id="25" w:name="_Toc14506"/>
      <w:r>
        <w:rPr>
          <w:rFonts w:hint="eastAsia" w:ascii="宋体" w:hAnsi="宋体" w:eastAsia="宋体" w:cs="宋体"/>
          <w:b/>
          <w:bCs/>
          <w:color w:val="000000"/>
          <w:kern w:val="0"/>
          <w:sz w:val="32"/>
          <w:szCs w:val="32"/>
        </w:rPr>
        <w:t>增强农村产品上行动能</w:t>
      </w:r>
      <w:bookmarkEnd w:id="25"/>
    </w:p>
    <w:p>
      <w:pPr>
        <w:pStyle w:val="24"/>
        <w:keepNext w:val="0"/>
        <w:keepLines w:val="0"/>
        <w:pageBreakBefore w:val="0"/>
        <w:kinsoku/>
        <w:wordWrap/>
        <w:overflowPunct/>
        <w:topLinePunct w:val="0"/>
        <w:autoSpaceDE/>
        <w:autoSpaceDN/>
        <w:bidi w:val="0"/>
        <w:adjustRightInd/>
        <w:snapToGrid/>
        <w:spacing w:line="560" w:lineRule="exact"/>
        <w:ind w:left="0" w:firstLine="640" w:firstLineChars="200"/>
      </w:pPr>
      <w:r>
        <w:rPr>
          <w:rFonts w:hint="eastAsia" w:ascii="仿宋" w:hAnsi="仿宋" w:eastAsia="仿宋" w:cs="仿宋"/>
          <w:b w:val="0"/>
          <w:color w:val="000000"/>
          <w:sz w:val="32"/>
          <w:szCs w:val="32"/>
        </w:rPr>
        <w:t>以农产品上行为中心，开展品牌培训服务、电商公共服务、平台运营服务，吸引、培育电商人才，打造连城地瓜干、连城白鸭、连城兰花、连城红衣花生、莲乡西遇、冠豸山铁皮石斛、连城糯米酒、宣和雪薯农产品等县域农村产品公共品牌，推动形成“互联网+县域特色经济”新业态；加快推进农业标准化生产，升级改造现有粮食仓储设施，提升农产品供给质量；支持产地建设提升具有农产品商品化处理的集配中心及仓库，完善农产品初加工设施设备。</w:t>
      </w:r>
    </w:p>
    <w:p>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firstLine="641"/>
        <w:jc w:val="left"/>
        <w:outlineLvl w:val="1"/>
        <w:rPr>
          <w:rFonts w:ascii="宋体" w:hAnsi="宋体" w:eastAsia="宋体" w:cs="宋体"/>
          <w:b/>
          <w:bCs/>
          <w:color w:val="000000"/>
          <w:kern w:val="0"/>
          <w:sz w:val="32"/>
          <w:szCs w:val="32"/>
        </w:rPr>
      </w:pPr>
      <w:bookmarkStart w:id="26" w:name="_Toc5850"/>
      <w:r>
        <w:rPr>
          <w:rFonts w:hint="eastAsia" w:ascii="宋体" w:hAnsi="宋体" w:eastAsia="宋体" w:cs="宋体"/>
          <w:b/>
          <w:bCs/>
          <w:color w:val="000000"/>
          <w:kern w:val="0"/>
          <w:sz w:val="32"/>
          <w:szCs w:val="32"/>
        </w:rPr>
        <w:t>提高生活服务供给质量</w:t>
      </w:r>
      <w:bookmarkEnd w:id="26"/>
    </w:p>
    <w:p>
      <w:pPr>
        <w:keepNext w:val="0"/>
        <w:keepLines w:val="0"/>
        <w:pageBreakBefore w:val="0"/>
        <w:kinsoku/>
        <w:wordWrap/>
        <w:overflowPunct/>
        <w:topLinePunct w:val="0"/>
        <w:autoSpaceDE/>
        <w:autoSpaceDN/>
        <w:bidi w:val="0"/>
        <w:adjustRightInd/>
        <w:snapToGrid/>
        <w:spacing w:line="560" w:lineRule="exact"/>
        <w:ind w:left="0"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引导社会资本投入，加快完善县城商贸中心、乡镇商贸中心功能配套，引进新业态，提供更加全面的生活服务功能，满足居民多样化消费需求。提升改造村级便民店，提供更多基本便民服务，保障农村居民就近便利消费。引导农村邮政、供销、电商、商贸流通企业从传统批发、零售向综合性服务转变，整合购物、订餐、家政、职介、租赁、同城配送等服务，提高社区、村镇生活服务的便捷性和服务质量。引导商贸流通、电子商务、生活服务与现代农业、乡村旅游、加工制造等特色产业跨界融合，增强服务业推动生产、促进流通、扩大消费的功能。</w:t>
      </w:r>
    </w:p>
    <w:p>
      <w:r>
        <w:rPr>
          <w:rFonts w:hint="eastAsia"/>
        </w:rPr>
        <w:br w:type="page"/>
      </w:r>
    </w:p>
    <w:p/>
    <w:p>
      <w:pPr>
        <w:numPr>
          <w:ilvl w:val="0"/>
          <w:numId w:val="1"/>
        </w:numPr>
        <w:spacing w:line="560" w:lineRule="exact"/>
        <w:ind w:left="-11" w:firstLine="643" w:firstLineChars="200"/>
        <w:outlineLvl w:val="0"/>
        <w:rPr>
          <w:rFonts w:ascii="黑体" w:hAnsi="黑体" w:eastAsia="黑体" w:cs="黑体"/>
          <w:b/>
          <w:bCs/>
          <w:sz w:val="32"/>
          <w:szCs w:val="32"/>
        </w:rPr>
      </w:pPr>
      <w:bookmarkStart w:id="27" w:name="_Toc12532"/>
      <w:r>
        <w:rPr>
          <w:rFonts w:hint="eastAsia" w:ascii="黑体" w:hAnsi="黑体" w:eastAsia="黑体" w:cs="黑体"/>
          <w:b/>
          <w:bCs/>
          <w:sz w:val="32"/>
          <w:szCs w:val="32"/>
        </w:rPr>
        <w:t>项目计划</w:t>
      </w:r>
      <w:bookmarkEnd w:id="27"/>
    </w:p>
    <w:p>
      <w:pPr>
        <w:widowControl/>
        <w:numPr>
          <w:ilvl w:val="0"/>
          <w:numId w:val="7"/>
        </w:numPr>
        <w:spacing w:line="560" w:lineRule="exact"/>
        <w:ind w:left="0" w:firstLine="643" w:firstLineChars="200"/>
        <w:jc w:val="left"/>
        <w:outlineLvl w:val="1"/>
        <w:rPr>
          <w:rFonts w:ascii="宋体" w:hAnsi="宋体" w:eastAsia="宋体" w:cs="宋体"/>
          <w:b/>
          <w:bCs/>
          <w:color w:val="000000"/>
          <w:kern w:val="0"/>
          <w:sz w:val="32"/>
          <w:szCs w:val="32"/>
        </w:rPr>
      </w:pPr>
      <w:bookmarkStart w:id="28" w:name="_Toc19156"/>
      <w:r>
        <w:rPr>
          <w:rFonts w:hint="eastAsia" w:ascii="宋体" w:hAnsi="宋体" w:eastAsia="宋体" w:cs="宋体"/>
          <w:b/>
          <w:bCs/>
          <w:color w:val="000000"/>
          <w:kern w:val="0"/>
          <w:sz w:val="32"/>
          <w:szCs w:val="32"/>
        </w:rPr>
        <w:t>项目遴选过程</w:t>
      </w:r>
      <w:bookmarkEnd w:id="28"/>
    </w:p>
    <w:p>
      <w:pPr>
        <w:spacing w:line="560" w:lineRule="exact"/>
        <w:ind w:firstLine="643" w:firstLineChars="200"/>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1.准备阶段。</w:t>
      </w:r>
      <w:r>
        <w:rPr>
          <w:rFonts w:hint="eastAsia" w:ascii="仿宋" w:hAnsi="仿宋" w:eastAsia="仿宋" w:cs="仿宋"/>
          <w:color w:val="000000" w:themeColor="text1"/>
          <w:sz w:val="32"/>
          <w:szCs w:val="32"/>
        </w:rPr>
        <w:t>3月24日，县商务局分管领导和业务股室负责人参加龙岩市商务局组织的县域商业体系建设动员会议后，即第一时间向县委、县政府主要领导和分管领导汇报了会议情况，并提出贯彻落实措施。及时提请</w:t>
      </w:r>
      <w:r>
        <w:rPr>
          <w:rFonts w:hint="eastAsia" w:ascii="仿宋" w:hAnsi="仿宋" w:eastAsia="仿宋" w:cs="仿宋"/>
          <w:color w:val="000000" w:themeColor="text1"/>
          <w:sz w:val="32"/>
          <w:szCs w:val="32"/>
          <w:lang w:val="en-CA"/>
        </w:rPr>
        <w:t>县政府</w:t>
      </w:r>
      <w:r>
        <w:rPr>
          <w:rFonts w:hint="eastAsia" w:ascii="仿宋" w:hAnsi="仿宋" w:eastAsia="仿宋" w:cs="仿宋"/>
          <w:color w:val="000000" w:themeColor="text1"/>
          <w:sz w:val="32"/>
          <w:szCs w:val="32"/>
        </w:rPr>
        <w:t>成立由县直相关部门和各乡镇主要负责人组成的县域商业体系建设工作领导小组</w:t>
      </w:r>
      <w:r>
        <w:rPr>
          <w:rFonts w:hint="eastAsia" w:ascii="仿宋" w:hAnsi="仿宋" w:eastAsia="仿宋" w:cs="仿宋"/>
          <w:color w:val="000000" w:themeColor="text1"/>
          <w:sz w:val="32"/>
          <w:szCs w:val="32"/>
          <w:lang w:val="en-CA"/>
        </w:rPr>
        <w:t>，由分管副县长担任组长，县商务局局长兼任领导小组办公室主任，</w:t>
      </w:r>
      <w:r>
        <w:rPr>
          <w:rFonts w:hint="eastAsia" w:ascii="仿宋" w:hAnsi="仿宋" w:eastAsia="仿宋" w:cs="仿宋"/>
          <w:color w:val="000000" w:themeColor="text1"/>
          <w:sz w:val="32"/>
          <w:szCs w:val="32"/>
        </w:rPr>
        <w:t>4月8日及时</w:t>
      </w:r>
      <w:r>
        <w:rPr>
          <w:rFonts w:hint="eastAsia" w:ascii="仿宋" w:hAnsi="仿宋" w:eastAsia="仿宋" w:cs="仿宋"/>
          <w:sz w:val="32"/>
          <w:szCs w:val="32"/>
        </w:rPr>
        <w:t>组织召开县域商业体系建设行动工作布置会，开展业务辅导培训，组织商务局业务负责人到各乡镇深入指导相关政策精神，深入县直相关部门开展点对点业务宣讲辅导。</w:t>
      </w:r>
      <w:r>
        <w:rPr>
          <w:rFonts w:hint="eastAsia" w:ascii="仿宋" w:hAnsi="仿宋" w:eastAsia="仿宋" w:cs="仿宋"/>
          <w:color w:val="000000"/>
          <w:kern w:val="0"/>
          <w:sz w:val="32"/>
          <w:szCs w:val="32"/>
        </w:rPr>
        <w:t>通过网络媒体等途径加强县域商业建设相关政策的宣贯和解读。同时，向社会公开县域商业建设行动扶持措施，征集符合条件的建设项目，为下阶段摸底工作做好充分准备。</w:t>
      </w:r>
    </w:p>
    <w:p>
      <w:pPr>
        <w:spacing w:line="560" w:lineRule="exact"/>
        <w:ind w:firstLine="643" w:firstLineChars="200"/>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2.摸底阶段。</w:t>
      </w:r>
      <w:r>
        <w:rPr>
          <w:rFonts w:hint="eastAsia" w:ascii="仿宋" w:hAnsi="仿宋" w:eastAsia="仿宋" w:cs="仿宋"/>
          <w:color w:val="000000"/>
          <w:kern w:val="0"/>
          <w:sz w:val="32"/>
          <w:szCs w:val="32"/>
        </w:rPr>
        <w:t>按照建立“企业目录+项目清单”机制，委托第三方服务机构，对全县各乡镇、龙头企业开展摸底调研，并实地指导项目摸底工作，现场察看项目建设条件。</w:t>
      </w:r>
    </w:p>
    <w:p>
      <w:pPr>
        <w:spacing w:line="560" w:lineRule="exact"/>
        <w:ind w:firstLine="643" w:firstLineChars="200"/>
        <w:rPr>
          <w:rFonts w:ascii="仿宋" w:hAnsi="仿宋" w:eastAsia="仿宋" w:cs="仿宋"/>
          <w:color w:val="000000"/>
          <w:kern w:val="0"/>
          <w:sz w:val="32"/>
          <w:szCs w:val="32"/>
        </w:rPr>
      </w:pPr>
      <w:r>
        <w:rPr>
          <w:rFonts w:hint="eastAsia" w:ascii="仿宋" w:hAnsi="仿宋" w:eastAsia="仿宋" w:cs="仿宋"/>
          <w:b/>
          <w:bCs/>
          <w:color w:val="000000"/>
          <w:kern w:val="0"/>
          <w:sz w:val="32"/>
          <w:szCs w:val="32"/>
        </w:rPr>
        <w:t>3.筛选阶段</w:t>
      </w:r>
      <w:r>
        <w:rPr>
          <w:rFonts w:hint="eastAsia" w:ascii="仿宋" w:hAnsi="仿宋" w:eastAsia="仿宋" w:cs="仿宋"/>
          <w:color w:val="000000"/>
          <w:kern w:val="0"/>
          <w:sz w:val="32"/>
          <w:szCs w:val="32"/>
        </w:rPr>
        <w:t>。结合连城县经济发展现状和十四五发展规划，重点聚焦县域商业体系中的市场缺位和薄弱环节，充分发挥县城枢纽和乡镇节点作用，织密农村便民服务站点，加快补齐基础设施和公共服务短板，着眼辐射带动全县商业服务能力的整体提升，</w:t>
      </w:r>
      <w:r>
        <w:rPr>
          <w:rFonts w:hint="eastAsia" w:ascii="仿宋" w:hAnsi="仿宋" w:eastAsia="仿宋" w:cs="仿宋"/>
          <w:sz w:val="32"/>
          <w:szCs w:val="32"/>
        </w:rPr>
        <w:t>公平公正遴选项目。</w:t>
      </w:r>
      <w:r>
        <w:rPr>
          <w:rFonts w:hint="eastAsia" w:ascii="仿宋" w:hAnsi="仿宋" w:eastAsia="仿宋" w:cs="仿宋"/>
          <w:color w:val="000000"/>
          <w:kern w:val="0"/>
          <w:sz w:val="32"/>
          <w:szCs w:val="32"/>
        </w:rPr>
        <w:t>针对摸底收集的项目坚持“有标准有底数、可量化可考核”标准进行筛选。县商务、财政、乡村振兴、发改、农业农村等相关部门业务负责人及时沟通信息，整合现有发改、农业农村等部门的项目库资源，认真筛查符合条件的项目。</w:t>
      </w:r>
    </w:p>
    <w:p>
      <w:pPr>
        <w:spacing w:line="560" w:lineRule="exact"/>
        <w:ind w:firstLine="643" w:firstLineChars="200"/>
        <w:rPr>
          <w:rFonts w:ascii="仿宋" w:hAnsi="仿宋" w:eastAsia="仿宋" w:cs="仿宋"/>
          <w:sz w:val="32"/>
          <w:szCs w:val="32"/>
        </w:rPr>
      </w:pPr>
      <w:r>
        <w:rPr>
          <w:rFonts w:hint="eastAsia" w:ascii="仿宋" w:hAnsi="仿宋" w:eastAsia="仿宋" w:cs="仿宋"/>
          <w:b/>
          <w:bCs/>
          <w:color w:val="000000"/>
          <w:kern w:val="0"/>
          <w:sz w:val="32"/>
          <w:szCs w:val="32"/>
        </w:rPr>
        <w:t>4.入库阶段。</w:t>
      </w:r>
      <w:r>
        <w:rPr>
          <w:rFonts w:hint="eastAsia" w:ascii="仿宋" w:hAnsi="仿宋" w:eastAsia="仿宋" w:cs="仿宋"/>
          <w:sz w:val="32"/>
          <w:szCs w:val="32"/>
        </w:rPr>
        <w:t>对筛选把关确认可行的项目，分年度分类别建立储备项目库，按照时间节点要求，报龙岩市商务局等部门审核，确认后入库。重点考核项目的成熟度和可行性，建设必要性和业主单位的资质、实力、社会信用等，避免烂尾项目和虚假项目入库。做到成熟一批，建设一批，避免“钱等项目”。</w:t>
      </w:r>
    </w:p>
    <w:p>
      <w:pPr>
        <w:rPr>
          <w:rFonts w:ascii="仿宋" w:hAnsi="仿宋" w:eastAsia="仿宋" w:cs="仿宋"/>
          <w:sz w:val="32"/>
          <w:szCs w:val="32"/>
        </w:rPr>
      </w:pPr>
      <w:r>
        <w:rPr>
          <w:rFonts w:hint="eastAsia" w:ascii="仿宋" w:hAnsi="仿宋" w:eastAsia="仿宋" w:cs="仿宋"/>
          <w:sz w:val="32"/>
          <w:szCs w:val="32"/>
        </w:rPr>
        <w:br w:type="page"/>
      </w:r>
    </w:p>
    <w:p/>
    <w:p>
      <w:pPr>
        <w:widowControl/>
        <w:numPr>
          <w:ilvl w:val="0"/>
          <w:numId w:val="7"/>
        </w:numPr>
        <w:spacing w:line="560" w:lineRule="exact"/>
        <w:ind w:left="0" w:firstLine="643" w:firstLineChars="200"/>
        <w:jc w:val="left"/>
        <w:outlineLvl w:val="1"/>
        <w:rPr>
          <w:rFonts w:ascii="宋体" w:hAnsi="宋体" w:eastAsia="宋体" w:cs="宋体"/>
          <w:b/>
          <w:bCs/>
          <w:color w:val="000000"/>
          <w:kern w:val="0"/>
          <w:sz w:val="32"/>
          <w:szCs w:val="32"/>
        </w:rPr>
      </w:pPr>
      <w:bookmarkStart w:id="29" w:name="_Toc29214"/>
      <w:r>
        <w:rPr>
          <w:rFonts w:hint="eastAsia" w:ascii="宋体" w:hAnsi="宋体" w:eastAsia="宋体" w:cs="宋体"/>
          <w:b/>
          <w:bCs/>
          <w:color w:val="000000"/>
          <w:kern w:val="0"/>
          <w:sz w:val="32"/>
          <w:szCs w:val="32"/>
        </w:rPr>
        <w:t>拟支持项目情况</w:t>
      </w:r>
      <w:bookmarkEnd w:id="29"/>
    </w:p>
    <w:p>
      <w:pPr>
        <w:spacing w:line="560" w:lineRule="exact"/>
        <w:ind w:firstLine="640" w:firstLineChars="200"/>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2022年度计划总体目标完成4个项目，计划投资金额2000万元，拟申请中央财政专项资金支持金额600万元。2022年度县域商业体系建设行动中县域商业网点建设项目有一个，即</w:t>
      </w:r>
      <w:r>
        <w:rPr>
          <w:rFonts w:hint="eastAsia" w:ascii="仿宋" w:hAnsi="仿宋" w:eastAsia="仿宋" w:cs="仿宋"/>
          <w:color w:val="000000"/>
          <w:kern w:val="0"/>
          <w:sz w:val="32"/>
          <w:szCs w:val="32"/>
          <w:lang w:eastAsia="zh-CN"/>
        </w:rPr>
        <w:t>揭乐乡旅游购物中心新建项目</w:t>
      </w:r>
      <w:r>
        <w:rPr>
          <w:rFonts w:hint="eastAsia" w:ascii="仿宋" w:hAnsi="仿宋" w:eastAsia="仿宋" w:cs="仿宋"/>
          <w:color w:val="000000"/>
          <w:kern w:val="0"/>
          <w:sz w:val="32"/>
          <w:szCs w:val="32"/>
        </w:rPr>
        <w:t>。县域产业发展建设项目有三个，即直播（跨境）电商生态园展示选品中心新建项目、连城县广大食品厂储存农产品冻库新建项目</w:t>
      </w:r>
      <w:r>
        <w:rPr>
          <w:rFonts w:hint="eastAsia" w:ascii="仿宋" w:hAnsi="仿宋" w:eastAsia="仿宋" w:cs="仿宋"/>
          <w:color w:val="000000"/>
          <w:kern w:val="0"/>
          <w:sz w:val="32"/>
          <w:szCs w:val="32"/>
          <w:lang w:eastAsia="zh-CN"/>
        </w:rPr>
        <w:t>、福建金永润食品有限公司冷藏库新建项目</w:t>
      </w:r>
      <w:r>
        <w:rPr>
          <w:rFonts w:hint="eastAsia" w:ascii="仿宋" w:hAnsi="仿宋" w:eastAsia="仿宋" w:cs="仿宋"/>
          <w:kern w:val="0"/>
          <w:sz w:val="32"/>
          <w:szCs w:val="32"/>
          <w:lang w:eastAsia="zh-CN"/>
        </w:rPr>
        <w:t>。</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建设改造乡镇商贸中心，推动购物、娱乐、休闲等业态融合，改善乡镇消费环境。引导乡镇商贸中心向周边农村拓展服务，增加生活服务功能，推动购物、娱乐、休闲、餐饮、维修等业态融合，满足农民消费升级需求。</w:t>
      </w:r>
    </w:p>
    <w:p>
      <w:pPr>
        <w:spacing w:line="560" w:lineRule="exact"/>
        <w:ind w:firstLine="640" w:firstLineChars="200"/>
      </w:pPr>
      <w:r>
        <w:rPr>
          <w:rFonts w:hint="eastAsia" w:ascii="仿宋" w:hAnsi="仿宋" w:eastAsia="仿宋" w:cs="仿宋"/>
          <w:color w:val="000000"/>
          <w:kern w:val="0"/>
          <w:sz w:val="32"/>
          <w:szCs w:val="32"/>
        </w:rPr>
        <w:t>鼓励商贸流通企业输出管理和服务，通过技术赋能、供应链整合等方式，升级产品与服务，丰富供给层次，提高供给质量。在产品端要针对农民消费特征，引导生产与流通企业进入农村市场，向农村延伸。展示连城优质产品，供各类商家选品推广销售，带动产业发展，助推乡村振兴。建设农产品仓储保鲜冷链设施，打造区域冷链物流中心，降低农产品损耗和物流成本，构建鲜活农产品产地，助力乡村振兴。打造了特色产品展销中心，让特色农产品“出村进城”更便捷、更顺畅、更高效，实现一产接二连三，三次产业深度融合发展。</w:t>
      </w:r>
    </w:p>
    <w:p/>
    <w:p>
      <w:pPr>
        <w:pStyle w:val="24"/>
        <w:numPr>
          <w:ilvl w:val="0"/>
          <w:numId w:val="8"/>
        </w:numPr>
        <w:spacing w:line="560" w:lineRule="exact"/>
        <w:ind w:left="-13" w:firstLine="643"/>
        <w:outlineLvl w:val="2"/>
        <w:rPr>
          <w:rFonts w:ascii="黑体" w:hAnsi="黑体" w:eastAsia="黑体" w:cs="黑体"/>
          <w:bCs/>
          <w:color w:val="000000"/>
          <w:sz w:val="32"/>
          <w:szCs w:val="32"/>
        </w:rPr>
        <w:sectPr>
          <w:pgSz w:w="11906" w:h="16838"/>
          <w:pgMar w:top="1440" w:right="1803" w:bottom="1440" w:left="1803" w:header="851" w:footer="992" w:gutter="0"/>
          <w:cols w:space="0" w:num="1"/>
          <w:docGrid w:type="lines" w:linePitch="319" w:charSpace="0"/>
        </w:sectPr>
      </w:pPr>
    </w:p>
    <w:p>
      <w:pPr>
        <w:numPr>
          <w:ilvl w:val="0"/>
          <w:numId w:val="9"/>
        </w:numPr>
        <w:spacing w:line="560" w:lineRule="exact"/>
        <w:ind w:left="0" w:firstLine="643" w:firstLineChars="200"/>
        <w:outlineLvl w:val="2"/>
        <w:rPr>
          <w:rFonts w:ascii="宋体" w:hAnsi="宋体" w:eastAsia="宋体" w:cs="宋体"/>
          <w:b/>
          <w:bCs/>
          <w:color w:val="000000"/>
          <w:kern w:val="0"/>
          <w:sz w:val="32"/>
          <w:szCs w:val="32"/>
        </w:rPr>
      </w:pPr>
      <w:bookmarkStart w:id="30" w:name="_Toc14868"/>
      <w:r>
        <w:rPr>
          <w:rFonts w:hint="eastAsia" w:asciiTheme="majorEastAsia" w:hAnsiTheme="majorEastAsia" w:eastAsiaTheme="majorEastAsia" w:cstheme="majorEastAsia"/>
          <w:b/>
          <w:bCs/>
          <w:color w:val="000000"/>
          <w:kern w:val="0"/>
          <w:sz w:val="32"/>
          <w:szCs w:val="32"/>
        </w:rPr>
        <w:t>2022年县域商业建设项目清单</w:t>
      </w:r>
      <w:r>
        <w:rPr>
          <w:rFonts w:hint="eastAsia" w:ascii="宋体" w:hAnsi="宋体" w:eastAsia="宋体" w:cs="宋体"/>
          <w:b/>
          <w:bCs/>
          <w:color w:val="000000"/>
          <w:kern w:val="0"/>
          <w:sz w:val="32"/>
          <w:szCs w:val="32"/>
        </w:rPr>
        <w:t>统计表</w:t>
      </w:r>
      <w:bookmarkEnd w:id="30"/>
    </w:p>
    <w:tbl>
      <w:tblPr>
        <w:tblStyle w:val="19"/>
        <w:tblW w:w="5000" w:type="pct"/>
        <w:tblInd w:w="0" w:type="dxa"/>
        <w:tblLayout w:type="autofit"/>
        <w:tblCellMar>
          <w:top w:w="0" w:type="dxa"/>
          <w:left w:w="108" w:type="dxa"/>
          <w:bottom w:w="0" w:type="dxa"/>
          <w:right w:w="108" w:type="dxa"/>
        </w:tblCellMar>
      </w:tblPr>
      <w:tblGrid>
        <w:gridCol w:w="1573"/>
        <w:gridCol w:w="1573"/>
        <w:gridCol w:w="1573"/>
        <w:gridCol w:w="1573"/>
        <w:gridCol w:w="1573"/>
        <w:gridCol w:w="1573"/>
        <w:gridCol w:w="1574"/>
        <w:gridCol w:w="1574"/>
        <w:gridCol w:w="1588"/>
      </w:tblGrid>
      <w:tr>
        <w:tblPrEx>
          <w:tblCellMar>
            <w:top w:w="0" w:type="dxa"/>
            <w:left w:w="108" w:type="dxa"/>
            <w:bottom w:w="0" w:type="dxa"/>
            <w:right w:w="108" w:type="dxa"/>
          </w:tblCellMar>
        </w:tblPrEx>
        <w:trPr>
          <w:trHeight w:val="435" w:hRule="atLeast"/>
        </w:trPr>
        <w:tc>
          <w:tcPr>
            <w:tcW w:w="5000" w:type="pct"/>
            <w:gridSpan w:val="9"/>
            <w:tcBorders>
              <w:top w:val="nil"/>
              <w:left w:val="nil"/>
              <w:bottom w:val="nil"/>
              <w:right w:val="nil"/>
            </w:tcBorders>
            <w:shd w:val="clear" w:color="auto" w:fill="auto"/>
            <w:vAlign w:val="center"/>
          </w:tcPr>
          <w:p>
            <w:pPr>
              <w:widowControl/>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rPr>
              <w:t>2022年连城县县域商业建设项目清单统计表</w:t>
            </w:r>
          </w:p>
        </w:tc>
      </w:tr>
      <w:tr>
        <w:tblPrEx>
          <w:tblCellMar>
            <w:top w:w="0" w:type="dxa"/>
            <w:left w:w="108" w:type="dxa"/>
            <w:bottom w:w="0" w:type="dxa"/>
            <w:right w:w="108" w:type="dxa"/>
          </w:tblCellMar>
        </w:tblPrEx>
        <w:trPr>
          <w:trHeight w:val="1220" w:hRule="atLeast"/>
        </w:trPr>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项目类型</w:t>
            </w:r>
          </w:p>
        </w:tc>
        <w:tc>
          <w:tcPr>
            <w:tcW w:w="11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1.县域商业网点</w:t>
            </w:r>
          </w:p>
        </w:tc>
        <w:tc>
          <w:tcPr>
            <w:tcW w:w="11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2.县域物流网络</w:t>
            </w:r>
          </w:p>
        </w:tc>
        <w:tc>
          <w:tcPr>
            <w:tcW w:w="11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3.县域流通网络</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4.县域产业发展</w:t>
            </w:r>
          </w:p>
        </w:tc>
      </w:tr>
      <w:tr>
        <w:tblPrEx>
          <w:tblCellMar>
            <w:top w:w="0" w:type="dxa"/>
            <w:left w:w="108" w:type="dxa"/>
            <w:bottom w:w="0" w:type="dxa"/>
            <w:right w:w="108" w:type="dxa"/>
          </w:tblCellMar>
        </w:tblPrEx>
        <w:trPr>
          <w:trHeight w:val="1295" w:hRule="atLeast"/>
        </w:trPr>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建设类型</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改造</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改造</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改造</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改造</w:t>
            </w:r>
          </w:p>
        </w:tc>
      </w:tr>
      <w:tr>
        <w:tblPrEx>
          <w:tblCellMar>
            <w:top w:w="0" w:type="dxa"/>
            <w:left w:w="108" w:type="dxa"/>
            <w:bottom w:w="0" w:type="dxa"/>
            <w:right w:w="108" w:type="dxa"/>
          </w:tblCellMar>
        </w:tblPrEx>
        <w:trPr>
          <w:trHeight w:val="1325" w:hRule="atLeast"/>
        </w:trPr>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数量</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5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0</w:t>
            </w:r>
          </w:p>
        </w:tc>
      </w:tr>
      <w:tr>
        <w:tblPrEx>
          <w:tblCellMar>
            <w:top w:w="0" w:type="dxa"/>
            <w:left w:w="108" w:type="dxa"/>
            <w:bottom w:w="0" w:type="dxa"/>
            <w:right w:w="108" w:type="dxa"/>
          </w:tblCellMar>
        </w:tblPrEx>
        <w:trPr>
          <w:trHeight w:val="1275" w:hRule="atLeast"/>
        </w:trPr>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合计</w:t>
            </w:r>
          </w:p>
        </w:tc>
        <w:tc>
          <w:tcPr>
            <w:tcW w:w="11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1</w:t>
            </w:r>
          </w:p>
        </w:tc>
        <w:tc>
          <w:tcPr>
            <w:tcW w:w="11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0</w:t>
            </w:r>
          </w:p>
        </w:tc>
        <w:tc>
          <w:tcPr>
            <w:tcW w:w="11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0</w:t>
            </w:r>
          </w:p>
        </w:tc>
        <w:tc>
          <w:tcPr>
            <w:tcW w:w="11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3</w:t>
            </w:r>
          </w:p>
        </w:tc>
      </w:tr>
    </w:tbl>
    <w:p>
      <w:pPr>
        <w:rPr>
          <w:rFonts w:ascii="黑体" w:hAnsi="黑体" w:eastAsia="黑体" w:cs="黑体"/>
          <w:b/>
          <w:bCs/>
          <w:color w:val="000000"/>
          <w:kern w:val="0"/>
          <w:sz w:val="32"/>
          <w:szCs w:val="32"/>
        </w:rPr>
      </w:pPr>
      <w:r>
        <w:rPr>
          <w:rFonts w:hint="eastAsia"/>
        </w:rPr>
        <w:br w:type="page"/>
      </w:r>
    </w:p>
    <w:p>
      <w:pPr>
        <w:numPr>
          <w:ilvl w:val="0"/>
          <w:numId w:val="9"/>
        </w:numPr>
        <w:spacing w:line="560" w:lineRule="exact"/>
        <w:ind w:left="0" w:firstLine="643" w:firstLineChars="200"/>
        <w:outlineLvl w:val="2"/>
        <w:rPr>
          <w:rFonts w:asciiTheme="majorEastAsia" w:hAnsiTheme="majorEastAsia" w:eastAsiaTheme="majorEastAsia" w:cstheme="majorEastAsia"/>
          <w:b/>
          <w:bCs/>
          <w:color w:val="000000"/>
          <w:kern w:val="0"/>
          <w:sz w:val="32"/>
          <w:szCs w:val="32"/>
        </w:rPr>
      </w:pPr>
      <w:bookmarkStart w:id="31" w:name="_Toc22088"/>
      <w:r>
        <w:rPr>
          <w:rFonts w:hint="eastAsia" w:asciiTheme="majorEastAsia" w:hAnsiTheme="majorEastAsia" w:eastAsiaTheme="majorEastAsia" w:cstheme="majorEastAsia"/>
          <w:b/>
          <w:bCs/>
          <w:color w:val="000000"/>
          <w:kern w:val="0"/>
          <w:sz w:val="32"/>
          <w:szCs w:val="32"/>
        </w:rPr>
        <w:t>2022年县域商业建设项目清单统计图</w:t>
      </w:r>
      <w:bookmarkEnd w:id="31"/>
    </w:p>
    <w:p/>
    <w:p>
      <w:pPr>
        <w:jc w:val="center"/>
      </w:pPr>
      <w:r>
        <w:drawing>
          <wp:inline distT="0" distB="0" distL="114300" distR="114300">
            <wp:extent cx="7705725" cy="4524375"/>
            <wp:effectExtent l="4445" t="4445" r="5080" b="5080"/>
            <wp:docPr id="1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ectPr>
          <w:pgSz w:w="16838" w:h="11906" w:orient="landscape"/>
          <w:pgMar w:top="1803" w:right="1440" w:bottom="1803" w:left="1440" w:header="851" w:footer="992" w:gutter="0"/>
          <w:cols w:space="0" w:num="1"/>
          <w:docGrid w:type="lines" w:linePitch="319" w:charSpace="0"/>
        </w:sectPr>
      </w:pPr>
    </w:p>
    <w:p/>
    <w:p>
      <w:pPr>
        <w:keepNext w:val="0"/>
        <w:keepLines w:val="0"/>
        <w:pageBreakBefore w:val="0"/>
        <w:widowControl/>
        <w:numPr>
          <w:ilvl w:val="0"/>
          <w:numId w:val="7"/>
        </w:numPr>
        <w:suppressLineNumbers w:val="0"/>
        <w:shd w:val="clear"/>
        <w:kinsoku/>
        <w:wordWrap/>
        <w:overflowPunct/>
        <w:topLinePunct w:val="0"/>
        <w:autoSpaceDE/>
        <w:autoSpaceDN/>
        <w:bidi w:val="0"/>
        <w:adjustRightInd/>
        <w:snapToGrid/>
        <w:spacing w:line="560" w:lineRule="exact"/>
        <w:ind w:left="0" w:leftChars="0" w:firstLine="643" w:firstLineChars="0"/>
        <w:jc w:val="left"/>
        <w:textAlignment w:val="auto"/>
        <w:outlineLvl w:val="1"/>
        <w:rPr>
          <w:rFonts w:hint="eastAsia" w:ascii="宋体" w:hAnsi="宋体" w:eastAsia="宋体" w:cs="宋体"/>
          <w:b/>
          <w:bCs/>
          <w:color w:val="000000"/>
          <w:kern w:val="0"/>
          <w:sz w:val="32"/>
          <w:szCs w:val="32"/>
          <w:lang w:val="en-US" w:eastAsia="zh-CN" w:bidi="ar"/>
        </w:rPr>
      </w:pPr>
      <w:bookmarkStart w:id="32" w:name="_Toc387"/>
      <w:bookmarkStart w:id="33" w:name="_Toc9362"/>
      <w:r>
        <w:rPr>
          <w:rFonts w:hint="eastAsia" w:ascii="宋体" w:hAnsi="宋体" w:eastAsia="宋体" w:cs="宋体"/>
          <w:b/>
          <w:bCs/>
          <w:color w:val="000000"/>
          <w:kern w:val="0"/>
          <w:sz w:val="32"/>
          <w:szCs w:val="32"/>
          <w:lang w:val="en-US" w:eastAsia="zh-CN" w:bidi="ar"/>
        </w:rPr>
        <w:t>项目建设简介</w:t>
      </w:r>
      <w:bookmarkEnd w:id="32"/>
      <w:bookmarkEnd w:id="33"/>
    </w:p>
    <w:p>
      <w:pPr>
        <w:keepNext w:val="0"/>
        <w:keepLines w:val="0"/>
        <w:pageBreakBefore w:val="0"/>
        <w:widowControl w:val="0"/>
        <w:numPr>
          <w:ilvl w:val="0"/>
          <w:numId w:val="10"/>
        </w:numPr>
        <w:shd w:val="clear"/>
        <w:kinsoku/>
        <w:wordWrap/>
        <w:overflowPunct/>
        <w:topLinePunct w:val="0"/>
        <w:autoSpaceDE/>
        <w:autoSpaceDN/>
        <w:bidi w:val="0"/>
        <w:adjustRightInd/>
        <w:snapToGrid/>
        <w:spacing w:line="560" w:lineRule="exact"/>
        <w:ind w:left="0" w:leftChars="0" w:firstLine="643" w:firstLineChars="200"/>
        <w:textAlignment w:val="auto"/>
        <w:outlineLvl w:val="2"/>
        <w:rPr>
          <w:rFonts w:hint="eastAsia" w:asciiTheme="majorEastAsia" w:hAnsiTheme="majorEastAsia" w:eastAsiaTheme="majorEastAsia" w:cstheme="majorEastAsia"/>
          <w:b/>
          <w:bCs/>
          <w:i w:val="0"/>
          <w:iCs w:val="0"/>
          <w:color w:val="000000"/>
          <w:kern w:val="0"/>
          <w:sz w:val="32"/>
          <w:szCs w:val="32"/>
          <w:u w:val="none"/>
          <w:lang w:val="en-US" w:eastAsia="zh-CN" w:bidi="ar"/>
        </w:rPr>
      </w:pPr>
      <w:bookmarkStart w:id="34" w:name="_Toc4312"/>
      <w:bookmarkStart w:id="35" w:name="_Toc7931"/>
      <w:r>
        <w:rPr>
          <w:rFonts w:hint="eastAsia" w:asciiTheme="majorEastAsia" w:hAnsiTheme="majorEastAsia" w:eastAsiaTheme="majorEastAsia" w:cstheme="majorEastAsia"/>
          <w:b/>
          <w:bCs/>
          <w:i w:val="0"/>
          <w:iCs w:val="0"/>
          <w:color w:val="000000"/>
          <w:kern w:val="0"/>
          <w:sz w:val="32"/>
          <w:szCs w:val="32"/>
          <w:u w:val="none"/>
          <w:lang w:val="en-US" w:eastAsia="zh-CN" w:bidi="ar"/>
        </w:rPr>
        <w:t>县域商业网点</w:t>
      </w:r>
      <w:bookmarkEnd w:id="34"/>
      <w:bookmarkEnd w:id="35"/>
    </w:p>
    <w:p>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left="0" w:firstLine="640" w:firstLineChars="200"/>
        <w:textAlignment w:val="auto"/>
        <w:rPr>
          <w:rFonts w:hint="default"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2022年连城县县域商业建设项目中，县域商业网点建设项目有1个，计划投资额600万元，拟申请支持金额200万元，属于新建项目。项目情况如下：</w:t>
      </w:r>
    </w:p>
    <w:p>
      <w:pPr>
        <w:keepNext w:val="0"/>
        <w:keepLines w:val="0"/>
        <w:pageBreakBefore w:val="0"/>
        <w:widowControl w:val="0"/>
        <w:numPr>
          <w:ilvl w:val="0"/>
          <w:numId w:val="11"/>
        </w:numPr>
        <w:shd w:val="clear"/>
        <w:kinsoku/>
        <w:wordWrap/>
        <w:overflowPunct/>
        <w:topLinePunct w:val="0"/>
        <w:autoSpaceDE/>
        <w:autoSpaceDN/>
        <w:bidi w:val="0"/>
        <w:adjustRightInd/>
        <w:snapToGrid/>
        <w:spacing w:line="560" w:lineRule="exact"/>
        <w:ind w:left="0" w:leftChars="0" w:firstLine="643" w:firstLineChars="0"/>
        <w:textAlignment w:val="auto"/>
        <w:outlineLvl w:val="3"/>
        <w:rPr>
          <w:rFonts w:hint="default" w:ascii="宋体" w:hAnsi="宋体" w:eastAsia="宋体" w:cs="宋体"/>
          <w:b/>
          <w:bCs/>
          <w:color w:val="000000"/>
          <w:kern w:val="0"/>
          <w:sz w:val="32"/>
          <w:szCs w:val="32"/>
          <w:lang w:val="en-US" w:eastAsia="zh-CN" w:bidi="ar"/>
        </w:rPr>
      </w:pPr>
      <w:bookmarkStart w:id="36" w:name="_Toc19723"/>
      <w:bookmarkStart w:id="37" w:name="_Toc21720"/>
      <w:r>
        <w:rPr>
          <w:rFonts w:hint="default" w:ascii="宋体" w:hAnsi="宋体" w:eastAsia="宋体" w:cs="宋体"/>
          <w:b/>
          <w:bCs/>
          <w:color w:val="000000"/>
          <w:kern w:val="0"/>
          <w:sz w:val="32"/>
          <w:szCs w:val="32"/>
          <w:lang w:val="en-US" w:eastAsia="zh-CN" w:bidi="ar"/>
        </w:rPr>
        <w:t>揭乐</w:t>
      </w:r>
      <w:r>
        <w:rPr>
          <w:rFonts w:hint="eastAsia" w:ascii="宋体" w:hAnsi="宋体" w:eastAsia="宋体" w:cs="宋体"/>
          <w:b/>
          <w:bCs/>
          <w:color w:val="000000"/>
          <w:kern w:val="0"/>
          <w:sz w:val="32"/>
          <w:szCs w:val="32"/>
          <w:lang w:val="en-US" w:eastAsia="zh-CN" w:bidi="ar"/>
        </w:rPr>
        <w:t>乡</w:t>
      </w:r>
      <w:r>
        <w:rPr>
          <w:rFonts w:hint="default" w:ascii="宋体" w:hAnsi="宋体" w:eastAsia="宋体" w:cs="宋体"/>
          <w:b/>
          <w:bCs/>
          <w:color w:val="000000"/>
          <w:kern w:val="0"/>
          <w:sz w:val="32"/>
          <w:szCs w:val="32"/>
          <w:lang w:val="en-US" w:eastAsia="zh-CN" w:bidi="ar"/>
        </w:rPr>
        <w:t>旅游购物中心</w:t>
      </w:r>
      <w:r>
        <w:rPr>
          <w:rFonts w:hint="eastAsia" w:ascii="宋体" w:hAnsi="宋体" w:eastAsia="宋体" w:cs="宋体"/>
          <w:b/>
          <w:bCs/>
          <w:color w:val="000000"/>
          <w:kern w:val="0"/>
          <w:sz w:val="32"/>
          <w:szCs w:val="32"/>
          <w:lang w:val="en-US" w:eastAsia="zh-CN" w:bidi="ar"/>
        </w:rPr>
        <w:t>新建项目</w:t>
      </w:r>
      <w:bookmarkEnd w:id="36"/>
      <w:bookmarkEnd w:id="37"/>
    </w:p>
    <w:p>
      <w:pPr>
        <w:keepNext w:val="0"/>
        <w:keepLines w:val="0"/>
        <w:pageBreakBefore w:val="0"/>
        <w:shd w:val="clear"/>
        <w:kinsoku/>
        <w:wordWrap/>
        <w:overflowPunct/>
        <w:topLinePunct w:val="0"/>
        <w:autoSpaceDE/>
        <w:autoSpaceDN/>
        <w:bidi w:val="0"/>
        <w:adjustRightInd/>
        <w:snapToGrid/>
        <w:spacing w:line="560" w:lineRule="exact"/>
        <w:ind w:left="0" w:firstLine="640" w:firstLineChars="200"/>
        <w:textAlignment w:val="auto"/>
        <w:rPr>
          <w:rFonts w:hint="eastAsia"/>
          <w:lang w:val="en-US" w:eastAsia="zh-CN"/>
        </w:rPr>
      </w:pPr>
      <w:r>
        <w:rPr>
          <w:rFonts w:hint="default" w:ascii="仿宋" w:hAnsi="仿宋" w:eastAsia="仿宋" w:cs="仿宋"/>
          <w:b w:val="0"/>
          <w:bCs w:val="0"/>
          <w:color w:val="000000"/>
          <w:kern w:val="0"/>
          <w:sz w:val="32"/>
          <w:szCs w:val="32"/>
          <w:lang w:val="en-US" w:eastAsia="zh-CN" w:bidi="ar"/>
        </w:rPr>
        <w:t>揭乐</w:t>
      </w:r>
      <w:r>
        <w:rPr>
          <w:rFonts w:hint="eastAsia" w:ascii="仿宋" w:hAnsi="仿宋" w:eastAsia="仿宋" w:cs="仿宋"/>
          <w:b w:val="0"/>
          <w:bCs w:val="0"/>
          <w:color w:val="000000"/>
          <w:kern w:val="0"/>
          <w:sz w:val="32"/>
          <w:szCs w:val="32"/>
          <w:lang w:val="en-US" w:eastAsia="zh-CN" w:bidi="ar"/>
        </w:rPr>
        <w:t>乡</w:t>
      </w:r>
      <w:r>
        <w:rPr>
          <w:rFonts w:hint="default" w:ascii="仿宋" w:hAnsi="仿宋" w:eastAsia="仿宋" w:cs="仿宋"/>
          <w:b w:val="0"/>
          <w:bCs w:val="0"/>
          <w:color w:val="000000"/>
          <w:kern w:val="0"/>
          <w:sz w:val="32"/>
          <w:szCs w:val="32"/>
          <w:lang w:val="en-US" w:eastAsia="zh-CN" w:bidi="ar"/>
        </w:rPr>
        <w:t>旅游购物中心</w:t>
      </w:r>
      <w:r>
        <w:rPr>
          <w:rFonts w:hint="eastAsia" w:ascii="仿宋" w:hAnsi="仿宋" w:eastAsia="仿宋" w:cs="仿宋"/>
          <w:b w:val="0"/>
          <w:bCs w:val="0"/>
          <w:color w:val="000000"/>
          <w:kern w:val="0"/>
          <w:sz w:val="32"/>
          <w:szCs w:val="32"/>
          <w:lang w:val="en-US" w:eastAsia="zh-CN" w:bidi="ar"/>
        </w:rPr>
        <w:t>新建项目，连城县商务局作为责任主体单位，连城县工贸发展有限公司作为责任主体企业，计划投资额600万元，拟申请支持金额200万元。</w:t>
      </w:r>
      <w:r>
        <w:rPr>
          <w:rFonts w:hint="default" w:ascii="仿宋" w:hAnsi="仿宋" w:eastAsia="仿宋" w:cs="仿宋"/>
          <w:b w:val="0"/>
          <w:bCs w:val="0"/>
          <w:color w:val="000000"/>
          <w:kern w:val="0"/>
          <w:sz w:val="32"/>
          <w:szCs w:val="32"/>
          <w:lang w:val="en-US" w:eastAsia="zh-CN" w:bidi="ar"/>
        </w:rPr>
        <w:t>建设“乡在景中、景在绿中、水环乡绕、人行景中”的绿色旅游购物一条街，建设冠豸山铁皮石斛、富硒葡萄、富硒地瓜干、富硒黑豆等富硒产品体验购物中心、生态停车场和道路相关基础配套设施等内容结合九龙湖景点、当地原生态富硒绿色农产品，带动当地美食、购物一条街，带动当地老百姓发展、就业</w:t>
      </w:r>
      <w:r>
        <w:rPr>
          <w:rFonts w:hint="eastAsia" w:ascii="仿宋" w:hAnsi="仿宋" w:eastAsia="仿宋" w:cs="仿宋"/>
          <w:b w:val="0"/>
          <w:bCs w:val="0"/>
          <w:color w:val="000000"/>
          <w:kern w:val="0"/>
          <w:sz w:val="32"/>
          <w:szCs w:val="32"/>
          <w:lang w:val="en-US" w:eastAsia="zh-CN" w:bidi="ar"/>
        </w:rPr>
        <w:t>。</w:t>
      </w:r>
    </w:p>
    <w:p>
      <w:pPr>
        <w:keepNext w:val="0"/>
        <w:keepLines w:val="0"/>
        <w:pageBreakBefore w:val="0"/>
        <w:widowControl w:val="0"/>
        <w:numPr>
          <w:ilvl w:val="0"/>
          <w:numId w:val="10"/>
        </w:numPr>
        <w:shd w:val="clear"/>
        <w:kinsoku/>
        <w:wordWrap/>
        <w:overflowPunct/>
        <w:topLinePunct w:val="0"/>
        <w:autoSpaceDE/>
        <w:autoSpaceDN/>
        <w:bidi w:val="0"/>
        <w:adjustRightInd/>
        <w:snapToGrid/>
        <w:spacing w:line="560" w:lineRule="exact"/>
        <w:ind w:left="0" w:leftChars="0" w:firstLine="643" w:firstLineChars="200"/>
        <w:textAlignment w:val="auto"/>
        <w:outlineLvl w:val="2"/>
        <w:rPr>
          <w:rFonts w:hint="eastAsia" w:asciiTheme="majorEastAsia" w:hAnsiTheme="majorEastAsia" w:eastAsiaTheme="majorEastAsia" w:cstheme="majorEastAsia"/>
          <w:b/>
          <w:bCs/>
          <w:i w:val="0"/>
          <w:iCs w:val="0"/>
          <w:color w:val="000000"/>
          <w:kern w:val="0"/>
          <w:sz w:val="32"/>
          <w:szCs w:val="32"/>
          <w:u w:val="none"/>
          <w:lang w:val="en-US" w:eastAsia="zh-CN" w:bidi="ar"/>
        </w:rPr>
      </w:pPr>
      <w:bookmarkStart w:id="38" w:name="_Toc18581"/>
      <w:bookmarkStart w:id="39" w:name="_Toc17317"/>
      <w:r>
        <w:rPr>
          <w:rFonts w:hint="eastAsia" w:asciiTheme="majorEastAsia" w:hAnsiTheme="majorEastAsia" w:eastAsiaTheme="majorEastAsia" w:cstheme="majorEastAsia"/>
          <w:b/>
          <w:bCs/>
          <w:i w:val="0"/>
          <w:iCs w:val="0"/>
          <w:color w:val="000000"/>
          <w:kern w:val="0"/>
          <w:sz w:val="32"/>
          <w:szCs w:val="32"/>
          <w:u w:val="none"/>
          <w:lang w:val="en-US" w:eastAsia="zh-CN" w:bidi="ar"/>
        </w:rPr>
        <w:t>县域物流网络</w:t>
      </w:r>
      <w:bookmarkEnd w:id="38"/>
      <w:bookmarkEnd w:id="39"/>
    </w:p>
    <w:p>
      <w:pPr>
        <w:keepNext w:val="0"/>
        <w:keepLines w:val="0"/>
        <w:pageBreakBefore w:val="0"/>
        <w:kinsoku/>
        <w:wordWrap/>
        <w:overflowPunct/>
        <w:topLinePunct w:val="0"/>
        <w:autoSpaceDE/>
        <w:autoSpaceDN/>
        <w:bidi w:val="0"/>
        <w:adjustRightInd/>
        <w:snapToGrid/>
        <w:spacing w:line="560" w:lineRule="exact"/>
        <w:ind w:left="0" w:firstLine="640" w:firstLineChars="200"/>
        <w:textAlignment w:val="auto"/>
        <w:rPr>
          <w:rFonts w:hint="eastAsia"/>
          <w:lang w:val="en-US" w:eastAsia="zh-CN"/>
        </w:rPr>
      </w:pPr>
      <w:r>
        <w:rPr>
          <w:rFonts w:hint="eastAsia" w:eastAsia="仿宋" w:cs="仿宋"/>
          <w:color w:val="auto"/>
          <w:sz w:val="32"/>
          <w:szCs w:val="32"/>
          <w:lang w:val="en-US" w:eastAsia="zh-CN"/>
        </w:rPr>
        <w:t>县域邮政、快递企业整合资源，发展共同配送、建设改造县级物流配送中心和乡镇快递物流站点建设项目，暂不列入2022年县域商业建设行动项目申报计划。</w:t>
      </w:r>
    </w:p>
    <w:p>
      <w:pPr>
        <w:keepNext w:val="0"/>
        <w:keepLines w:val="0"/>
        <w:pageBreakBefore w:val="0"/>
        <w:widowControl w:val="0"/>
        <w:numPr>
          <w:ilvl w:val="0"/>
          <w:numId w:val="10"/>
        </w:numPr>
        <w:shd w:val="clear"/>
        <w:kinsoku/>
        <w:wordWrap/>
        <w:overflowPunct/>
        <w:topLinePunct w:val="0"/>
        <w:autoSpaceDE/>
        <w:autoSpaceDN/>
        <w:bidi w:val="0"/>
        <w:adjustRightInd/>
        <w:snapToGrid/>
        <w:spacing w:beforeAutospacing="0" w:afterAutospacing="0" w:line="560" w:lineRule="exact"/>
        <w:ind w:left="0" w:leftChars="0" w:firstLine="643" w:firstLineChars="200"/>
        <w:textAlignment w:val="auto"/>
        <w:outlineLvl w:val="2"/>
        <w:rPr>
          <w:rFonts w:hint="eastAsia" w:asciiTheme="majorEastAsia" w:hAnsiTheme="majorEastAsia" w:eastAsiaTheme="majorEastAsia" w:cstheme="majorEastAsia"/>
          <w:b/>
          <w:bCs/>
          <w:i w:val="0"/>
          <w:iCs w:val="0"/>
          <w:color w:val="000000"/>
          <w:kern w:val="0"/>
          <w:sz w:val="32"/>
          <w:szCs w:val="32"/>
          <w:u w:val="none"/>
          <w:lang w:val="en-US" w:eastAsia="zh-CN" w:bidi="ar"/>
        </w:rPr>
      </w:pPr>
      <w:bookmarkStart w:id="40" w:name="_Toc24469"/>
      <w:bookmarkStart w:id="41" w:name="_Toc24809"/>
      <w:r>
        <w:rPr>
          <w:rFonts w:hint="eastAsia" w:asciiTheme="majorEastAsia" w:hAnsiTheme="majorEastAsia" w:eastAsiaTheme="majorEastAsia" w:cstheme="majorEastAsia"/>
          <w:b/>
          <w:bCs/>
          <w:i w:val="0"/>
          <w:iCs w:val="0"/>
          <w:color w:val="000000"/>
          <w:kern w:val="0"/>
          <w:sz w:val="32"/>
          <w:szCs w:val="32"/>
          <w:u w:val="none"/>
          <w:lang w:val="en-US" w:eastAsia="zh-CN" w:bidi="ar"/>
        </w:rPr>
        <w:t>县域流通网络</w:t>
      </w:r>
      <w:bookmarkEnd w:id="40"/>
      <w:bookmarkEnd w:id="41"/>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lang w:val="en-US" w:eastAsia="zh-CN"/>
        </w:rPr>
      </w:pPr>
      <w:r>
        <w:rPr>
          <w:rFonts w:hint="eastAsia" w:eastAsia="仿宋" w:cs="仿宋"/>
          <w:color w:val="auto"/>
          <w:sz w:val="32"/>
          <w:szCs w:val="32"/>
          <w:lang w:val="en-US" w:eastAsia="zh-CN"/>
        </w:rPr>
        <w:t>县域流通网络建设项目，暂不列入2022年县域商业建设行动项目申报计划。</w:t>
      </w:r>
    </w:p>
    <w:p>
      <w:pPr>
        <w:keepNext w:val="0"/>
        <w:keepLines w:val="0"/>
        <w:pageBreakBefore w:val="0"/>
        <w:widowControl w:val="0"/>
        <w:numPr>
          <w:ilvl w:val="0"/>
          <w:numId w:val="10"/>
        </w:numPr>
        <w:shd w:val="clear"/>
        <w:kinsoku/>
        <w:wordWrap/>
        <w:overflowPunct/>
        <w:topLinePunct w:val="0"/>
        <w:autoSpaceDE/>
        <w:autoSpaceDN/>
        <w:bidi w:val="0"/>
        <w:adjustRightInd/>
        <w:snapToGrid/>
        <w:spacing w:beforeAutospacing="0" w:afterAutospacing="0" w:line="560" w:lineRule="exact"/>
        <w:ind w:left="0" w:leftChars="0" w:firstLine="643" w:firstLineChars="200"/>
        <w:textAlignment w:val="auto"/>
        <w:outlineLvl w:val="2"/>
        <w:rPr>
          <w:rFonts w:hint="eastAsia" w:asciiTheme="majorEastAsia" w:hAnsiTheme="majorEastAsia" w:eastAsiaTheme="majorEastAsia" w:cstheme="majorEastAsia"/>
          <w:b/>
          <w:bCs/>
          <w:i w:val="0"/>
          <w:iCs w:val="0"/>
          <w:color w:val="000000"/>
          <w:kern w:val="0"/>
          <w:sz w:val="32"/>
          <w:szCs w:val="32"/>
          <w:u w:val="none"/>
          <w:lang w:val="en-US" w:eastAsia="zh-CN" w:bidi="ar"/>
        </w:rPr>
      </w:pPr>
      <w:bookmarkStart w:id="42" w:name="_Toc28574"/>
      <w:bookmarkStart w:id="43" w:name="_Toc15256"/>
      <w:r>
        <w:rPr>
          <w:rFonts w:hint="eastAsia" w:asciiTheme="majorEastAsia" w:hAnsiTheme="majorEastAsia" w:eastAsiaTheme="majorEastAsia" w:cstheme="majorEastAsia"/>
          <w:b/>
          <w:bCs/>
          <w:i w:val="0"/>
          <w:iCs w:val="0"/>
          <w:color w:val="000000"/>
          <w:kern w:val="0"/>
          <w:sz w:val="32"/>
          <w:szCs w:val="32"/>
          <w:u w:val="none"/>
          <w:lang w:val="en-US" w:eastAsia="zh-CN" w:bidi="ar"/>
        </w:rPr>
        <w:t>县域产业发展</w:t>
      </w:r>
      <w:bookmarkEnd w:id="42"/>
      <w:bookmarkEnd w:id="43"/>
    </w:p>
    <w:p>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firstLine="640" w:firstLineChars="200"/>
        <w:textAlignment w:val="auto"/>
        <w:outlineLvl w:val="9"/>
        <w:rPr>
          <w:rFonts w:hint="eastAsia"/>
          <w:lang w:val="en-US" w:eastAsia="zh-CN"/>
        </w:rPr>
      </w:pPr>
      <w:r>
        <w:rPr>
          <w:rFonts w:hint="eastAsia" w:ascii="仿宋" w:hAnsi="仿宋" w:eastAsia="仿宋" w:cs="仿宋"/>
          <w:b w:val="0"/>
          <w:bCs w:val="0"/>
          <w:color w:val="000000"/>
          <w:kern w:val="0"/>
          <w:sz w:val="32"/>
          <w:szCs w:val="32"/>
          <w:lang w:val="en-US" w:eastAsia="zh-CN" w:bidi="ar"/>
        </w:rPr>
        <w:t>2022年县域商业体系建设项目中，县域产业发展建设项目有3个，计划投资额1400万元，拟申请支持金额400万元。建设改造乡镇商贸中心，推动购物、娱乐、休闲等业态融合，改善乡镇消费环境。引导乡镇商贸中心向周边农村拓展服务，满足农民消费升级需求。建设农产品仓储保鲜冷链设施，打造区域冷链物流中心，降低农产品损耗和物流成本，构建鲜活农产品产地，助力乡村振兴。建设绿色旅游购物一条街，结合当地景点、农产品，带动当地美食、购物一条街，带动当地老百姓发展、就业。项目情况如下：</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560" w:lineRule="exact"/>
        <w:ind w:left="0" w:leftChars="0" w:firstLine="643" w:firstLineChars="0"/>
        <w:textAlignment w:val="auto"/>
        <w:outlineLvl w:val="3"/>
        <w:rPr>
          <w:rFonts w:hint="eastAsia" w:ascii="宋体" w:hAnsi="宋体" w:eastAsia="宋体" w:cs="宋体"/>
          <w:b/>
          <w:bCs/>
          <w:color w:val="000000"/>
          <w:kern w:val="0"/>
          <w:sz w:val="32"/>
          <w:szCs w:val="32"/>
          <w:lang w:val="en-US" w:eastAsia="zh-CN" w:bidi="ar"/>
        </w:rPr>
      </w:pPr>
      <w:bookmarkStart w:id="44" w:name="_Toc32083"/>
      <w:bookmarkStart w:id="45" w:name="_Toc13066"/>
      <w:r>
        <w:rPr>
          <w:rFonts w:hint="eastAsia" w:ascii="宋体" w:hAnsi="宋体" w:eastAsia="宋体" w:cs="宋体"/>
          <w:b/>
          <w:bCs/>
          <w:color w:val="000000"/>
          <w:kern w:val="0"/>
          <w:sz w:val="32"/>
          <w:szCs w:val="32"/>
          <w:lang w:val="en-US" w:eastAsia="zh-CN" w:bidi="ar"/>
        </w:rPr>
        <w:t>连城县广大食品厂储存农产品冻库新建项目</w:t>
      </w:r>
      <w:bookmarkEnd w:id="44"/>
      <w:bookmarkEnd w:id="45"/>
    </w:p>
    <w:p>
      <w:pPr>
        <w:keepNext w:val="0"/>
        <w:keepLines w:val="0"/>
        <w:pageBreakBefore w:val="0"/>
        <w:widowControl w:val="0"/>
        <w:shd w:val="clea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连城县广大食品厂储存农产品冻库新建项目，连城县商务局作为责任主体单位，连城县广大食品厂作为责任主体企业，计划投资额300万元，拟申请支持金额100万元。建设冻库5座，总库容量3102.1m³，库温为-24℃±5°，冷藏农产品。低温、冷藏可以有效地解决果蔬滞销，对延长果蔬保鲜期，增强果蔬品质有着良好的作用。</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560" w:lineRule="exact"/>
        <w:ind w:left="0" w:leftChars="0" w:firstLine="643" w:firstLineChars="0"/>
        <w:textAlignment w:val="auto"/>
        <w:outlineLvl w:val="3"/>
        <w:rPr>
          <w:rFonts w:hint="eastAsia" w:ascii="宋体" w:hAnsi="宋体" w:eastAsia="宋体" w:cs="宋体"/>
          <w:b/>
          <w:bCs/>
          <w:color w:val="000000"/>
          <w:kern w:val="0"/>
          <w:sz w:val="32"/>
          <w:szCs w:val="32"/>
          <w:lang w:val="en-US" w:eastAsia="zh-CN" w:bidi="ar"/>
        </w:rPr>
      </w:pPr>
      <w:bookmarkStart w:id="46" w:name="_Toc6502"/>
      <w:bookmarkStart w:id="47" w:name="_Toc9203"/>
      <w:r>
        <w:rPr>
          <w:rFonts w:hint="eastAsia" w:ascii="宋体" w:hAnsi="宋体" w:eastAsia="宋体" w:cs="宋体"/>
          <w:b/>
          <w:bCs/>
          <w:color w:val="000000"/>
          <w:kern w:val="0"/>
          <w:sz w:val="32"/>
          <w:szCs w:val="32"/>
          <w:lang w:val="en-US" w:eastAsia="zh-CN" w:bidi="ar"/>
        </w:rPr>
        <w:t>福建金永润食品有限公司冷藏库新建项目</w:t>
      </w:r>
      <w:bookmarkEnd w:id="46"/>
      <w:bookmarkEnd w:id="47"/>
    </w:p>
    <w:p>
      <w:pPr>
        <w:keepNext w:val="0"/>
        <w:keepLines w:val="0"/>
        <w:pageBreakBefore w:val="0"/>
        <w:widowControl w:val="0"/>
        <w:shd w:val="clear"/>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color w:val="000000"/>
          <w:kern w:val="0"/>
          <w:sz w:val="32"/>
          <w:szCs w:val="32"/>
          <w:lang w:val="en-US" w:eastAsia="zh-CN" w:bidi="ar"/>
        </w:rPr>
      </w:pPr>
      <w:r>
        <w:rPr>
          <w:rFonts w:hint="eastAsia" w:ascii="仿宋" w:hAnsi="仿宋" w:eastAsia="仿宋" w:cs="仿宋"/>
          <w:b w:val="0"/>
          <w:bCs w:val="0"/>
          <w:color w:val="000000"/>
          <w:kern w:val="0"/>
          <w:sz w:val="32"/>
          <w:szCs w:val="32"/>
          <w:lang w:val="en-US" w:eastAsia="zh-CN" w:bidi="ar"/>
        </w:rPr>
        <w:t>福建金永润食品有限公司冷藏库新建项目，连城县商务局作为责任主体单位，福建金永润食品有限公司作为责任主体企业，计划投资额300万元，拟申请支持金额100万元。新建冷藏库1000立方米，购进地瓜干的生产设备、冷藏储存设备，实现农产品存储、冷藏、冷链储运，延长保质期等功能。</w:t>
      </w:r>
    </w:p>
    <w:p>
      <w:pPr>
        <w:keepNext w:val="0"/>
        <w:keepLines w:val="0"/>
        <w:pageBreakBefore w:val="0"/>
        <w:widowControl w:val="0"/>
        <w:numPr>
          <w:ilvl w:val="0"/>
          <w:numId w:val="12"/>
        </w:numPr>
        <w:shd w:val="clear"/>
        <w:kinsoku/>
        <w:wordWrap/>
        <w:overflowPunct/>
        <w:topLinePunct w:val="0"/>
        <w:autoSpaceDE/>
        <w:autoSpaceDN/>
        <w:bidi w:val="0"/>
        <w:adjustRightInd/>
        <w:snapToGrid/>
        <w:spacing w:line="560" w:lineRule="exact"/>
        <w:ind w:left="0" w:leftChars="0" w:firstLine="643" w:firstLineChars="0"/>
        <w:textAlignment w:val="auto"/>
        <w:outlineLvl w:val="3"/>
        <w:rPr>
          <w:rFonts w:hint="eastAsia" w:ascii="宋体" w:hAnsi="宋体" w:eastAsia="宋体" w:cs="宋体"/>
          <w:b/>
          <w:bCs/>
          <w:color w:val="000000"/>
          <w:kern w:val="0"/>
          <w:sz w:val="32"/>
          <w:szCs w:val="32"/>
          <w:lang w:val="en-US" w:eastAsia="zh-CN" w:bidi="ar"/>
        </w:rPr>
      </w:pPr>
      <w:bookmarkStart w:id="48" w:name="_Toc25928"/>
      <w:bookmarkStart w:id="49" w:name="_Toc5803"/>
      <w:r>
        <w:rPr>
          <w:rFonts w:hint="eastAsia" w:ascii="宋体" w:hAnsi="宋体" w:eastAsia="宋体" w:cs="宋体"/>
          <w:b/>
          <w:bCs/>
          <w:color w:val="000000"/>
          <w:kern w:val="0"/>
          <w:sz w:val="32"/>
          <w:szCs w:val="32"/>
          <w:lang w:val="en-US" w:eastAsia="zh-CN" w:bidi="ar"/>
        </w:rPr>
        <w:t>直播（跨境）电商生态园展示选品中心新建项目</w:t>
      </w:r>
      <w:bookmarkEnd w:id="48"/>
      <w:bookmarkEnd w:id="49"/>
    </w:p>
    <w:p>
      <w:pPr>
        <w:keepNext w:val="0"/>
        <w:keepLines w:val="0"/>
        <w:pageBreakBefore w:val="0"/>
        <w:widowControl w:val="0"/>
        <w:shd w:val="clear"/>
        <w:kinsoku/>
        <w:wordWrap/>
        <w:overflowPunct/>
        <w:topLinePunct w:val="0"/>
        <w:autoSpaceDE/>
        <w:autoSpaceDN/>
        <w:bidi w:val="0"/>
        <w:adjustRightInd/>
        <w:snapToGrid/>
        <w:spacing w:line="560" w:lineRule="exact"/>
        <w:ind w:left="0" w:firstLine="640" w:firstLineChars="200"/>
        <w:textAlignment w:val="auto"/>
      </w:pPr>
      <w:r>
        <w:rPr>
          <w:rFonts w:hint="eastAsia" w:ascii="仿宋" w:hAnsi="仿宋" w:eastAsia="仿宋" w:cs="仿宋"/>
          <w:b w:val="0"/>
          <w:bCs w:val="0"/>
          <w:color w:val="000000"/>
          <w:kern w:val="0"/>
          <w:sz w:val="32"/>
          <w:szCs w:val="32"/>
          <w:lang w:val="en-US" w:eastAsia="zh-CN" w:bidi="ar"/>
        </w:rPr>
        <w:t>直播（跨境）电商生态园展示选品中心新建项目连城县商务局作为责任主体单位，福建连城豸龙旅游集团有限公司作为责任主体企业，项目计划投资额800万元，拟申请支持金额200万元。新建农产品展示、展销、选品中心展示连城优质产品，供各类商家选品推广销售，项目建成后，带动产业发展，助推乡村振兴。</w:t>
      </w:r>
    </w:p>
    <w:p>
      <w:pPr>
        <w:widowControl/>
        <w:numPr>
          <w:ilvl w:val="0"/>
          <w:numId w:val="7"/>
        </w:numPr>
        <w:spacing w:line="560" w:lineRule="exact"/>
        <w:ind w:left="0" w:firstLine="643" w:firstLineChars="200"/>
        <w:jc w:val="left"/>
        <w:outlineLvl w:val="1"/>
        <w:rPr>
          <w:rFonts w:ascii="宋体" w:hAnsi="宋体" w:eastAsia="宋体" w:cs="宋体"/>
          <w:b/>
          <w:bCs/>
          <w:color w:val="000000"/>
          <w:kern w:val="0"/>
          <w:sz w:val="32"/>
          <w:szCs w:val="32"/>
        </w:rPr>
      </w:pPr>
      <w:bookmarkStart w:id="50" w:name="_Toc2693"/>
      <w:r>
        <w:rPr>
          <w:rFonts w:hint="eastAsia" w:ascii="宋体" w:hAnsi="宋体" w:eastAsia="宋体" w:cs="宋体"/>
          <w:b/>
          <w:bCs/>
          <w:color w:val="000000"/>
          <w:kern w:val="0"/>
          <w:sz w:val="32"/>
          <w:szCs w:val="32"/>
        </w:rPr>
        <w:t>延续性项目说明</w:t>
      </w:r>
      <w:bookmarkEnd w:id="50"/>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本次拟申请支持的项目均无国家发展改革委具体安排的中央基建投资事项、农业农村部具体安排的产地冷链设施、中央财政农产品供应链体系建设、万村千乡市场工程、电子商务进农村综合示范及其他资金渠道支持的项目。</w:t>
      </w:r>
    </w:p>
    <w:p>
      <w:r>
        <w:rPr>
          <w:rFonts w:hint="eastAsia" w:ascii="仿宋" w:hAnsi="仿宋" w:eastAsia="仿宋" w:cs="仿宋"/>
          <w:color w:val="000000"/>
          <w:kern w:val="0"/>
          <w:sz w:val="32"/>
          <w:szCs w:val="32"/>
        </w:rPr>
        <w:br w:type="page"/>
      </w:r>
    </w:p>
    <w:p>
      <w:pPr>
        <w:numPr>
          <w:ilvl w:val="0"/>
          <w:numId w:val="1"/>
        </w:numPr>
        <w:spacing w:line="560" w:lineRule="exact"/>
        <w:ind w:left="-11" w:firstLine="643" w:firstLineChars="200"/>
        <w:outlineLvl w:val="0"/>
        <w:rPr>
          <w:rFonts w:ascii="黑体" w:hAnsi="黑体" w:eastAsia="黑体" w:cs="黑体"/>
          <w:b/>
          <w:bCs/>
          <w:sz w:val="32"/>
          <w:szCs w:val="32"/>
        </w:rPr>
      </w:pPr>
      <w:bookmarkStart w:id="51" w:name="_Toc13800"/>
      <w:r>
        <w:rPr>
          <w:rFonts w:hint="eastAsia" w:ascii="黑体" w:hAnsi="黑体" w:eastAsia="黑体" w:cs="黑体"/>
          <w:b/>
          <w:bCs/>
          <w:sz w:val="32"/>
          <w:szCs w:val="32"/>
        </w:rPr>
        <w:t>保障机制</w:t>
      </w:r>
      <w:bookmarkEnd w:id="51"/>
    </w:p>
    <w:p>
      <w:pPr>
        <w:widowControl/>
        <w:numPr>
          <w:ilvl w:val="0"/>
          <w:numId w:val="13"/>
        </w:numPr>
        <w:spacing w:line="560" w:lineRule="exact"/>
        <w:ind w:firstLine="643" w:firstLineChars="200"/>
        <w:jc w:val="left"/>
        <w:outlineLvl w:val="1"/>
        <w:rPr>
          <w:rFonts w:ascii="宋体" w:hAnsi="宋体" w:eastAsia="宋体" w:cs="宋体"/>
          <w:b/>
          <w:bCs/>
          <w:color w:val="000000"/>
          <w:kern w:val="0"/>
          <w:sz w:val="32"/>
          <w:szCs w:val="32"/>
        </w:rPr>
      </w:pPr>
      <w:bookmarkStart w:id="52" w:name="_Toc279"/>
      <w:r>
        <w:rPr>
          <w:rFonts w:hint="eastAsia" w:ascii="宋体" w:hAnsi="宋体" w:eastAsia="宋体" w:cs="宋体"/>
          <w:b/>
          <w:bCs/>
          <w:color w:val="000000"/>
          <w:kern w:val="0"/>
          <w:sz w:val="32"/>
          <w:szCs w:val="32"/>
        </w:rPr>
        <w:t>项目管理制度</w:t>
      </w:r>
      <w:bookmarkEnd w:id="52"/>
    </w:p>
    <w:p>
      <w:pPr>
        <w:spacing w:line="560" w:lineRule="exact"/>
        <w:ind w:firstLine="643" w:firstLineChars="2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1.项目管理原则</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项目建设遵循实用和提质增效的原则，着重提升项目的实际效果，切实推动我县县域商业体系发展；秉承厉行节约、资源共享、避免重复建设的原则，优先支持对现有资源的整合改造和提升利用；遵循规范原则，加强监督检查和沟通指导，及时反馈，严格按照相关主管部门对项目建设和中央财政资金的使用规定开展项目建设工作。</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项目承办单位通过项目公开遴选确定，遵循公开透明、公平竞争、公正和诚实信用原则。依据实施方案及拟支持的项目清单建立“企业目录+项目清单”机制，分年度建立储备项目库，成熟一批，建设一批，避免“钱等项目”。</w:t>
      </w:r>
    </w:p>
    <w:p>
      <w:pPr>
        <w:spacing w:line="560" w:lineRule="exact"/>
        <w:ind w:firstLine="643" w:firstLineChars="200"/>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2.项目管理内容</w:t>
      </w:r>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为确保项目开展的进度和效果，依据项目管理的重点将项目管理分为进度管理、运行管理，成效管理。</w:t>
      </w:r>
    </w:p>
    <w:p>
      <w:pPr>
        <w:spacing w:line="560" w:lineRule="exact"/>
        <w:ind w:firstLine="643" w:firstLineChars="200"/>
        <w:rPr>
          <w:rFonts w:ascii="仿宋" w:hAnsi="仿宋" w:eastAsia="仿宋" w:cs="仿宋"/>
          <w:b/>
          <w:bCs/>
          <w:color w:val="000000"/>
          <w:kern w:val="0"/>
          <w:sz w:val="32"/>
          <w:szCs w:val="32"/>
        </w:rPr>
      </w:pPr>
      <w:bookmarkStart w:id="53" w:name="_Toc18984"/>
      <w:r>
        <w:rPr>
          <w:rFonts w:hint="eastAsia" w:ascii="仿宋" w:hAnsi="仿宋" w:eastAsia="仿宋" w:cs="仿宋"/>
          <w:b/>
          <w:bCs/>
          <w:color w:val="000000"/>
          <w:kern w:val="0"/>
          <w:sz w:val="32"/>
          <w:szCs w:val="32"/>
        </w:rPr>
        <w:t>（1）进度管理</w:t>
      </w:r>
      <w:bookmarkEnd w:id="53"/>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项目主管单位应严格对照承办企业提供的项目进度计划表，检查项目实际进度是否按计划要求进行；如在检查中发现项目建设出现偏差，要及时找出原因，责令承办企业采取必要的补救措施和调整，修改原计划，确保如期完成项目的建设；对于承办企业项目建设进度严重滞后，总体进度不足40%的，项目主管单位需及时下达通知书，责令承办企业限期整改。</w:t>
      </w:r>
    </w:p>
    <w:p>
      <w:pPr>
        <w:spacing w:line="560" w:lineRule="exact"/>
        <w:ind w:firstLine="643" w:firstLineChars="200"/>
        <w:rPr>
          <w:rFonts w:ascii="仿宋" w:hAnsi="仿宋" w:eastAsia="仿宋" w:cs="仿宋"/>
          <w:b/>
          <w:bCs/>
          <w:color w:val="000000"/>
          <w:kern w:val="0"/>
          <w:sz w:val="32"/>
          <w:szCs w:val="32"/>
        </w:rPr>
      </w:pPr>
      <w:bookmarkStart w:id="54" w:name="_Toc14911"/>
      <w:r>
        <w:rPr>
          <w:rFonts w:hint="eastAsia" w:ascii="仿宋" w:hAnsi="仿宋" w:eastAsia="仿宋" w:cs="仿宋"/>
          <w:b/>
          <w:bCs/>
          <w:color w:val="000000"/>
          <w:kern w:val="0"/>
          <w:sz w:val="32"/>
          <w:szCs w:val="32"/>
        </w:rPr>
        <w:t>（2）运行管理</w:t>
      </w:r>
      <w:bookmarkEnd w:id="54"/>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项目主管单位应定期走访承办企业，对企业的组织机制、人员管理、安全生产责任制等落实情况进行检查，如存在问题，应责令承办企业及时整改；对于发生较大生产事故或质量事故，给社会造成不良影响的承办企业，项目主管单位应会同相关职责部门追究承办企业责任，情节严重的取消承办企业资格。</w:t>
      </w:r>
    </w:p>
    <w:p>
      <w:pPr>
        <w:spacing w:line="560" w:lineRule="exact"/>
        <w:ind w:firstLine="643" w:firstLineChars="200"/>
        <w:rPr>
          <w:rFonts w:ascii="仿宋" w:hAnsi="仿宋" w:eastAsia="仿宋" w:cs="仿宋"/>
          <w:b/>
          <w:bCs/>
          <w:color w:val="000000"/>
          <w:kern w:val="0"/>
          <w:sz w:val="32"/>
          <w:szCs w:val="32"/>
        </w:rPr>
      </w:pPr>
      <w:bookmarkStart w:id="55" w:name="_Toc21510"/>
      <w:r>
        <w:rPr>
          <w:rFonts w:hint="eastAsia" w:ascii="仿宋" w:hAnsi="仿宋" w:eastAsia="仿宋" w:cs="仿宋"/>
          <w:b/>
          <w:bCs/>
          <w:color w:val="000000"/>
          <w:kern w:val="0"/>
          <w:sz w:val="32"/>
          <w:szCs w:val="32"/>
        </w:rPr>
        <w:t>（3）成效管理</w:t>
      </w:r>
      <w:bookmarkEnd w:id="55"/>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项目主管单位应严格按照相关文件要求，对照项目建设安排，测评承办企业的项目效果。</w:t>
      </w:r>
    </w:p>
    <w:p>
      <w:pPr>
        <w:spacing w:line="560" w:lineRule="exact"/>
        <w:ind w:firstLine="640" w:firstLineChars="200"/>
        <w:rPr>
          <w:rFonts w:ascii="仿宋_GB2312" w:hAnsi="仿宋_GB2312" w:eastAsia="仿宋_GB2312" w:cs="仿宋_GB2312"/>
          <w:color w:val="000000" w:themeColor="text1"/>
          <w:sz w:val="32"/>
          <w:szCs w:val="32"/>
        </w:rPr>
      </w:pPr>
      <w:r>
        <w:rPr>
          <w:rFonts w:hint="eastAsia" w:ascii="仿宋" w:hAnsi="仿宋" w:eastAsia="仿宋" w:cs="仿宋"/>
          <w:color w:val="000000"/>
          <w:kern w:val="0"/>
          <w:sz w:val="32"/>
          <w:szCs w:val="32"/>
        </w:rPr>
        <w:t>组织财政、乡村振兴、商务等部门成员组成的验收组，进行项目验收，验收合格后，县级财政按有关规定拨付资金；对尚未完全达到建设要求的承办项目，由项目主管单位督促承办企业加强建设力度，可适当延期验收；对明显达不到建设要求的承办项目，由项目主管单位督促承办企业限期整改，整改不到位或无整改的取消其承办资格，不予拨付有关扶持补助资金。</w:t>
      </w:r>
    </w:p>
    <w:p>
      <w:pPr>
        <w:widowControl/>
        <w:numPr>
          <w:ilvl w:val="0"/>
          <w:numId w:val="13"/>
        </w:numPr>
        <w:spacing w:line="560" w:lineRule="exact"/>
        <w:ind w:firstLine="643" w:firstLineChars="200"/>
        <w:jc w:val="left"/>
        <w:outlineLvl w:val="1"/>
        <w:rPr>
          <w:rFonts w:ascii="宋体" w:hAnsi="宋体" w:eastAsia="宋体" w:cs="宋体"/>
          <w:b/>
          <w:bCs/>
          <w:color w:val="000000"/>
          <w:kern w:val="0"/>
          <w:sz w:val="32"/>
          <w:szCs w:val="32"/>
        </w:rPr>
      </w:pPr>
      <w:bookmarkStart w:id="56" w:name="_Toc20723"/>
      <w:r>
        <w:rPr>
          <w:rFonts w:hint="eastAsia" w:ascii="宋体" w:hAnsi="宋体" w:eastAsia="宋体" w:cs="宋体"/>
          <w:b/>
          <w:bCs/>
          <w:color w:val="000000"/>
          <w:kern w:val="0"/>
          <w:sz w:val="32"/>
          <w:szCs w:val="32"/>
        </w:rPr>
        <w:t>资金管理制度</w:t>
      </w:r>
      <w:bookmarkEnd w:id="56"/>
    </w:p>
    <w:p>
      <w:pPr>
        <w:spacing w:line="560" w:lineRule="exact"/>
        <w:ind w:firstLine="640" w:firstLineChars="200"/>
        <w:rPr>
          <w:rFonts w:ascii="仿宋_GB2312" w:hAnsi="宋体" w:eastAsia="仿宋_GB2312" w:cs="仿宋_GB2312"/>
          <w:bCs/>
          <w:color w:val="000000" w:themeColor="text1"/>
          <w:sz w:val="32"/>
          <w:szCs w:val="32"/>
        </w:rPr>
      </w:pPr>
      <w:r>
        <w:rPr>
          <w:rFonts w:hint="eastAsia" w:ascii="仿宋_GB2312" w:hAnsi="宋体" w:eastAsia="仿宋_GB2312" w:cs="仿宋_GB2312"/>
          <w:bCs/>
          <w:color w:val="000000" w:themeColor="text1"/>
          <w:sz w:val="32"/>
          <w:szCs w:val="32"/>
        </w:rPr>
        <w:t>县域商业体系建设项目涉及使用的中央财政专项资金，专项用于开展连城县整县推进县域商业体系建设，资金拨付按照“先建后补”原则，由县级商务、财政、乡村振兴等主管部门联合验收后拨付，补贴的资金应符合县域商业体系建设的有关规定和支持标准的要求。专项资金的分配和使用情况向社会公开，接受纪检、审计和上级有关部门的专项检查，接受各级人大代表、政协委员等社会监督，确保资金使用规范、安全、有效。</w:t>
      </w:r>
    </w:p>
    <w:p>
      <w:pPr>
        <w:spacing w:line="560" w:lineRule="exact"/>
        <w:ind w:firstLine="643" w:firstLineChars="200"/>
        <w:rPr>
          <w:rFonts w:ascii="仿宋_GB2312" w:hAnsi="宋体" w:eastAsia="仿宋_GB2312" w:cs="仿宋_GB2312"/>
          <w:b/>
          <w:color w:val="000000" w:themeColor="text1"/>
          <w:sz w:val="32"/>
          <w:szCs w:val="32"/>
        </w:rPr>
      </w:pPr>
      <w:r>
        <w:rPr>
          <w:rFonts w:hint="eastAsia" w:ascii="仿宋_GB2312" w:hAnsi="宋体" w:eastAsia="仿宋_GB2312" w:cs="仿宋_GB2312"/>
          <w:b/>
          <w:color w:val="000000" w:themeColor="text1"/>
          <w:sz w:val="32"/>
          <w:szCs w:val="32"/>
        </w:rPr>
        <w:t>1.管理机构及其职责</w:t>
      </w:r>
    </w:p>
    <w:p>
      <w:pPr>
        <w:spacing w:line="560" w:lineRule="exact"/>
        <w:ind w:firstLine="640" w:firstLineChars="200"/>
        <w:rPr>
          <w:rFonts w:ascii="仿宋_GB2312" w:hAnsi="宋体" w:eastAsia="仿宋_GB2312" w:cs="仿宋_GB2312"/>
          <w:bCs/>
          <w:color w:val="000000" w:themeColor="text1"/>
          <w:sz w:val="32"/>
          <w:szCs w:val="32"/>
        </w:rPr>
      </w:pPr>
      <w:r>
        <w:rPr>
          <w:rFonts w:hint="eastAsia" w:ascii="仿宋_GB2312" w:hAnsi="宋体" w:eastAsia="仿宋_GB2312" w:cs="仿宋_GB2312"/>
          <w:bCs/>
          <w:color w:val="000000" w:themeColor="text1"/>
          <w:sz w:val="32"/>
          <w:szCs w:val="32"/>
        </w:rPr>
        <w:t>连城县政府成立连城县整县推进县域商业体系建设工作领导小组，县政府分管领导任组长，县商务、财政、乡村振兴等相关部门负责人为成员，领导小组下设办公室，办公室挂靠县商务局，县商务局局长兼任办公室主任，领导小组可根据资金支持使用方向，统筹年度项目资金使用计划，确保各项工作有序推进。</w:t>
      </w:r>
    </w:p>
    <w:p>
      <w:pPr>
        <w:spacing w:line="560" w:lineRule="exact"/>
        <w:ind w:firstLine="643" w:firstLineChars="200"/>
        <w:rPr>
          <w:rFonts w:ascii="仿宋_GB2312" w:hAnsi="宋体" w:eastAsia="仿宋_GB2312" w:cs="仿宋_GB2312"/>
          <w:b/>
          <w:color w:val="000000" w:themeColor="text1"/>
          <w:sz w:val="32"/>
          <w:szCs w:val="32"/>
        </w:rPr>
      </w:pPr>
      <w:r>
        <w:rPr>
          <w:rFonts w:hint="eastAsia" w:ascii="仿宋_GB2312" w:hAnsi="宋体" w:eastAsia="仿宋_GB2312" w:cs="仿宋_GB2312"/>
          <w:b/>
          <w:color w:val="000000" w:themeColor="text1"/>
          <w:sz w:val="32"/>
          <w:szCs w:val="32"/>
        </w:rPr>
        <w:t>2.资金支持范围与标准</w:t>
      </w:r>
    </w:p>
    <w:p>
      <w:pPr>
        <w:spacing w:line="560" w:lineRule="exact"/>
        <w:ind w:firstLine="640" w:firstLineChars="200"/>
        <w:rPr>
          <w:rFonts w:ascii="仿宋_GB2312" w:hAnsi="宋体" w:eastAsia="仿宋_GB2312" w:cs="仿宋_GB2312"/>
          <w:bCs/>
          <w:color w:val="000000" w:themeColor="text1"/>
          <w:sz w:val="32"/>
          <w:szCs w:val="32"/>
        </w:rPr>
      </w:pPr>
      <w:r>
        <w:rPr>
          <w:rFonts w:hint="eastAsia" w:ascii="仿宋_GB2312" w:hAnsi="宋体" w:eastAsia="仿宋_GB2312" w:cs="仿宋_GB2312"/>
          <w:bCs/>
          <w:color w:val="000000" w:themeColor="text1"/>
          <w:sz w:val="32"/>
          <w:szCs w:val="32"/>
        </w:rPr>
        <w:t>专项资金支持范围和标准以县域商业体系建设项目有关规定、《商务部等15部门办公厅（室）关于印发《县域商业建设指南》的通知》（商办流通函〔2021〕322号）、《福建省商务厅 福建省财政厅 福建省乡村振兴局关于实施县域商业建设行动的通知》（闽商务〔2022〕37号）、《福建省商务厅 福建省财政厅 福建省乡村振兴局关于做好县域商业补助资金申报工作的通知》（闽商务〔2022〕105号）和上级主管部门下发相关规定、实施方案等要求和规定为准。</w:t>
      </w:r>
    </w:p>
    <w:p>
      <w:pPr>
        <w:spacing w:line="560" w:lineRule="exact"/>
        <w:ind w:left="840"/>
        <w:rPr>
          <w:rFonts w:ascii="仿宋" w:hAnsi="仿宋" w:eastAsia="仿宋" w:cs="仿宋"/>
          <w:b/>
          <w:color w:val="000000" w:themeColor="text1"/>
          <w:sz w:val="32"/>
          <w:szCs w:val="32"/>
        </w:rPr>
      </w:pPr>
      <w:r>
        <w:rPr>
          <w:rFonts w:hint="eastAsia" w:ascii="仿宋_GB2312" w:hAnsi="宋体" w:eastAsia="仿宋_GB2312" w:cs="仿宋_GB2312"/>
          <w:b/>
          <w:color w:val="000000" w:themeColor="text1"/>
          <w:sz w:val="32"/>
          <w:szCs w:val="32"/>
        </w:rPr>
        <w:t>3.资金的使用和拨付</w:t>
      </w:r>
    </w:p>
    <w:p>
      <w:pPr>
        <w:spacing w:line="560" w:lineRule="exact"/>
        <w:ind w:firstLine="640" w:firstLineChars="200"/>
        <w:rPr>
          <w:rFonts w:ascii="仿宋_GB2312" w:hAnsi="宋体" w:eastAsia="仿宋_GB2312" w:cs="仿宋_GB2312"/>
          <w:bCs/>
          <w:color w:val="000000" w:themeColor="text1"/>
          <w:sz w:val="32"/>
          <w:szCs w:val="32"/>
        </w:rPr>
      </w:pPr>
      <w:r>
        <w:rPr>
          <w:rFonts w:hint="eastAsia" w:ascii="仿宋" w:hAnsi="仿宋" w:eastAsia="仿宋" w:cs="仿宋"/>
          <w:color w:val="000000" w:themeColor="text1"/>
          <w:sz w:val="32"/>
          <w:szCs w:val="32"/>
        </w:rPr>
        <w:t>按照“先建后补”的原则，对以下类型（包括但不限于</w:t>
      </w:r>
      <w:r>
        <w:rPr>
          <w:rFonts w:hint="eastAsia" w:ascii="仿宋_GB2312" w:hAnsi="仿宋_GB2312" w:eastAsia="仿宋_GB2312" w:cs="仿宋_GB2312"/>
          <w:color w:val="000000" w:themeColor="text1"/>
          <w:sz w:val="32"/>
          <w:szCs w:val="32"/>
        </w:rPr>
        <w:t>县域商业网点、县域物流网络、县域流通网络、县域产业发展</w:t>
      </w:r>
      <w:r>
        <w:rPr>
          <w:rFonts w:hint="eastAsia" w:ascii="仿宋" w:hAnsi="仿宋" w:eastAsia="仿宋" w:cs="仿宋"/>
          <w:color w:val="000000" w:themeColor="text1"/>
          <w:sz w:val="32"/>
          <w:szCs w:val="32"/>
        </w:rPr>
        <w:t>）由企业作为责任主体、市场化运营满6个月的项目，经认定后给予企业不超过年度实际投入（不含税）50%的补助（运营未满6个月的新建项目，在下一年度补助；改造提升类项目按新增项目投入补助）。项目实际投入不含不动产购置、租赁费用，以及人员经费、水电费等经常性开支，实际投入金额由第三方专业机构审核认定。</w:t>
      </w:r>
      <w:r>
        <w:rPr>
          <w:rFonts w:hint="eastAsia" w:ascii="仿宋_GB2312" w:hAnsi="宋体" w:eastAsia="仿宋_GB2312" w:cs="仿宋_GB2312"/>
          <w:bCs/>
          <w:color w:val="000000" w:themeColor="text1"/>
          <w:sz w:val="32"/>
          <w:szCs w:val="32"/>
        </w:rPr>
        <w:t>审核认定后报连城县整县推进县域商业体系建设工作领导小组办公室审批，</w:t>
      </w:r>
      <w:r>
        <w:rPr>
          <w:rFonts w:hint="eastAsia" w:ascii="仿宋" w:hAnsi="仿宋" w:eastAsia="仿宋" w:cs="仿宋"/>
          <w:color w:val="000000" w:themeColor="text1"/>
          <w:sz w:val="32"/>
          <w:szCs w:val="32"/>
        </w:rPr>
        <w:t>在</w:t>
      </w:r>
      <w:r>
        <w:rPr>
          <w:rFonts w:hint="eastAsia" w:ascii="仿宋" w:hAnsi="仿宋" w:eastAsia="仿宋" w:cs="仿宋"/>
          <w:sz w:val="32"/>
          <w:szCs w:val="32"/>
        </w:rPr>
        <w:t>连城县商务局官网公众号</w:t>
      </w:r>
      <w:r>
        <w:rPr>
          <w:rFonts w:hint="eastAsia" w:ascii="仿宋" w:hAnsi="仿宋" w:eastAsia="仿宋" w:cs="仿宋"/>
          <w:color w:val="000000" w:themeColor="text1"/>
          <w:sz w:val="32"/>
          <w:szCs w:val="32"/>
        </w:rPr>
        <w:t>公示5个工作日，公示无异议后，按相关程序拨付相应项目资金。</w:t>
      </w:r>
    </w:p>
    <w:p>
      <w:pPr>
        <w:spacing w:line="560" w:lineRule="exact"/>
        <w:ind w:firstLine="643" w:firstLineChars="200"/>
        <w:rPr>
          <w:rFonts w:ascii="仿宋_GB2312" w:hAnsi="宋体" w:eastAsia="仿宋_GB2312" w:cs="仿宋_GB2312"/>
          <w:b/>
          <w:color w:val="000000" w:themeColor="text1"/>
          <w:sz w:val="32"/>
          <w:szCs w:val="32"/>
        </w:rPr>
      </w:pPr>
      <w:r>
        <w:rPr>
          <w:rFonts w:hint="eastAsia" w:ascii="仿宋_GB2312" w:hAnsi="宋体" w:eastAsia="仿宋_GB2312" w:cs="仿宋_GB2312"/>
          <w:b/>
          <w:color w:val="000000" w:themeColor="text1"/>
          <w:sz w:val="32"/>
          <w:szCs w:val="32"/>
        </w:rPr>
        <w:t>4</w:t>
      </w:r>
      <w:r>
        <w:rPr>
          <w:rFonts w:hint="eastAsia" w:ascii="仿宋_GB2312" w:hAnsi="宋体" w:eastAsia="仿宋_GB2312" w:cs="仿宋_GB2312"/>
          <w:b/>
          <w:color w:val="000000" w:themeColor="text1"/>
          <w:sz w:val="32"/>
          <w:szCs w:val="32"/>
          <w:lang w:val="en-US" w:eastAsia="zh-CN"/>
        </w:rPr>
        <w:t>.</w:t>
      </w:r>
      <w:r>
        <w:rPr>
          <w:rFonts w:hint="eastAsia" w:ascii="仿宋_GB2312" w:hAnsi="宋体" w:eastAsia="仿宋_GB2312" w:cs="仿宋_GB2312"/>
          <w:b/>
          <w:color w:val="000000" w:themeColor="text1"/>
          <w:sz w:val="32"/>
          <w:szCs w:val="32"/>
        </w:rPr>
        <w:t>专项资金的管理与监督</w:t>
      </w:r>
    </w:p>
    <w:p>
      <w:pPr>
        <w:spacing w:line="560" w:lineRule="exact"/>
        <w:ind w:firstLine="640" w:firstLineChars="200"/>
        <w:rPr>
          <w:color w:val="000000" w:themeColor="text1"/>
        </w:rPr>
      </w:pPr>
      <w:r>
        <w:rPr>
          <w:rFonts w:hint="eastAsia" w:ascii="仿宋" w:hAnsi="仿宋" w:eastAsia="仿宋" w:cs="仿宋"/>
          <w:color w:val="000000" w:themeColor="text1"/>
          <w:sz w:val="32"/>
          <w:szCs w:val="32"/>
        </w:rPr>
        <w:t>县领导小组办公室及时指导和协调解决项目实施中遇到的困难和问题，确保资金安全、方案落地、项目落实、群众受益。提供连城县县域商业体系建设工作领导小组的举报监督电话，主动接受社会监督。国家机关及单位工作人员在项目建设、专项资金使用、拨付、管理与监督过程中滥用职权、玩忽职守、徇私舞弊、索贿受贿的，依法依纪追究其相应责任。</w:t>
      </w:r>
    </w:p>
    <w:p>
      <w:pPr>
        <w:widowControl/>
        <w:numPr>
          <w:ilvl w:val="0"/>
          <w:numId w:val="13"/>
        </w:numPr>
        <w:spacing w:line="560" w:lineRule="exact"/>
        <w:ind w:firstLine="643" w:firstLineChars="200"/>
        <w:jc w:val="left"/>
        <w:outlineLvl w:val="1"/>
        <w:rPr>
          <w:rFonts w:ascii="宋体" w:hAnsi="宋体" w:eastAsia="宋体" w:cs="宋体"/>
          <w:b/>
          <w:bCs/>
          <w:color w:val="000000"/>
          <w:kern w:val="0"/>
          <w:sz w:val="32"/>
          <w:szCs w:val="32"/>
        </w:rPr>
      </w:pPr>
      <w:bookmarkStart w:id="57" w:name="_Toc16596"/>
      <w:r>
        <w:rPr>
          <w:rFonts w:hint="eastAsia" w:ascii="宋体" w:hAnsi="宋体" w:eastAsia="宋体" w:cs="宋体"/>
          <w:b/>
          <w:bCs/>
          <w:color w:val="000000"/>
          <w:kern w:val="0"/>
          <w:sz w:val="32"/>
          <w:szCs w:val="32"/>
        </w:rPr>
        <w:t>日常监督机制</w:t>
      </w:r>
      <w:bookmarkEnd w:id="57"/>
    </w:p>
    <w:p>
      <w:pPr>
        <w:pStyle w:val="17"/>
        <w:spacing w:beforeAutospacing="0" w:afterAutospacing="0" w:line="560" w:lineRule="exact"/>
        <w:ind w:firstLine="640" w:firstLineChars="200"/>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1.</w:t>
      </w:r>
      <w:r>
        <w:rPr>
          <w:rFonts w:hint="eastAsia" w:ascii="仿宋_GB2312" w:hAnsi="仿宋_GB2312" w:eastAsia="仿宋_GB2312" w:cs="仿宋_GB2312"/>
          <w:color w:val="000000" w:themeColor="text1"/>
          <w:sz w:val="32"/>
          <w:szCs w:val="32"/>
        </w:rPr>
        <w:t>项目承办企业要按要求定期给县商务局上报项目进展情况并形成书面材料。承办企业上报的工作总结及项目进度等相关材料作为县域商业体系项目监督检查的重要依据。</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2.</w:t>
      </w:r>
      <w:r>
        <w:rPr>
          <w:rFonts w:hint="eastAsia" w:ascii="仿宋_GB2312" w:hAnsi="仿宋_GB2312" w:eastAsia="仿宋_GB2312" w:cs="仿宋_GB2312"/>
          <w:color w:val="000000" w:themeColor="text1"/>
          <w:sz w:val="32"/>
          <w:szCs w:val="32"/>
        </w:rPr>
        <w:t>成立监督检查小组。为确保项目监督检查顺利进行，由连城县整县推进县域商业体系建设领导小组办公室成员及相关部门组成监督检查小组，会同第三方机构对项目的相关工作进行日常监督检查，具体由连城县商务局牵头负责。</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3.</w:t>
      </w:r>
      <w:r>
        <w:rPr>
          <w:rFonts w:hint="eastAsia" w:ascii="仿宋_GB2312" w:hAnsi="仿宋_GB2312" w:eastAsia="仿宋_GB2312" w:cs="仿宋_GB2312"/>
          <w:color w:val="000000" w:themeColor="text1"/>
          <w:sz w:val="32"/>
          <w:szCs w:val="32"/>
        </w:rPr>
        <w:t>日常监督检查以实地检查、抽查为主，不走过场，避免盲区死角，并由连城县整县推进县域商业体系领导小组办公室出具《督办函》，对检查中发现的问题不遮不掩、明确指出，限时整改、跟踪督导，日常监管结果作为项目资金阶段性拨付主要依据。承办企业必须针对监督检查过程中发现的问题及时予以纠正，多次存在问题且未及时整改的，视情况取消承办资格。</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lang w:val="en-US" w:eastAsia="zh-CN"/>
        </w:rPr>
        <w:t>4.</w:t>
      </w:r>
      <w:r>
        <w:rPr>
          <w:rFonts w:hint="eastAsia" w:ascii="仿宋_GB2312" w:hAnsi="仿宋_GB2312" w:eastAsia="仿宋_GB2312" w:cs="仿宋_GB2312"/>
          <w:color w:val="000000" w:themeColor="text1"/>
          <w:sz w:val="32"/>
          <w:szCs w:val="32"/>
        </w:rPr>
        <w:t>日常监管要结合本地实际，严格落实县域商业体系建设工作方案；坚决避免对发现的问题放一马和整改不到位；避免设备闲置、挪用、数据弄虚作假等项目未发挥实效问题；力争通过日常监管，压实工作作风，从实际出发，建立项目可持续运营的长效机制，提高示范项目建设成效，提升县域商业体系公共服务水平，确保群众得到实惠。</w:t>
      </w:r>
    </w:p>
    <w:p>
      <w:pPr>
        <w:widowControl/>
        <w:numPr>
          <w:ilvl w:val="0"/>
          <w:numId w:val="13"/>
        </w:numPr>
        <w:spacing w:line="560" w:lineRule="exact"/>
        <w:ind w:firstLine="643" w:firstLineChars="200"/>
        <w:jc w:val="left"/>
        <w:outlineLvl w:val="1"/>
        <w:rPr>
          <w:rFonts w:ascii="宋体" w:hAnsi="宋体" w:eastAsia="宋体" w:cs="宋体"/>
          <w:b/>
          <w:bCs/>
          <w:color w:val="000000"/>
          <w:kern w:val="0"/>
          <w:sz w:val="32"/>
          <w:szCs w:val="32"/>
        </w:rPr>
      </w:pPr>
      <w:bookmarkStart w:id="58" w:name="_Toc14277"/>
      <w:r>
        <w:rPr>
          <w:rFonts w:hint="eastAsia" w:ascii="宋体" w:hAnsi="宋体" w:eastAsia="宋体" w:cs="宋体"/>
          <w:b/>
          <w:bCs/>
          <w:color w:val="000000"/>
          <w:kern w:val="0"/>
          <w:sz w:val="32"/>
          <w:szCs w:val="32"/>
        </w:rPr>
        <w:t>信息公开机制</w:t>
      </w:r>
      <w:bookmarkEnd w:id="58"/>
    </w:p>
    <w:p>
      <w:pPr>
        <w:pStyle w:val="17"/>
        <w:spacing w:beforeAutospacing="0" w:afterAutospacing="0" w:line="560" w:lineRule="exact"/>
        <w:ind w:firstLine="643" w:firstLineChars="200"/>
        <w:rPr>
          <w:rFonts w:hint="eastAsia" w:ascii="仿宋_GB2312" w:hAnsi="仿宋_GB2312" w:eastAsia="仿宋_GB2312" w:cs="仿宋_GB2312"/>
          <w:b/>
          <w:bCs/>
          <w:color w:val="000000" w:themeColor="text1"/>
          <w:sz w:val="32"/>
          <w:szCs w:val="32"/>
          <w:lang w:val="en-US" w:eastAsia="zh-CN"/>
        </w:rPr>
      </w:pPr>
      <w:r>
        <w:rPr>
          <w:rFonts w:hint="eastAsia" w:ascii="仿宋_GB2312" w:hAnsi="仿宋_GB2312" w:eastAsia="仿宋_GB2312" w:cs="仿宋_GB2312"/>
          <w:b/>
          <w:bCs/>
          <w:color w:val="000000" w:themeColor="text1"/>
          <w:sz w:val="32"/>
          <w:szCs w:val="32"/>
          <w:lang w:val="en-US" w:eastAsia="zh-CN"/>
        </w:rPr>
        <w:t>1.信息公开</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根据《中华人民共和国政府信息公开条例》有关要求，按照公正、公平、便民的原则，全面、及时、准确、集中公开项目决策过程，接受社会监督。</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（1）公开项目实施方案和资金管理方案等项目相关制度。方案要明确各类项目建设内容、建设标准、功能要求、完成时限和预算金额等。</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（2）公开遴选项目承办企业。根据《中华人民共和国政府采购法》等法律法规及政府采购的有关要求，</w:t>
      </w:r>
      <w:r>
        <w:rPr>
          <w:rFonts w:hint="eastAsia" w:ascii="仿宋_GB2312" w:hAnsi="仿宋_GB2312" w:eastAsia="仿宋_GB2312" w:cs="仿宋_GB2312"/>
          <w:bCs/>
          <w:color w:val="000000" w:themeColor="text1"/>
          <w:sz w:val="32"/>
          <w:szCs w:val="32"/>
        </w:rPr>
        <w:t>明确凡是接受中央财政奖补的企业，须按要求填报</w:t>
      </w:r>
      <w:r>
        <w:rPr>
          <w:rFonts w:hint="eastAsia" w:ascii="仿宋_GB2312" w:hAnsi="仿宋_GB2312" w:eastAsia="仿宋_GB2312" w:cs="仿宋_GB2312"/>
          <w:color w:val="000000" w:themeColor="text1"/>
          <w:sz w:val="32"/>
          <w:szCs w:val="32"/>
        </w:rPr>
        <w:t>奖补项目名称、建设类型、责任主体（企业）、计划投资额、拟支持金额、建设内容、建设周期、实现功能、责任单位（政府部门）。项目承办单位的遴选，应符合国家及省相关文件规定的项目实施主体的基本条件，</w:t>
      </w:r>
      <w:r>
        <w:rPr>
          <w:rFonts w:hint="eastAsia" w:ascii="仿宋_GB2312" w:hAnsi="仿宋_GB2312" w:eastAsia="仿宋_GB2312" w:cs="仿宋_GB2312"/>
          <w:bCs/>
          <w:color w:val="000000" w:themeColor="text1"/>
          <w:sz w:val="32"/>
          <w:szCs w:val="32"/>
        </w:rPr>
        <w:t>各级主管部门依法保护信息安全。</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（3）公开</w:t>
      </w:r>
      <w:r>
        <w:rPr>
          <w:rFonts w:hint="eastAsia" w:ascii="仿宋_GB2312" w:hAnsi="仿宋_GB2312" w:eastAsia="仿宋_GB2312" w:cs="仿宋_GB2312"/>
          <w:bCs/>
          <w:color w:val="000000" w:themeColor="text1"/>
          <w:sz w:val="32"/>
          <w:szCs w:val="32"/>
        </w:rPr>
        <w:t>项目进度、资金使用、绩效指标</w:t>
      </w:r>
      <w:r>
        <w:rPr>
          <w:rFonts w:hint="eastAsia" w:ascii="仿宋_GB2312" w:hAnsi="仿宋_GB2312" w:eastAsia="仿宋_GB2312" w:cs="仿宋_GB2312"/>
          <w:color w:val="000000" w:themeColor="text1"/>
          <w:sz w:val="32"/>
          <w:szCs w:val="32"/>
        </w:rPr>
        <w:t>。采购人应明确各类项目验收办法、补贴标准和绩效指标，要根据民法典有关要求，按照平等、自愿的原则，以合同的方式约定采购人和供应商之间的权利和义务，对承办单位所承担的项目组织相关部门，按国家、省、市确定的绩效评价指标及实施方案具体要求，可分期分批进行验收，作出“合格”或“不合格”的验收结论。验收合格项目在政府网站公示无异议后，及时拨付项目资金，建设项目整体验收合格后，按合同约定拨付项目全部资金，提高中央财政资金执行率。</w:t>
      </w:r>
    </w:p>
    <w:p>
      <w:pPr>
        <w:pStyle w:val="17"/>
        <w:spacing w:beforeAutospacing="0" w:afterAutospacing="0" w:line="560" w:lineRule="exact"/>
        <w:ind w:firstLine="643" w:firstLineChars="200"/>
        <w:rPr>
          <w:rFonts w:hint="eastAsia" w:ascii="仿宋_GB2312" w:hAnsi="仿宋_GB2312" w:eastAsia="仿宋_GB2312" w:cs="仿宋_GB2312"/>
          <w:b/>
          <w:bCs/>
          <w:color w:val="000000" w:themeColor="text1"/>
          <w:sz w:val="32"/>
          <w:szCs w:val="32"/>
          <w:lang w:val="en-US" w:eastAsia="zh-CN"/>
        </w:rPr>
      </w:pPr>
      <w:bookmarkStart w:id="59" w:name="_Toc20337"/>
      <w:r>
        <w:rPr>
          <w:rFonts w:hint="eastAsia" w:ascii="仿宋_GB2312" w:hAnsi="仿宋_GB2312" w:eastAsia="仿宋_GB2312" w:cs="仿宋_GB2312"/>
          <w:b/>
          <w:bCs/>
          <w:color w:val="000000" w:themeColor="text1"/>
          <w:sz w:val="32"/>
          <w:szCs w:val="32"/>
          <w:lang w:val="en-US" w:eastAsia="zh-CN"/>
        </w:rPr>
        <w:t>2.信息报送</w:t>
      </w:r>
      <w:bookmarkEnd w:id="59"/>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县域商业体系建设相关数据信息的收集、整理、分析、应用，是项目建设的一项重要内容。项目承办单位要按时填报项目进展、资金拨付、扶贫信息以及项目绩效自评结果等情况。</w:t>
      </w:r>
    </w:p>
    <w:p>
      <w:pPr>
        <w:pStyle w:val="17"/>
        <w:spacing w:beforeAutospacing="0" w:afterAutospacing="0"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（1）凡接受财政补贴的项目必须按要求提供交易和活动信息，同时依法保护项目承办单位信息安全。</w:t>
      </w:r>
    </w:p>
    <w:p>
      <w:pPr>
        <w:pStyle w:val="17"/>
        <w:spacing w:beforeAutospacing="0" w:afterAutospacing="0" w:line="560" w:lineRule="exact"/>
        <w:ind w:firstLine="640" w:firstLineChars="200"/>
        <w:rPr>
          <w:rFonts w:ascii="仿宋" w:hAnsi="仿宋" w:eastAsia="仿宋" w:cs="仿宋"/>
          <w:color w:val="000000" w:themeColor="text1"/>
          <w:sz w:val="32"/>
          <w:szCs w:val="32"/>
        </w:rPr>
      </w:pPr>
      <w:r>
        <w:rPr>
          <w:rFonts w:hint="eastAsia" w:ascii="仿宋_GB2312" w:hAnsi="仿宋_GB2312" w:eastAsia="仿宋_GB2312" w:cs="仿宋_GB2312"/>
          <w:color w:val="000000" w:themeColor="text1"/>
          <w:sz w:val="32"/>
          <w:szCs w:val="32"/>
        </w:rPr>
        <w:t>（2）采取多种方式，建立开放透明、共享的电子商务大数据统计分析系统，加强大数据技术应用，动态分析农村和农产品市场变化，满足消费者差异化需求。</w:t>
      </w:r>
    </w:p>
    <w:p>
      <w:r>
        <w:rPr>
          <w:rFonts w:hint="eastAsia"/>
        </w:rPr>
        <w:br w:type="page"/>
      </w:r>
    </w:p>
    <w:p/>
    <w:p>
      <w:pPr>
        <w:spacing w:line="560" w:lineRule="exact"/>
        <w:ind w:firstLine="643" w:firstLineChars="200"/>
        <w:outlineLvl w:val="0"/>
        <w:rPr>
          <w:rFonts w:ascii="宋体" w:hAnsi="宋体" w:eastAsia="宋体" w:cs="宋体"/>
          <w:b/>
          <w:bCs/>
          <w:color w:val="000000" w:themeColor="text1"/>
          <w:sz w:val="32"/>
          <w:szCs w:val="32"/>
        </w:rPr>
      </w:pPr>
      <w:bookmarkStart w:id="60" w:name="_Toc4202"/>
      <w:r>
        <w:rPr>
          <w:rFonts w:hint="eastAsia" w:ascii="宋体" w:hAnsi="宋体" w:eastAsia="宋体" w:cs="宋体"/>
          <w:b/>
          <w:bCs/>
          <w:color w:val="000000" w:themeColor="text1"/>
          <w:sz w:val="32"/>
          <w:szCs w:val="32"/>
        </w:rPr>
        <w:t>附件1：连城县县域商业建设行动摸底情况、总体目标及年度分解任务表</w:t>
      </w:r>
      <w:bookmarkEnd w:id="60"/>
    </w:p>
    <w:tbl>
      <w:tblPr>
        <w:tblStyle w:val="19"/>
        <w:tblW w:w="88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4"/>
        <w:gridCol w:w="3534"/>
        <w:gridCol w:w="855"/>
        <w:gridCol w:w="825"/>
        <w:gridCol w:w="780"/>
        <w:gridCol w:w="690"/>
        <w:gridCol w:w="638"/>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853"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附表1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853"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县域商业建设行动摸底情况、总体目标及年度分解任务表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设区市：龙岩市</w:t>
            </w:r>
          </w:p>
        </w:tc>
        <w:tc>
          <w:tcPr>
            <w:tcW w:w="378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乡镇总数（不包括街道）：</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12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县（市、区）：连城县</w:t>
            </w:r>
          </w:p>
        </w:tc>
        <w:tc>
          <w:tcPr>
            <w:tcW w:w="378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建制村总数：</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2021年</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底数</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2022年</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2023年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2024年</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2025年</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2025年</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约束性</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基本型以上县城综合商贸服务中心数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增强型以上县城综合商贸服务中心数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提升型　县城综合商贸服务中心数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基本型以上乡镇商贸中心数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增强型以上乡镇商贸中心数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提升型　乡镇商贸中心数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拥有基本型以上商贸中心的乡镇数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拥有增强型以上商贸中心的乡镇数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　提升型　商贸中心的乡镇数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基本型以上乡镇商贸中心覆盖率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增强型以上乡镇商贸中心覆盖率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提升型乡镇商贸中心覆盖率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基本型以上村级便民商店数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≥建制村总数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增强型以上村级便民商店数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提升型　村级便民商店数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拥有基本型以上便民商店的建制村数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225</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＝建制村总数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拥有增强型以上便民商店的建制村数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　提升型　便民商店的建制村数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基本型以上村级便民商店覆盖率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增强型以上村级便民商店覆盖率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提升型　村级便民商店覆盖率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bookmarkStart w:id="62" w:name="_GoBack"/>
            <w:bookmarkEnd w:id="62"/>
            <w:r>
              <w:rPr>
                <w:rFonts w:hint="eastAsia" w:ascii="宋体" w:hAnsi="宋体" w:eastAsia="宋体" w:cs="宋体"/>
                <w:i w:val="0"/>
                <w:iCs w:val="0"/>
                <w:color w:val="000000"/>
                <w:kern w:val="0"/>
                <w:sz w:val="20"/>
                <w:szCs w:val="20"/>
                <w:u w:val="none"/>
                <w:lang w:val="en-US" w:eastAsia="zh-CN" w:bidi="ar"/>
              </w:rPr>
              <w:t>6-1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基本型以上县级物流配送中心数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增强型以上县级物流配送中心数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提升型　县级物流配送中心数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乡镇快递物流服务站点数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拥有快递物流服务站点的乡镇数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＝乡镇总数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乡镇快递物流服务站点覆盖率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353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村级快递物流服务站点数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≥建制村总数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353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拥有快递物流服务站点的建制村数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＝建制村总数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建制村快递物流服务站点覆盖率</w:t>
            </w:r>
            <w:r>
              <w:rPr>
                <w:rFonts w:hint="eastAsia" w:ascii="宋体" w:hAnsi="宋体" w:eastAsia="宋体" w:cs="宋体"/>
                <w:i w:val="0"/>
                <w:iCs w:val="0"/>
                <w:color w:val="000000"/>
                <w:kern w:val="0"/>
                <w:sz w:val="18"/>
                <w:szCs w:val="18"/>
                <w:u w:val="none"/>
                <w:lang w:val="en-US" w:eastAsia="zh-CN" w:bidi="ar"/>
              </w:rPr>
              <w:t>（自动计算）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353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县域物流共同配送率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（主要快递企业市场化合作开展共同配送，统一分拣、配送的快递单量占比）</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353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达到的县域商业建设标准</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（未达基本型、基本型、增强型、提升型）</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未达基本型</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未达基本型</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未达基本型</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未达基本型</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基本型</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基本型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建设改造冷链设施项目数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建设改造农贸（集贸、批发）市场数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建设改造产品商品化处理设施项目数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县域社会消费品零售额</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135.8亿元</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145.3亿元</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157.9亿元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173.2亿元</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191.7亿元</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县域社会消费品零售额年均增速</w:t>
            </w:r>
            <w:r>
              <w:rPr>
                <w:rFonts w:hint="eastAsia" w:ascii="宋体" w:hAnsi="宋体" w:eastAsia="宋体" w:cs="宋体"/>
                <w:i w:val="0"/>
                <w:iCs w:val="0"/>
                <w:color w:val="000000"/>
                <w:kern w:val="0"/>
                <w:sz w:val="18"/>
                <w:szCs w:val="18"/>
                <w:u w:val="none"/>
                <w:lang w:val="en-US" w:eastAsia="zh-CN" w:bidi="ar"/>
              </w:rPr>
              <w:t>（2021年起）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县域农产品网络零售额</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1.36亿元</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1.43亿元</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1.51亿元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1.63亿元</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1.82亿元</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35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县域农产品网络零售额年均增速</w:t>
            </w:r>
            <w:r>
              <w:rPr>
                <w:rFonts w:hint="eastAsia" w:ascii="宋体" w:hAnsi="宋体" w:eastAsia="宋体" w:cs="宋体"/>
                <w:i w:val="0"/>
                <w:iCs w:val="0"/>
                <w:color w:val="000000"/>
                <w:kern w:val="0"/>
                <w:sz w:val="18"/>
                <w:szCs w:val="18"/>
                <w:u w:val="none"/>
                <w:lang w:val="en-US" w:eastAsia="zh-CN" w:bidi="ar"/>
              </w:rPr>
              <w:t>（2021年起）</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6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0" w:hRule="atLeast"/>
        </w:trPr>
        <w:tc>
          <w:tcPr>
            <w:tcW w:w="8853"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※县域商业建设标准划分说明：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①基本型要求其他所有约束性目标满足条件；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②增强型要求达到基本型标准且增强型以上县城综合商贸服务中心数≥1、增强型以上乡镇商贸中心覆盖率≥30%、增强型以上村级便民商店覆盖率≥30%、增强型以上县级物流配送中心数≥1；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③提升型要求达到增强型标准且提升型县城综合商贸服务中心数≥1、提升型乡镇商贸中心覆盖率≥30%、提升型村级便民商店覆盖率≥30%、提升型县级物流配送中心数≥1。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注：所有县（含县级市、符合条件的市辖区）都须填报2021年底数。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有意愿实施县域商业建设行动的县（含县级市、符合条件的市辖区）应填报2022—2025年度分解目标任务。</w:t>
            </w:r>
          </w:p>
        </w:tc>
      </w:tr>
    </w:tbl>
    <w:p>
      <w:r>
        <w:br w:type="page"/>
      </w:r>
    </w:p>
    <w:p>
      <w:pPr>
        <w:pStyle w:val="2"/>
        <w:numPr>
          <w:ilvl w:val="0"/>
          <w:numId w:val="14"/>
        </w:numPr>
        <w:ind w:left="0" w:firstLine="960" w:firstLineChars="300"/>
        <w:rPr>
          <w:rFonts w:hint="default" w:ascii="Times New Roman" w:hAnsi="Times New Roman" w:eastAsia="仿宋_GB2312"/>
          <w:b w:val="0"/>
          <w:bCs w:val="0"/>
          <w:color w:val="000000" w:themeColor="text1"/>
          <w:sz w:val="32"/>
          <w:szCs w:val="32"/>
        </w:rPr>
        <w:sectPr>
          <w:pgSz w:w="11906" w:h="16838"/>
          <w:pgMar w:top="1440" w:right="1803" w:bottom="1440" w:left="1803" w:header="851" w:footer="992" w:gutter="0"/>
          <w:cols w:space="0" w:num="1"/>
          <w:docGrid w:type="lines" w:linePitch="319" w:charSpace="0"/>
        </w:sectPr>
      </w:pPr>
    </w:p>
    <w:p>
      <w:pPr>
        <w:spacing w:line="560" w:lineRule="exact"/>
        <w:ind w:firstLine="640" w:firstLineChars="200"/>
        <w:outlineLvl w:val="0"/>
        <w:rPr>
          <w:rFonts w:ascii="宋体" w:hAnsi="宋体" w:eastAsia="宋体" w:cs="宋体"/>
          <w:color w:val="000000" w:themeColor="text1"/>
          <w:sz w:val="32"/>
          <w:szCs w:val="32"/>
        </w:rPr>
      </w:pPr>
      <w:bookmarkStart w:id="61" w:name="_Toc6873"/>
      <w:r>
        <w:rPr>
          <w:rFonts w:hint="eastAsia" w:ascii="宋体" w:hAnsi="宋体" w:eastAsia="宋体" w:cs="宋体"/>
          <w:color w:val="000000" w:themeColor="text1"/>
          <w:sz w:val="32"/>
          <w:szCs w:val="32"/>
        </w:rPr>
        <w:t>附件2：2022年连城县县域商业建设项目清单</w:t>
      </w:r>
      <w:bookmarkEnd w:id="61"/>
    </w:p>
    <w:p/>
    <w:tbl>
      <w:tblPr>
        <w:tblStyle w:val="19"/>
        <w:tblW w:w="4999" w:type="pct"/>
        <w:tblInd w:w="0" w:type="dxa"/>
        <w:tblLayout w:type="fixed"/>
        <w:tblCellMar>
          <w:top w:w="0" w:type="dxa"/>
          <w:left w:w="108" w:type="dxa"/>
          <w:bottom w:w="0" w:type="dxa"/>
          <w:right w:w="108" w:type="dxa"/>
        </w:tblCellMar>
      </w:tblPr>
      <w:tblGrid>
        <w:gridCol w:w="421"/>
        <w:gridCol w:w="1000"/>
        <w:gridCol w:w="1370"/>
        <w:gridCol w:w="705"/>
        <w:gridCol w:w="1230"/>
        <w:gridCol w:w="1230"/>
        <w:gridCol w:w="1149"/>
        <w:gridCol w:w="2203"/>
        <w:gridCol w:w="1185"/>
        <w:gridCol w:w="2383"/>
        <w:gridCol w:w="1296"/>
      </w:tblGrid>
      <w:tr>
        <w:tblPrEx>
          <w:tblCellMar>
            <w:top w:w="0" w:type="dxa"/>
            <w:left w:w="108" w:type="dxa"/>
            <w:bottom w:w="0" w:type="dxa"/>
            <w:right w:w="108" w:type="dxa"/>
          </w:tblCellMar>
        </w:tblPrEx>
        <w:trPr>
          <w:trHeight w:val="620" w:hRule="atLeast"/>
          <w:tblHeader/>
        </w:trPr>
        <w:tc>
          <w:tcPr>
            <w:tcW w:w="5000" w:type="pct"/>
            <w:gridSpan w:val="11"/>
            <w:tcBorders>
              <w:top w:val="nil"/>
              <w:left w:val="nil"/>
              <w:bottom w:val="nil"/>
              <w:right w:val="nil"/>
            </w:tcBorders>
            <w:shd w:val="clear" w:color="auto" w:fill="auto"/>
            <w:noWrap/>
            <w:vAlign w:val="center"/>
          </w:tcPr>
          <w:p>
            <w:pPr>
              <w:widowControl/>
              <w:jc w:val="center"/>
              <w:textAlignment w:val="center"/>
              <w:rPr>
                <w:rFonts w:ascii="宋体" w:hAnsi="宋体" w:eastAsia="宋体" w:cs="宋体"/>
                <w:b/>
                <w:bCs/>
                <w:color w:val="000000"/>
                <w:sz w:val="48"/>
                <w:szCs w:val="48"/>
              </w:rPr>
            </w:pPr>
            <w:r>
              <w:rPr>
                <w:rFonts w:hint="eastAsia" w:ascii="宋体" w:hAnsi="宋体" w:eastAsia="宋体" w:cs="宋体"/>
                <w:b/>
                <w:bCs/>
                <w:color w:val="000000"/>
                <w:kern w:val="0"/>
                <w:sz w:val="48"/>
                <w:szCs w:val="48"/>
              </w:rPr>
              <w:t>2022年连城县域商业建设项目清单</w:t>
            </w:r>
          </w:p>
        </w:tc>
      </w:tr>
      <w:tr>
        <w:tblPrEx>
          <w:tblCellMar>
            <w:top w:w="0" w:type="dxa"/>
            <w:left w:w="108" w:type="dxa"/>
            <w:bottom w:w="0" w:type="dxa"/>
            <w:right w:w="108" w:type="dxa"/>
          </w:tblCellMar>
        </w:tblPrEx>
        <w:trPr>
          <w:trHeight w:val="1500" w:hRule="atLeast"/>
          <w:tblHeader/>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序号</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县/</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市/区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项目</w:t>
            </w:r>
          </w:p>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名称</w:t>
            </w:r>
          </w:p>
        </w:tc>
        <w:tc>
          <w:tcPr>
            <w:tcW w:w="2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建设</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类型</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责任主体</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（企业）</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计划</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投资额</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（万元）</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拟支持</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金额</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(万元)</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建设内容</w:t>
            </w:r>
          </w:p>
        </w:tc>
        <w:tc>
          <w:tcPr>
            <w:tcW w:w="4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建设周期</w:t>
            </w:r>
          </w:p>
        </w:tc>
        <w:tc>
          <w:tcPr>
            <w:tcW w:w="84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实现功能</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szCs w:val="22"/>
              </w:rPr>
            </w:pPr>
            <w:r>
              <w:rPr>
                <w:rFonts w:hint="eastAsia" w:ascii="宋体" w:hAnsi="宋体" w:eastAsia="宋体" w:cs="宋体"/>
                <w:b/>
                <w:bCs/>
                <w:color w:val="000000"/>
                <w:kern w:val="0"/>
                <w:sz w:val="22"/>
                <w:szCs w:val="22"/>
              </w:rPr>
              <w:t>责任单位</w:t>
            </w:r>
            <w:r>
              <w:rPr>
                <w:rFonts w:hint="eastAsia" w:ascii="宋体" w:hAnsi="宋体" w:eastAsia="宋体" w:cs="宋体"/>
                <w:b/>
                <w:bCs/>
                <w:color w:val="000000"/>
                <w:kern w:val="0"/>
                <w:sz w:val="22"/>
                <w:szCs w:val="22"/>
              </w:rPr>
              <w:br w:type="textWrapping"/>
            </w:r>
            <w:r>
              <w:rPr>
                <w:rFonts w:hint="eastAsia" w:ascii="宋体" w:hAnsi="宋体" w:eastAsia="宋体" w:cs="宋体"/>
                <w:b/>
                <w:bCs/>
                <w:color w:val="000000"/>
                <w:kern w:val="0"/>
                <w:sz w:val="22"/>
                <w:szCs w:val="22"/>
              </w:rPr>
              <w:t>(政府部门)</w:t>
            </w:r>
          </w:p>
        </w:tc>
      </w:tr>
      <w:tr>
        <w:tblPrEx>
          <w:tblCellMar>
            <w:top w:w="0" w:type="dxa"/>
            <w:left w:w="108" w:type="dxa"/>
            <w:bottom w:w="0" w:type="dxa"/>
            <w:right w:w="108" w:type="dxa"/>
          </w:tblCellMar>
        </w:tblPrEx>
        <w:trPr>
          <w:trHeight w:val="1645"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w:t>
            </w: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直播（跨境）电商生态园展示选品中心</w:t>
            </w:r>
            <w:r>
              <w:rPr>
                <w:rFonts w:hint="eastAsia" w:ascii="宋体" w:hAnsi="宋体" w:eastAsia="宋体" w:cs="宋体"/>
                <w:color w:val="000000"/>
                <w:kern w:val="0"/>
                <w:sz w:val="22"/>
                <w:szCs w:val="22"/>
                <w:lang w:val="en-US" w:eastAsia="zh-CN"/>
              </w:rPr>
              <w:t>新建项目</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福建连城豸龙旅游集团有限公司</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800</w:t>
            </w:r>
          </w:p>
        </w:tc>
        <w:tc>
          <w:tcPr>
            <w:tcW w:w="4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200</w:t>
            </w:r>
          </w:p>
        </w:tc>
        <w:tc>
          <w:tcPr>
            <w:tcW w:w="7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lang w:val="en-US" w:eastAsia="zh-CN"/>
              </w:rPr>
              <w:t>新建</w:t>
            </w:r>
            <w:r>
              <w:rPr>
                <w:rFonts w:hint="eastAsia" w:ascii="宋体" w:hAnsi="宋体" w:eastAsia="宋体" w:cs="宋体"/>
                <w:color w:val="000000"/>
                <w:kern w:val="0"/>
                <w:sz w:val="22"/>
                <w:szCs w:val="22"/>
              </w:rPr>
              <w:t>农产品展示、展销、选品中心</w:t>
            </w:r>
            <w:r>
              <w:rPr>
                <w:rFonts w:hint="eastAsia" w:ascii="宋体" w:hAnsi="宋体" w:eastAsia="宋体" w:cs="宋体"/>
                <w:color w:val="000000"/>
                <w:kern w:val="0"/>
                <w:sz w:val="22"/>
                <w:szCs w:val="22"/>
                <w:lang w:eastAsia="zh-CN"/>
              </w:rPr>
              <w:t>。</w:t>
            </w:r>
          </w:p>
        </w:tc>
        <w:tc>
          <w:tcPr>
            <w:tcW w:w="41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2022.01-2022.08</w:t>
            </w:r>
          </w:p>
        </w:tc>
        <w:tc>
          <w:tcPr>
            <w:tcW w:w="8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展示连城优质产品，供各类商家选品推广销售，带动产业发展，助推乡村振兴。</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连城县商务局</w:t>
            </w:r>
          </w:p>
        </w:tc>
      </w:tr>
      <w:tr>
        <w:tblPrEx>
          <w:tblCellMar>
            <w:top w:w="0" w:type="dxa"/>
            <w:left w:w="108" w:type="dxa"/>
            <w:bottom w:w="0" w:type="dxa"/>
            <w:right w:w="108" w:type="dxa"/>
          </w:tblCellMar>
        </w:tblPrEx>
        <w:trPr>
          <w:trHeight w:val="1605"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w:t>
            </w: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连城县广大食品厂储存农产品冻库</w:t>
            </w:r>
            <w:r>
              <w:rPr>
                <w:rFonts w:hint="eastAsia" w:ascii="宋体" w:hAnsi="宋体" w:eastAsia="宋体" w:cs="宋体"/>
                <w:color w:val="000000"/>
                <w:kern w:val="0"/>
                <w:sz w:val="22"/>
                <w:szCs w:val="22"/>
                <w:lang w:val="en-US" w:eastAsia="zh-CN"/>
              </w:rPr>
              <w:t>新建项目</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连城县广大食品厂</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300</w:t>
            </w:r>
          </w:p>
        </w:tc>
        <w:tc>
          <w:tcPr>
            <w:tcW w:w="4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100</w:t>
            </w:r>
          </w:p>
        </w:tc>
        <w:tc>
          <w:tcPr>
            <w:tcW w:w="7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rPr>
              <w:t>建设冻库5座，</w:t>
            </w:r>
            <w:r>
              <w:rPr>
                <w:rFonts w:hint="eastAsia" w:ascii="宋体" w:hAnsi="宋体" w:eastAsia="宋体" w:cs="宋体"/>
                <w:color w:val="000000"/>
                <w:kern w:val="0"/>
                <w:sz w:val="22"/>
                <w:szCs w:val="22"/>
                <w:lang w:eastAsia="zh-CN"/>
              </w:rPr>
              <w:t>，</w:t>
            </w:r>
            <w:r>
              <w:rPr>
                <w:rFonts w:hint="eastAsia" w:ascii="宋体" w:hAnsi="宋体" w:eastAsia="宋体" w:cs="宋体"/>
                <w:color w:val="000000"/>
                <w:kern w:val="0"/>
                <w:sz w:val="22"/>
                <w:szCs w:val="22"/>
                <w:lang w:val="en-US" w:eastAsia="zh-CN"/>
              </w:rPr>
              <w:t>总库容量3102.1m³，库温为</w:t>
            </w:r>
            <w:r>
              <w:rPr>
                <w:rFonts w:hint="eastAsia" w:ascii="宋体" w:hAnsi="宋体" w:eastAsia="宋体" w:cs="宋体"/>
                <w:color w:val="000000"/>
                <w:kern w:val="0"/>
                <w:sz w:val="22"/>
                <w:szCs w:val="22"/>
              </w:rPr>
              <w:t>-24℃±5°，冷藏农产品</w:t>
            </w:r>
            <w:r>
              <w:rPr>
                <w:rFonts w:hint="eastAsia" w:ascii="宋体" w:hAnsi="宋体" w:eastAsia="宋体" w:cs="宋体"/>
                <w:color w:val="000000"/>
                <w:kern w:val="0"/>
                <w:sz w:val="22"/>
                <w:szCs w:val="22"/>
                <w:lang w:eastAsia="zh-CN"/>
              </w:rPr>
              <w:t>。</w:t>
            </w:r>
          </w:p>
        </w:tc>
        <w:tc>
          <w:tcPr>
            <w:tcW w:w="41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0"/>
                <w:sz w:val="22"/>
                <w:szCs w:val="22"/>
              </w:rPr>
              <w:t>2022.02-2022.</w:t>
            </w:r>
            <w:r>
              <w:rPr>
                <w:rFonts w:hint="eastAsia" w:ascii="宋体" w:hAnsi="宋体" w:eastAsia="宋体" w:cs="宋体"/>
                <w:color w:val="000000"/>
                <w:kern w:val="0"/>
                <w:sz w:val="22"/>
                <w:szCs w:val="22"/>
                <w:lang w:val="en-US" w:eastAsia="zh-CN"/>
              </w:rPr>
              <w:t>10</w:t>
            </w:r>
          </w:p>
        </w:tc>
        <w:tc>
          <w:tcPr>
            <w:tcW w:w="8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农产品</w:t>
            </w:r>
            <w:r>
              <w:rPr>
                <w:rFonts w:hint="eastAsia" w:ascii="宋体" w:hAnsi="宋体" w:eastAsia="宋体" w:cs="宋体"/>
                <w:color w:val="000000"/>
                <w:kern w:val="0"/>
                <w:sz w:val="22"/>
                <w:szCs w:val="22"/>
                <w:lang w:val="en-US" w:eastAsia="zh-CN"/>
              </w:rPr>
              <w:t>低温、</w:t>
            </w:r>
            <w:r>
              <w:rPr>
                <w:rFonts w:hint="eastAsia" w:ascii="宋体" w:hAnsi="宋体" w:eastAsia="宋体" w:cs="宋体"/>
                <w:color w:val="000000"/>
                <w:kern w:val="0"/>
                <w:sz w:val="22"/>
                <w:szCs w:val="22"/>
              </w:rPr>
              <w:t>冷藏，</w:t>
            </w:r>
            <w:r>
              <w:rPr>
                <w:rFonts w:hint="eastAsia" w:ascii="宋体" w:hAnsi="宋体" w:eastAsia="宋体" w:cs="宋体"/>
                <w:color w:val="000000"/>
                <w:kern w:val="0"/>
                <w:sz w:val="22"/>
                <w:szCs w:val="22"/>
                <w:lang w:val="en-US" w:eastAsia="zh-CN"/>
              </w:rPr>
              <w:t>有效解决果蔬滞销，对</w:t>
            </w:r>
            <w:r>
              <w:rPr>
                <w:rFonts w:hint="eastAsia" w:ascii="宋体" w:hAnsi="宋体" w:eastAsia="宋体" w:cs="宋体"/>
                <w:color w:val="000000"/>
                <w:kern w:val="0"/>
                <w:sz w:val="22"/>
                <w:szCs w:val="22"/>
              </w:rPr>
              <w:t>延长</w:t>
            </w:r>
            <w:r>
              <w:rPr>
                <w:rFonts w:hint="eastAsia" w:ascii="宋体" w:hAnsi="宋体" w:eastAsia="宋体" w:cs="宋体"/>
                <w:color w:val="000000"/>
                <w:kern w:val="0"/>
                <w:sz w:val="22"/>
                <w:szCs w:val="22"/>
                <w:lang w:val="en-US" w:eastAsia="zh-CN"/>
              </w:rPr>
              <w:t>果蔬保鲜期，提高果蔬品质有良好的作用</w:t>
            </w:r>
            <w:r>
              <w:rPr>
                <w:rFonts w:hint="eastAsia" w:ascii="宋体" w:hAnsi="宋体" w:eastAsia="宋体" w:cs="宋体"/>
                <w:color w:val="000000"/>
                <w:kern w:val="0"/>
                <w:sz w:val="22"/>
                <w:szCs w:val="22"/>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连城县商务局</w:t>
            </w:r>
          </w:p>
        </w:tc>
      </w:tr>
      <w:tr>
        <w:tblPrEx>
          <w:tblCellMar>
            <w:top w:w="0" w:type="dxa"/>
            <w:left w:w="108" w:type="dxa"/>
            <w:bottom w:w="0" w:type="dxa"/>
            <w:right w:w="108" w:type="dxa"/>
          </w:tblCellMar>
        </w:tblPrEx>
        <w:trPr>
          <w:trHeight w:val="1950"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w:t>
            </w: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福建金永润食品有限公司冷藏库</w:t>
            </w:r>
            <w:r>
              <w:rPr>
                <w:rFonts w:hint="eastAsia" w:ascii="宋体" w:hAnsi="宋体" w:eastAsia="宋体" w:cs="宋体"/>
                <w:color w:val="000000"/>
                <w:kern w:val="0"/>
                <w:sz w:val="22"/>
                <w:szCs w:val="22"/>
                <w:lang w:val="en-US" w:eastAsia="zh-CN"/>
              </w:rPr>
              <w:t>新建项目</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福建金永润食品有限公司</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300</w:t>
            </w:r>
          </w:p>
        </w:tc>
        <w:tc>
          <w:tcPr>
            <w:tcW w:w="405"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100</w:t>
            </w:r>
          </w:p>
        </w:tc>
        <w:tc>
          <w:tcPr>
            <w:tcW w:w="777"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新建冷藏库1000立方米，购进地瓜干的生产设备、冷藏储存设备。</w:t>
            </w:r>
          </w:p>
        </w:tc>
        <w:tc>
          <w:tcPr>
            <w:tcW w:w="41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2022.01-2022.07</w:t>
            </w:r>
          </w:p>
        </w:tc>
        <w:tc>
          <w:tcPr>
            <w:tcW w:w="8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实现农产品存储、冷藏、冷链储运</w:t>
            </w:r>
            <w:r>
              <w:rPr>
                <w:rFonts w:hint="eastAsia" w:ascii="宋体" w:hAnsi="宋体" w:eastAsia="宋体" w:cs="宋体"/>
                <w:color w:val="000000"/>
                <w:sz w:val="22"/>
                <w:szCs w:val="22"/>
                <w:lang w:eastAsia="zh-CN"/>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连城县商务局</w:t>
            </w:r>
          </w:p>
        </w:tc>
      </w:tr>
      <w:tr>
        <w:tblPrEx>
          <w:tblCellMar>
            <w:top w:w="0" w:type="dxa"/>
            <w:left w:w="108" w:type="dxa"/>
            <w:bottom w:w="0" w:type="dxa"/>
            <w:right w:w="108" w:type="dxa"/>
          </w:tblCellMar>
        </w:tblPrEx>
        <w:trPr>
          <w:trHeight w:val="4068" w:hRule="atLeast"/>
        </w:trPr>
        <w:tc>
          <w:tcPr>
            <w:tcW w:w="1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4</w:t>
            </w:r>
          </w:p>
        </w:tc>
        <w:tc>
          <w:tcPr>
            <w:tcW w:w="352"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kern w:val="0"/>
                <w:sz w:val="22"/>
                <w:szCs w:val="22"/>
              </w:rPr>
              <w:t>揭乐</w:t>
            </w:r>
            <w:r>
              <w:rPr>
                <w:rFonts w:hint="eastAsia" w:ascii="宋体" w:hAnsi="宋体" w:eastAsia="宋体" w:cs="宋体"/>
                <w:color w:val="000000"/>
                <w:kern w:val="0"/>
                <w:sz w:val="22"/>
                <w:szCs w:val="22"/>
                <w:lang w:val="en-US" w:eastAsia="zh-CN"/>
              </w:rPr>
              <w:t>乡</w:t>
            </w:r>
            <w:r>
              <w:rPr>
                <w:rFonts w:hint="eastAsia" w:ascii="宋体" w:hAnsi="宋体" w:eastAsia="宋体" w:cs="宋体"/>
                <w:color w:val="000000"/>
                <w:kern w:val="0"/>
                <w:sz w:val="22"/>
                <w:szCs w:val="22"/>
              </w:rPr>
              <w:t>旅游购物中心</w:t>
            </w:r>
            <w:r>
              <w:rPr>
                <w:rFonts w:hint="eastAsia" w:ascii="宋体" w:hAnsi="宋体" w:eastAsia="宋体" w:cs="宋体"/>
                <w:color w:val="000000"/>
                <w:kern w:val="0"/>
                <w:sz w:val="22"/>
                <w:szCs w:val="22"/>
                <w:lang w:val="en-US" w:eastAsia="zh-CN"/>
              </w:rPr>
              <w:t>新建项目</w:t>
            </w:r>
          </w:p>
        </w:tc>
        <w:tc>
          <w:tcPr>
            <w:tcW w:w="24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新建</w:t>
            </w:r>
          </w:p>
        </w:tc>
        <w:tc>
          <w:tcPr>
            <w:tcW w:w="433"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连城县工贸发展有限公司</w:t>
            </w:r>
          </w:p>
        </w:tc>
        <w:tc>
          <w:tcPr>
            <w:tcW w:w="4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600</w:t>
            </w:r>
          </w:p>
        </w:tc>
        <w:tc>
          <w:tcPr>
            <w:tcW w:w="4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200</w:t>
            </w:r>
          </w:p>
        </w:tc>
        <w:tc>
          <w:tcPr>
            <w:tcW w:w="77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rPr>
              <w:t>建设“乡在景中、景在绿中、水环乡绕、人行景中”的绿色旅游购物一条街，建设冠豸山铁皮石斛、富硒葡萄、富硒地瓜干、富硒黑豆等富硒产品体验购物中心、生态停车场和道路相关基础配套设施等内容</w:t>
            </w:r>
            <w:r>
              <w:rPr>
                <w:rFonts w:hint="eastAsia" w:ascii="宋体" w:hAnsi="宋体" w:eastAsia="宋体" w:cs="宋体"/>
                <w:color w:val="000000"/>
                <w:kern w:val="0"/>
                <w:sz w:val="22"/>
                <w:szCs w:val="22"/>
                <w:lang w:eastAsia="zh-CN"/>
              </w:rPr>
              <w:t>。</w:t>
            </w:r>
          </w:p>
        </w:tc>
        <w:tc>
          <w:tcPr>
            <w:tcW w:w="41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2022.01-2022.12</w:t>
            </w:r>
          </w:p>
        </w:tc>
        <w:tc>
          <w:tcPr>
            <w:tcW w:w="8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eastAsia="宋体" w:cs="宋体"/>
                <w:color w:val="000000"/>
                <w:kern w:val="0"/>
                <w:sz w:val="22"/>
                <w:szCs w:val="22"/>
              </w:rPr>
              <w:t>结合九龙湖景点、当地原生态富硒绿色农产品，带动当地美食、购物一条街，带动当地老百姓发展、就业</w:t>
            </w:r>
            <w:r>
              <w:rPr>
                <w:rFonts w:hint="eastAsia" w:ascii="宋体" w:hAnsi="宋体" w:eastAsia="宋体" w:cs="宋体"/>
                <w:color w:val="000000"/>
                <w:kern w:val="0"/>
                <w:sz w:val="22"/>
                <w:szCs w:val="22"/>
                <w:lang w:eastAsia="zh-CN"/>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连城县商务局</w:t>
            </w:r>
          </w:p>
        </w:tc>
      </w:tr>
      <w:tr>
        <w:tblPrEx>
          <w:tblCellMar>
            <w:top w:w="0" w:type="dxa"/>
            <w:left w:w="108" w:type="dxa"/>
            <w:bottom w:w="0" w:type="dxa"/>
            <w:right w:w="108" w:type="dxa"/>
          </w:tblCellMar>
        </w:tblPrEx>
        <w:trPr>
          <w:trHeight w:val="709" w:hRule="atLeast"/>
        </w:trPr>
        <w:tc>
          <w:tcPr>
            <w:tcW w:w="1667"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合计</w:t>
            </w:r>
          </w:p>
        </w:tc>
        <w:tc>
          <w:tcPr>
            <w:tcW w:w="4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2000</w:t>
            </w:r>
          </w:p>
        </w:tc>
        <w:tc>
          <w:tcPr>
            <w:tcW w:w="40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600</w:t>
            </w:r>
          </w:p>
        </w:tc>
        <w:tc>
          <w:tcPr>
            <w:tcW w:w="77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textAlignment w:val="center"/>
              <w:rPr>
                <w:rFonts w:ascii="宋体" w:hAnsi="宋体" w:eastAsia="宋体" w:cs="宋体"/>
                <w:b/>
                <w:bCs/>
                <w:color w:val="000000"/>
                <w:kern w:val="0"/>
                <w:sz w:val="22"/>
                <w:szCs w:val="22"/>
              </w:rPr>
            </w:pPr>
          </w:p>
        </w:tc>
        <w:tc>
          <w:tcPr>
            <w:tcW w:w="418"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b/>
                <w:bCs/>
                <w:color w:val="000000"/>
                <w:kern w:val="0"/>
                <w:sz w:val="22"/>
                <w:szCs w:val="22"/>
              </w:rPr>
            </w:pPr>
          </w:p>
        </w:tc>
        <w:tc>
          <w:tcPr>
            <w:tcW w:w="840" w:type="pc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宋体" w:hAnsi="宋体" w:eastAsia="宋体" w:cs="宋体"/>
                <w:b/>
                <w:bCs/>
                <w:color w:val="000000"/>
                <w:kern w:val="0"/>
                <w:sz w:val="22"/>
                <w:szCs w:val="22"/>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kern w:val="0"/>
                <w:sz w:val="22"/>
                <w:szCs w:val="22"/>
              </w:rPr>
            </w:pPr>
          </w:p>
        </w:tc>
      </w:tr>
    </w:tbl>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0000000000000000000"/>
    <w:charset w:val="00"/>
    <w:family w:val="auto"/>
    <w:pitch w:val="default"/>
    <w:sig w:usb0="00000000" w:usb1="00000000" w:usb2="00000000" w:usb3="00000000" w:csb0="80000000" w:csb1="00000000"/>
  </w:font>
  <w:font w:name="方正粗黑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path/>
          <v:fill on="f" focussize="0,0"/>
          <v:stroke on="f" weight="0.5pt" joinstyle="miter"/>
          <v:imagedata o:title=""/>
          <o:lock v:ext="edit"/>
          <v:textbox inset="0mm,0mm,0mm,0mm" style="mso-fit-shape-to-text:t;">
            <w:txbxContent>
              <w:p>
                <w:pPr>
                  <w:pStyle w:val="12"/>
                </w:pPr>
                <w:r>
                  <w:fldChar w:fldCharType="begin"/>
                </w:r>
                <w:r>
                  <w:instrText xml:space="preserve"> PAGE  \* MERGEFORMAT </w:instrText>
                </w:r>
                <w:r>
                  <w:fldChar w:fldCharType="separate"/>
                </w:r>
                <w:r>
                  <w:t>80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D0271"/>
    <w:multiLevelType w:val="singleLevel"/>
    <w:tmpl w:val="9CCD0271"/>
    <w:lvl w:ilvl="0" w:tentative="0">
      <w:start w:val="1"/>
      <w:numFmt w:val="chineseCounting"/>
      <w:suff w:val="nothing"/>
      <w:lvlText w:val="（%1）"/>
      <w:lvlJc w:val="left"/>
      <w:pPr>
        <w:ind w:left="0" w:firstLine="420"/>
      </w:pPr>
      <w:rPr>
        <w:rFonts w:hint="eastAsia"/>
      </w:rPr>
    </w:lvl>
  </w:abstractNum>
  <w:abstractNum w:abstractNumId="1">
    <w:nsid w:val="A164210C"/>
    <w:multiLevelType w:val="singleLevel"/>
    <w:tmpl w:val="A164210C"/>
    <w:lvl w:ilvl="0" w:tentative="0">
      <w:start w:val="1"/>
      <w:numFmt w:val="decimal"/>
      <w:lvlText w:val="%1."/>
      <w:lvlJc w:val="left"/>
      <w:pPr>
        <w:tabs>
          <w:tab w:val="left" w:pos="312"/>
        </w:tabs>
        <w:ind w:left="-13"/>
      </w:pPr>
    </w:lvl>
  </w:abstractNum>
  <w:abstractNum w:abstractNumId="2">
    <w:nsid w:val="A579DB1B"/>
    <w:multiLevelType w:val="singleLevel"/>
    <w:tmpl w:val="A579DB1B"/>
    <w:lvl w:ilvl="0" w:tentative="0">
      <w:start w:val="1"/>
      <w:numFmt w:val="chineseCounting"/>
      <w:suff w:val="nothing"/>
      <w:lvlText w:val="%1、"/>
      <w:lvlJc w:val="left"/>
      <w:pPr>
        <w:ind w:left="-13" w:firstLine="420"/>
      </w:pPr>
      <w:rPr>
        <w:rFonts w:hint="eastAsia"/>
      </w:rPr>
    </w:lvl>
  </w:abstractNum>
  <w:abstractNum w:abstractNumId="3">
    <w:nsid w:val="B8EA5E20"/>
    <w:multiLevelType w:val="singleLevel"/>
    <w:tmpl w:val="B8EA5E20"/>
    <w:lvl w:ilvl="0" w:tentative="0">
      <w:start w:val="1"/>
      <w:numFmt w:val="decimal"/>
      <w:lvlText w:val="%1."/>
      <w:lvlJc w:val="left"/>
      <w:pPr>
        <w:ind w:left="412" w:hanging="425"/>
      </w:pPr>
      <w:rPr>
        <w:rFonts w:hint="default" w:ascii="黑体" w:hAnsi="黑体" w:eastAsia="黑体" w:cs="黑体"/>
        <w:sz w:val="32"/>
        <w:szCs w:val="32"/>
      </w:rPr>
    </w:lvl>
  </w:abstractNum>
  <w:abstractNum w:abstractNumId="4">
    <w:nsid w:val="C8A7420E"/>
    <w:multiLevelType w:val="singleLevel"/>
    <w:tmpl w:val="C8A7420E"/>
    <w:lvl w:ilvl="0" w:tentative="0">
      <w:start w:val="1"/>
      <w:numFmt w:val="decimal"/>
      <w:lvlText w:val="%1."/>
      <w:lvlJc w:val="left"/>
      <w:pPr>
        <w:ind w:left="425" w:hanging="425"/>
      </w:pPr>
      <w:rPr>
        <w:rFonts w:hint="default"/>
      </w:rPr>
    </w:lvl>
  </w:abstractNum>
  <w:abstractNum w:abstractNumId="5">
    <w:nsid w:val="D212F3D1"/>
    <w:multiLevelType w:val="singleLevel"/>
    <w:tmpl w:val="D212F3D1"/>
    <w:lvl w:ilvl="0" w:tentative="0">
      <w:start w:val="1"/>
      <w:numFmt w:val="decimal"/>
      <w:lvlText w:val="(%1)"/>
      <w:lvlJc w:val="left"/>
      <w:pPr>
        <w:ind w:left="425" w:hanging="425"/>
      </w:pPr>
      <w:rPr>
        <w:rFonts w:hint="default"/>
      </w:rPr>
    </w:lvl>
  </w:abstractNum>
  <w:abstractNum w:abstractNumId="6">
    <w:nsid w:val="034F8C02"/>
    <w:multiLevelType w:val="singleLevel"/>
    <w:tmpl w:val="034F8C02"/>
    <w:lvl w:ilvl="0" w:tentative="0">
      <w:start w:val="1"/>
      <w:numFmt w:val="chineseCounting"/>
      <w:suff w:val="nothing"/>
      <w:lvlText w:val="（%1）"/>
      <w:lvlJc w:val="left"/>
      <w:pPr>
        <w:ind w:left="-643" w:firstLine="420"/>
      </w:pPr>
      <w:rPr>
        <w:rFonts w:hint="eastAsia"/>
      </w:rPr>
    </w:lvl>
  </w:abstractNum>
  <w:abstractNum w:abstractNumId="7">
    <w:nsid w:val="0C7018A0"/>
    <w:multiLevelType w:val="singleLevel"/>
    <w:tmpl w:val="0C7018A0"/>
    <w:lvl w:ilvl="0" w:tentative="0">
      <w:start w:val="1"/>
      <w:numFmt w:val="decimal"/>
      <w:lvlText w:val="(%1)"/>
      <w:lvlJc w:val="left"/>
      <w:pPr>
        <w:ind w:left="425" w:hanging="425"/>
      </w:pPr>
      <w:rPr>
        <w:rFonts w:hint="default"/>
      </w:rPr>
    </w:lvl>
  </w:abstractNum>
  <w:abstractNum w:abstractNumId="8">
    <w:nsid w:val="170A7169"/>
    <w:multiLevelType w:val="singleLevel"/>
    <w:tmpl w:val="170A7169"/>
    <w:lvl w:ilvl="0" w:tentative="0">
      <w:start w:val="1"/>
      <w:numFmt w:val="chineseCounting"/>
      <w:suff w:val="nothing"/>
      <w:lvlText w:val="（%1）"/>
      <w:lvlJc w:val="left"/>
      <w:pPr>
        <w:ind w:left="0" w:firstLine="420"/>
      </w:pPr>
      <w:rPr>
        <w:rFonts w:hint="eastAsia"/>
      </w:rPr>
    </w:lvl>
  </w:abstractNum>
  <w:abstractNum w:abstractNumId="9">
    <w:nsid w:val="1AF5C5BD"/>
    <w:multiLevelType w:val="singleLevel"/>
    <w:tmpl w:val="1AF5C5BD"/>
    <w:lvl w:ilvl="0" w:tentative="0">
      <w:start w:val="1"/>
      <w:numFmt w:val="decimal"/>
      <w:lvlText w:val="%1."/>
      <w:lvlJc w:val="left"/>
      <w:pPr>
        <w:ind w:left="425" w:hanging="425"/>
      </w:pPr>
      <w:rPr>
        <w:rFonts w:hint="default"/>
      </w:rPr>
    </w:lvl>
  </w:abstractNum>
  <w:abstractNum w:abstractNumId="10">
    <w:nsid w:val="453683A9"/>
    <w:multiLevelType w:val="singleLevel"/>
    <w:tmpl w:val="453683A9"/>
    <w:lvl w:ilvl="0" w:tentative="0">
      <w:start w:val="1"/>
      <w:numFmt w:val="chineseCounting"/>
      <w:suff w:val="nothing"/>
      <w:lvlText w:val="（%1）"/>
      <w:lvlJc w:val="left"/>
      <w:pPr>
        <w:ind w:left="0" w:firstLine="420"/>
      </w:pPr>
      <w:rPr>
        <w:rFonts w:hint="eastAsia"/>
      </w:rPr>
    </w:lvl>
  </w:abstractNum>
  <w:abstractNum w:abstractNumId="11">
    <w:nsid w:val="78F5B252"/>
    <w:multiLevelType w:val="singleLevel"/>
    <w:tmpl w:val="78F5B252"/>
    <w:lvl w:ilvl="0" w:tentative="0">
      <w:start w:val="1"/>
      <w:numFmt w:val="decimal"/>
      <w:lvlText w:val="%1."/>
      <w:lvlJc w:val="left"/>
      <w:pPr>
        <w:ind w:left="425" w:hanging="425"/>
      </w:pPr>
      <w:rPr>
        <w:rFonts w:hint="default"/>
      </w:rPr>
    </w:lvl>
  </w:abstractNum>
  <w:abstractNum w:abstractNumId="12">
    <w:nsid w:val="7DD7FAA5"/>
    <w:multiLevelType w:val="singleLevel"/>
    <w:tmpl w:val="7DD7FAA5"/>
    <w:lvl w:ilvl="0" w:tentative="0">
      <w:start w:val="1"/>
      <w:numFmt w:val="chineseCounting"/>
      <w:suff w:val="nothing"/>
      <w:lvlText w:val="（%1）"/>
      <w:lvlJc w:val="left"/>
      <w:pPr>
        <w:ind w:left="-13" w:firstLine="420"/>
      </w:pPr>
      <w:rPr>
        <w:rFonts w:hint="eastAsia"/>
      </w:rPr>
    </w:lvl>
  </w:abstractNum>
  <w:abstractNum w:abstractNumId="13">
    <w:nsid w:val="7E2F3291"/>
    <w:multiLevelType w:val="singleLevel"/>
    <w:tmpl w:val="7E2F3291"/>
    <w:lvl w:ilvl="0" w:tentative="0">
      <w:start w:val="1"/>
      <w:numFmt w:val="decimal"/>
      <w:lvlText w:val="(%1)"/>
      <w:lvlJc w:val="left"/>
      <w:pPr>
        <w:ind w:left="425" w:hanging="425"/>
      </w:pPr>
      <w:rPr>
        <w:rFonts w:hint="default" w:ascii="宋体" w:hAnsi="宋体" w:eastAsia="宋体" w:cs="宋体"/>
        <w:b/>
        <w:bCs/>
        <w:sz w:val="32"/>
        <w:szCs w:val="32"/>
      </w:rPr>
    </w:lvl>
  </w:abstractNum>
  <w:num w:numId="1">
    <w:abstractNumId w:val="2"/>
  </w:num>
  <w:num w:numId="2">
    <w:abstractNumId w:val="0"/>
  </w:num>
  <w:num w:numId="3">
    <w:abstractNumId w:val="9"/>
  </w:num>
  <w:num w:numId="4">
    <w:abstractNumId w:val="13"/>
  </w:num>
  <w:num w:numId="5">
    <w:abstractNumId w:val="10"/>
  </w:num>
  <w:num w:numId="6">
    <w:abstractNumId w:val="12"/>
  </w:num>
  <w:num w:numId="7">
    <w:abstractNumId w:val="6"/>
  </w:num>
  <w:num w:numId="8">
    <w:abstractNumId w:val="3"/>
  </w:num>
  <w:num w:numId="9">
    <w:abstractNumId w:val="4"/>
  </w:num>
  <w:num w:numId="10">
    <w:abstractNumId w:val="11"/>
  </w:num>
  <w:num w:numId="11">
    <w:abstractNumId w:val="7"/>
  </w:num>
  <w:num w:numId="12">
    <w:abstractNumId w:val="5"/>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g3NzVlNzZiYmZjODgwNGNmOTcyNDlmZjUzOTJjMGIifQ=="/>
  </w:docVars>
  <w:rsids>
    <w:rsidRoot w:val="00172A27"/>
    <w:rsid w:val="00015057"/>
    <w:rsid w:val="00035AC5"/>
    <w:rsid w:val="000C2C88"/>
    <w:rsid w:val="000C3539"/>
    <w:rsid w:val="001006E8"/>
    <w:rsid w:val="00172A27"/>
    <w:rsid w:val="0017367C"/>
    <w:rsid w:val="001C18E0"/>
    <w:rsid w:val="001D6E33"/>
    <w:rsid w:val="00387B20"/>
    <w:rsid w:val="00392281"/>
    <w:rsid w:val="00397B54"/>
    <w:rsid w:val="003D3828"/>
    <w:rsid w:val="004117B6"/>
    <w:rsid w:val="00473E2F"/>
    <w:rsid w:val="004B3353"/>
    <w:rsid w:val="00527CD5"/>
    <w:rsid w:val="005468A4"/>
    <w:rsid w:val="005B495D"/>
    <w:rsid w:val="00602B68"/>
    <w:rsid w:val="006A01DD"/>
    <w:rsid w:val="008E5F82"/>
    <w:rsid w:val="00925902"/>
    <w:rsid w:val="00966324"/>
    <w:rsid w:val="00970FFD"/>
    <w:rsid w:val="009E124C"/>
    <w:rsid w:val="00A42733"/>
    <w:rsid w:val="00BD5C9D"/>
    <w:rsid w:val="00C85211"/>
    <w:rsid w:val="00CA13B6"/>
    <w:rsid w:val="00CC1EFB"/>
    <w:rsid w:val="00DE0637"/>
    <w:rsid w:val="00E55961"/>
    <w:rsid w:val="00F24108"/>
    <w:rsid w:val="0107534C"/>
    <w:rsid w:val="01400747"/>
    <w:rsid w:val="016025FC"/>
    <w:rsid w:val="016C0FA1"/>
    <w:rsid w:val="01B96DFD"/>
    <w:rsid w:val="01E33F09"/>
    <w:rsid w:val="01FF14EF"/>
    <w:rsid w:val="020224BA"/>
    <w:rsid w:val="029E77B1"/>
    <w:rsid w:val="02C77310"/>
    <w:rsid w:val="030C6D3C"/>
    <w:rsid w:val="03422738"/>
    <w:rsid w:val="03630182"/>
    <w:rsid w:val="036C4C34"/>
    <w:rsid w:val="039C6709"/>
    <w:rsid w:val="04061BAD"/>
    <w:rsid w:val="0420626D"/>
    <w:rsid w:val="042323CA"/>
    <w:rsid w:val="044F4A9D"/>
    <w:rsid w:val="04D46351"/>
    <w:rsid w:val="057717FA"/>
    <w:rsid w:val="065B32E7"/>
    <w:rsid w:val="065D35AE"/>
    <w:rsid w:val="06CB4A3D"/>
    <w:rsid w:val="06CF3EB2"/>
    <w:rsid w:val="07042A7C"/>
    <w:rsid w:val="071C4FC6"/>
    <w:rsid w:val="07626386"/>
    <w:rsid w:val="07656235"/>
    <w:rsid w:val="076979FB"/>
    <w:rsid w:val="079851E8"/>
    <w:rsid w:val="07B50EB1"/>
    <w:rsid w:val="083E0F49"/>
    <w:rsid w:val="08574736"/>
    <w:rsid w:val="089858D1"/>
    <w:rsid w:val="091C115F"/>
    <w:rsid w:val="09442803"/>
    <w:rsid w:val="094D774C"/>
    <w:rsid w:val="095B4922"/>
    <w:rsid w:val="0963453A"/>
    <w:rsid w:val="09FD7CD8"/>
    <w:rsid w:val="0A1657B3"/>
    <w:rsid w:val="0A510BCA"/>
    <w:rsid w:val="0AA37F4E"/>
    <w:rsid w:val="0ABF1046"/>
    <w:rsid w:val="0AFA0808"/>
    <w:rsid w:val="0B0C37AA"/>
    <w:rsid w:val="0B6E1DBA"/>
    <w:rsid w:val="0B946A0D"/>
    <w:rsid w:val="0BE0075B"/>
    <w:rsid w:val="0C2F532D"/>
    <w:rsid w:val="0C314A00"/>
    <w:rsid w:val="0CB31348"/>
    <w:rsid w:val="0DBB6492"/>
    <w:rsid w:val="0EE54141"/>
    <w:rsid w:val="0F241F03"/>
    <w:rsid w:val="0F3126FC"/>
    <w:rsid w:val="0F8072E5"/>
    <w:rsid w:val="0F930BFD"/>
    <w:rsid w:val="0FEF1569"/>
    <w:rsid w:val="0FEF5261"/>
    <w:rsid w:val="10420310"/>
    <w:rsid w:val="104D7501"/>
    <w:rsid w:val="10766F84"/>
    <w:rsid w:val="110337B0"/>
    <w:rsid w:val="112945BB"/>
    <w:rsid w:val="114756EA"/>
    <w:rsid w:val="11C71AE7"/>
    <w:rsid w:val="11F8418B"/>
    <w:rsid w:val="11FB3C2F"/>
    <w:rsid w:val="1218738A"/>
    <w:rsid w:val="12280227"/>
    <w:rsid w:val="12540D9B"/>
    <w:rsid w:val="126D17F6"/>
    <w:rsid w:val="129A1AB1"/>
    <w:rsid w:val="13DD2BC4"/>
    <w:rsid w:val="145F4995"/>
    <w:rsid w:val="148419E8"/>
    <w:rsid w:val="148C6F7A"/>
    <w:rsid w:val="151D0DF3"/>
    <w:rsid w:val="155A47BC"/>
    <w:rsid w:val="16A65171"/>
    <w:rsid w:val="18A61A6D"/>
    <w:rsid w:val="192C508B"/>
    <w:rsid w:val="19455358"/>
    <w:rsid w:val="1A3F6209"/>
    <w:rsid w:val="1A7846A5"/>
    <w:rsid w:val="1AA049FF"/>
    <w:rsid w:val="1AA55031"/>
    <w:rsid w:val="1B5A5233"/>
    <w:rsid w:val="1B6E3F89"/>
    <w:rsid w:val="1C316826"/>
    <w:rsid w:val="1C446F74"/>
    <w:rsid w:val="1CBB5235"/>
    <w:rsid w:val="1CFB1B3F"/>
    <w:rsid w:val="1D524259"/>
    <w:rsid w:val="1D863897"/>
    <w:rsid w:val="1D867490"/>
    <w:rsid w:val="1D8D26DA"/>
    <w:rsid w:val="1DA821AD"/>
    <w:rsid w:val="1DBA0D49"/>
    <w:rsid w:val="1EA520B6"/>
    <w:rsid w:val="1EA735A2"/>
    <w:rsid w:val="1F0217F7"/>
    <w:rsid w:val="1F026A5F"/>
    <w:rsid w:val="1F35473C"/>
    <w:rsid w:val="206263E0"/>
    <w:rsid w:val="208F03B0"/>
    <w:rsid w:val="20E05780"/>
    <w:rsid w:val="211228CE"/>
    <w:rsid w:val="21174073"/>
    <w:rsid w:val="211F34E2"/>
    <w:rsid w:val="21532E1C"/>
    <w:rsid w:val="2175353F"/>
    <w:rsid w:val="21AA2E26"/>
    <w:rsid w:val="21C94E15"/>
    <w:rsid w:val="21E608AA"/>
    <w:rsid w:val="21E8686C"/>
    <w:rsid w:val="224662E0"/>
    <w:rsid w:val="23C427C7"/>
    <w:rsid w:val="23F76998"/>
    <w:rsid w:val="240E783E"/>
    <w:rsid w:val="2420075E"/>
    <w:rsid w:val="24487BCC"/>
    <w:rsid w:val="2452072A"/>
    <w:rsid w:val="25620D5B"/>
    <w:rsid w:val="25AE27F4"/>
    <w:rsid w:val="25C77555"/>
    <w:rsid w:val="261314BA"/>
    <w:rsid w:val="26580D61"/>
    <w:rsid w:val="27254AE0"/>
    <w:rsid w:val="272950BB"/>
    <w:rsid w:val="27345B41"/>
    <w:rsid w:val="274F7DF9"/>
    <w:rsid w:val="275B45DA"/>
    <w:rsid w:val="27E252EA"/>
    <w:rsid w:val="27FC585C"/>
    <w:rsid w:val="28006E6B"/>
    <w:rsid w:val="28254FDA"/>
    <w:rsid w:val="2827433C"/>
    <w:rsid w:val="284B0E9E"/>
    <w:rsid w:val="299B5543"/>
    <w:rsid w:val="29B727A0"/>
    <w:rsid w:val="29D4184D"/>
    <w:rsid w:val="29E277A3"/>
    <w:rsid w:val="2A2161F7"/>
    <w:rsid w:val="2B011EAB"/>
    <w:rsid w:val="2BFD1B97"/>
    <w:rsid w:val="2C5D38C5"/>
    <w:rsid w:val="2C8400A2"/>
    <w:rsid w:val="2CA31797"/>
    <w:rsid w:val="2CD8127D"/>
    <w:rsid w:val="2CF60A14"/>
    <w:rsid w:val="2D5473E2"/>
    <w:rsid w:val="2D7B7CF2"/>
    <w:rsid w:val="2DB55947"/>
    <w:rsid w:val="2DC71819"/>
    <w:rsid w:val="2DC83819"/>
    <w:rsid w:val="2E604291"/>
    <w:rsid w:val="2EF55EFA"/>
    <w:rsid w:val="2F6D3FA3"/>
    <w:rsid w:val="2F9D2AB1"/>
    <w:rsid w:val="2FAB4CFD"/>
    <w:rsid w:val="300B7231"/>
    <w:rsid w:val="303B56DF"/>
    <w:rsid w:val="30550C17"/>
    <w:rsid w:val="3093313D"/>
    <w:rsid w:val="30A51378"/>
    <w:rsid w:val="31220969"/>
    <w:rsid w:val="31AF7B52"/>
    <w:rsid w:val="31E60CE9"/>
    <w:rsid w:val="31EA23C4"/>
    <w:rsid w:val="3240491E"/>
    <w:rsid w:val="32606A5A"/>
    <w:rsid w:val="32620A6B"/>
    <w:rsid w:val="343373E0"/>
    <w:rsid w:val="35395893"/>
    <w:rsid w:val="354208CB"/>
    <w:rsid w:val="355A4BDF"/>
    <w:rsid w:val="356E5D0D"/>
    <w:rsid w:val="360B2EED"/>
    <w:rsid w:val="361A4B1A"/>
    <w:rsid w:val="36232230"/>
    <w:rsid w:val="36380B2B"/>
    <w:rsid w:val="36EF3478"/>
    <w:rsid w:val="36F07AD7"/>
    <w:rsid w:val="373F0473"/>
    <w:rsid w:val="37405FBE"/>
    <w:rsid w:val="37BA04AC"/>
    <w:rsid w:val="37D8094D"/>
    <w:rsid w:val="37EE303B"/>
    <w:rsid w:val="38196D87"/>
    <w:rsid w:val="38255676"/>
    <w:rsid w:val="3920029D"/>
    <w:rsid w:val="39621706"/>
    <w:rsid w:val="39A92331"/>
    <w:rsid w:val="39B00F03"/>
    <w:rsid w:val="39CA1DD7"/>
    <w:rsid w:val="39E45FAA"/>
    <w:rsid w:val="3A067CE8"/>
    <w:rsid w:val="3A147474"/>
    <w:rsid w:val="3A341FD1"/>
    <w:rsid w:val="3A3B4B65"/>
    <w:rsid w:val="3AAC1FB8"/>
    <w:rsid w:val="3AB6680E"/>
    <w:rsid w:val="3AF3505D"/>
    <w:rsid w:val="3AF83D3F"/>
    <w:rsid w:val="3BC90D5C"/>
    <w:rsid w:val="3BCB1F97"/>
    <w:rsid w:val="3BCF5B1D"/>
    <w:rsid w:val="3BD93627"/>
    <w:rsid w:val="3BEE42A7"/>
    <w:rsid w:val="3BF94D3A"/>
    <w:rsid w:val="3C38417D"/>
    <w:rsid w:val="3C3C6E20"/>
    <w:rsid w:val="3C44606F"/>
    <w:rsid w:val="3C97584D"/>
    <w:rsid w:val="3CA627CB"/>
    <w:rsid w:val="3CC50F8A"/>
    <w:rsid w:val="3CE33346"/>
    <w:rsid w:val="3D9864A2"/>
    <w:rsid w:val="3DAD1629"/>
    <w:rsid w:val="3E6F2CB2"/>
    <w:rsid w:val="3E8E73EF"/>
    <w:rsid w:val="3EC27DC1"/>
    <w:rsid w:val="3F612DC9"/>
    <w:rsid w:val="3F7D3C25"/>
    <w:rsid w:val="3F9F687E"/>
    <w:rsid w:val="3FAA792B"/>
    <w:rsid w:val="3FFA4955"/>
    <w:rsid w:val="4037291F"/>
    <w:rsid w:val="40951B04"/>
    <w:rsid w:val="40A6363D"/>
    <w:rsid w:val="40C86F7A"/>
    <w:rsid w:val="40EE04B9"/>
    <w:rsid w:val="41260DC6"/>
    <w:rsid w:val="41C47928"/>
    <w:rsid w:val="41C667DD"/>
    <w:rsid w:val="41D325B4"/>
    <w:rsid w:val="42291FBB"/>
    <w:rsid w:val="422C3025"/>
    <w:rsid w:val="42610B3B"/>
    <w:rsid w:val="42A02D9B"/>
    <w:rsid w:val="42BF2807"/>
    <w:rsid w:val="42DF49D4"/>
    <w:rsid w:val="42FC44A5"/>
    <w:rsid w:val="43370708"/>
    <w:rsid w:val="43503578"/>
    <w:rsid w:val="435D2BE4"/>
    <w:rsid w:val="43EF4FDF"/>
    <w:rsid w:val="44115DC4"/>
    <w:rsid w:val="44650B6C"/>
    <w:rsid w:val="451A5A98"/>
    <w:rsid w:val="452D2631"/>
    <w:rsid w:val="45550B1D"/>
    <w:rsid w:val="45617768"/>
    <w:rsid w:val="458624A4"/>
    <w:rsid w:val="45D24718"/>
    <w:rsid w:val="462C73F0"/>
    <w:rsid w:val="46C77A8D"/>
    <w:rsid w:val="47024A0F"/>
    <w:rsid w:val="471C5673"/>
    <w:rsid w:val="478035D4"/>
    <w:rsid w:val="47ED2734"/>
    <w:rsid w:val="489B3BCA"/>
    <w:rsid w:val="489C7506"/>
    <w:rsid w:val="48AB197C"/>
    <w:rsid w:val="48BE34D3"/>
    <w:rsid w:val="48F0011F"/>
    <w:rsid w:val="493614CE"/>
    <w:rsid w:val="49423962"/>
    <w:rsid w:val="494F21AA"/>
    <w:rsid w:val="49A6178B"/>
    <w:rsid w:val="49DD3F38"/>
    <w:rsid w:val="49F01B13"/>
    <w:rsid w:val="49FC1D63"/>
    <w:rsid w:val="4A4D7683"/>
    <w:rsid w:val="4A91694F"/>
    <w:rsid w:val="4ABE526B"/>
    <w:rsid w:val="4B612C2F"/>
    <w:rsid w:val="4B6E6C91"/>
    <w:rsid w:val="4B805A13"/>
    <w:rsid w:val="4BAB11AD"/>
    <w:rsid w:val="4C415FF4"/>
    <w:rsid w:val="4C4F511E"/>
    <w:rsid w:val="4C727459"/>
    <w:rsid w:val="4CD761E1"/>
    <w:rsid w:val="4D6116C2"/>
    <w:rsid w:val="4DBF26EC"/>
    <w:rsid w:val="4E005888"/>
    <w:rsid w:val="4E1C5DB8"/>
    <w:rsid w:val="4ED72E69"/>
    <w:rsid w:val="4F0D2AF3"/>
    <w:rsid w:val="4F8013D4"/>
    <w:rsid w:val="4FCD1E2A"/>
    <w:rsid w:val="50314576"/>
    <w:rsid w:val="50314B20"/>
    <w:rsid w:val="50902987"/>
    <w:rsid w:val="50963268"/>
    <w:rsid w:val="50DE0DB9"/>
    <w:rsid w:val="50DE2D6A"/>
    <w:rsid w:val="50EA7435"/>
    <w:rsid w:val="515D0841"/>
    <w:rsid w:val="51CD43DF"/>
    <w:rsid w:val="51FA1956"/>
    <w:rsid w:val="520D7203"/>
    <w:rsid w:val="52101769"/>
    <w:rsid w:val="52341F69"/>
    <w:rsid w:val="525940F8"/>
    <w:rsid w:val="525A40DE"/>
    <w:rsid w:val="528F7D05"/>
    <w:rsid w:val="52F65830"/>
    <w:rsid w:val="53191722"/>
    <w:rsid w:val="533C1422"/>
    <w:rsid w:val="53501985"/>
    <w:rsid w:val="538424C3"/>
    <w:rsid w:val="53A44BBD"/>
    <w:rsid w:val="53EC1004"/>
    <w:rsid w:val="546572D0"/>
    <w:rsid w:val="55326D32"/>
    <w:rsid w:val="557C477C"/>
    <w:rsid w:val="566E24EC"/>
    <w:rsid w:val="569E236B"/>
    <w:rsid w:val="57225248"/>
    <w:rsid w:val="573465ED"/>
    <w:rsid w:val="58127C2E"/>
    <w:rsid w:val="58B112D4"/>
    <w:rsid w:val="58B161F8"/>
    <w:rsid w:val="58FA4B17"/>
    <w:rsid w:val="59A86D05"/>
    <w:rsid w:val="59F90924"/>
    <w:rsid w:val="5AAF0D79"/>
    <w:rsid w:val="5AB7027D"/>
    <w:rsid w:val="5AC57CD1"/>
    <w:rsid w:val="5ADF62B1"/>
    <w:rsid w:val="5B035423"/>
    <w:rsid w:val="5B216205"/>
    <w:rsid w:val="5B2E7D9A"/>
    <w:rsid w:val="5B313BDC"/>
    <w:rsid w:val="5B6360E6"/>
    <w:rsid w:val="5B805A6D"/>
    <w:rsid w:val="5BD112A2"/>
    <w:rsid w:val="5C195C57"/>
    <w:rsid w:val="5C3744A4"/>
    <w:rsid w:val="5C4028A3"/>
    <w:rsid w:val="5C4816E5"/>
    <w:rsid w:val="5C8254BE"/>
    <w:rsid w:val="5CC934E6"/>
    <w:rsid w:val="5CD36FC2"/>
    <w:rsid w:val="5D052991"/>
    <w:rsid w:val="5D220214"/>
    <w:rsid w:val="5D4E3B85"/>
    <w:rsid w:val="5D5F0D3B"/>
    <w:rsid w:val="5D7B1789"/>
    <w:rsid w:val="5D822253"/>
    <w:rsid w:val="5DA17A0F"/>
    <w:rsid w:val="5DB750E6"/>
    <w:rsid w:val="5DC85867"/>
    <w:rsid w:val="5DFC3E4E"/>
    <w:rsid w:val="5E0B18DB"/>
    <w:rsid w:val="5EA8758B"/>
    <w:rsid w:val="5F4D7ADB"/>
    <w:rsid w:val="60AD5C1E"/>
    <w:rsid w:val="60C91478"/>
    <w:rsid w:val="61634CC4"/>
    <w:rsid w:val="61776D2E"/>
    <w:rsid w:val="62DD2AAB"/>
    <w:rsid w:val="62F51D1A"/>
    <w:rsid w:val="632017B5"/>
    <w:rsid w:val="63E562C2"/>
    <w:rsid w:val="640C71DD"/>
    <w:rsid w:val="64286655"/>
    <w:rsid w:val="64630CF2"/>
    <w:rsid w:val="649539FF"/>
    <w:rsid w:val="64D759E4"/>
    <w:rsid w:val="65030645"/>
    <w:rsid w:val="6519044A"/>
    <w:rsid w:val="658B3340"/>
    <w:rsid w:val="65AC5A4D"/>
    <w:rsid w:val="662E7E1F"/>
    <w:rsid w:val="66670878"/>
    <w:rsid w:val="67087A99"/>
    <w:rsid w:val="673768CD"/>
    <w:rsid w:val="67B2504B"/>
    <w:rsid w:val="67BC1FEE"/>
    <w:rsid w:val="67DD1ABE"/>
    <w:rsid w:val="67EE0B70"/>
    <w:rsid w:val="68084DFA"/>
    <w:rsid w:val="6833207F"/>
    <w:rsid w:val="68506EFF"/>
    <w:rsid w:val="68764CD9"/>
    <w:rsid w:val="68F71772"/>
    <w:rsid w:val="69637C35"/>
    <w:rsid w:val="6A2D2F30"/>
    <w:rsid w:val="6A3567AC"/>
    <w:rsid w:val="6A6931C9"/>
    <w:rsid w:val="6ABA4D63"/>
    <w:rsid w:val="6B1137C8"/>
    <w:rsid w:val="6B1F7E37"/>
    <w:rsid w:val="6B362C86"/>
    <w:rsid w:val="6B885044"/>
    <w:rsid w:val="6BA071B2"/>
    <w:rsid w:val="6BFB5EC7"/>
    <w:rsid w:val="6C07461B"/>
    <w:rsid w:val="6C173533"/>
    <w:rsid w:val="6C2C007B"/>
    <w:rsid w:val="6C783B94"/>
    <w:rsid w:val="6CBC7AFD"/>
    <w:rsid w:val="6D3B79C7"/>
    <w:rsid w:val="6DD422ED"/>
    <w:rsid w:val="6DE44E65"/>
    <w:rsid w:val="6DF87B2A"/>
    <w:rsid w:val="6E492986"/>
    <w:rsid w:val="6E5411AC"/>
    <w:rsid w:val="6E753D0F"/>
    <w:rsid w:val="6EC9147E"/>
    <w:rsid w:val="6EF71D12"/>
    <w:rsid w:val="6EFC105A"/>
    <w:rsid w:val="6F4E27BA"/>
    <w:rsid w:val="6F576E2C"/>
    <w:rsid w:val="701A5B7C"/>
    <w:rsid w:val="70250824"/>
    <w:rsid w:val="704F24FF"/>
    <w:rsid w:val="70A33C1F"/>
    <w:rsid w:val="70B154C7"/>
    <w:rsid w:val="70E51081"/>
    <w:rsid w:val="71106C01"/>
    <w:rsid w:val="71284D77"/>
    <w:rsid w:val="720535FB"/>
    <w:rsid w:val="724E257A"/>
    <w:rsid w:val="7251239D"/>
    <w:rsid w:val="7292787D"/>
    <w:rsid w:val="72DF3748"/>
    <w:rsid w:val="72F509E1"/>
    <w:rsid w:val="73045661"/>
    <w:rsid w:val="730B2E93"/>
    <w:rsid w:val="73781BAB"/>
    <w:rsid w:val="73D86F50"/>
    <w:rsid w:val="74576634"/>
    <w:rsid w:val="750A6FB6"/>
    <w:rsid w:val="751E2DB2"/>
    <w:rsid w:val="75856452"/>
    <w:rsid w:val="75CD3EE2"/>
    <w:rsid w:val="75F575B2"/>
    <w:rsid w:val="75F95225"/>
    <w:rsid w:val="764C17F9"/>
    <w:rsid w:val="76967224"/>
    <w:rsid w:val="76B312F6"/>
    <w:rsid w:val="77030F04"/>
    <w:rsid w:val="77114EC1"/>
    <w:rsid w:val="77AC44E4"/>
    <w:rsid w:val="77CD6452"/>
    <w:rsid w:val="77EF4B32"/>
    <w:rsid w:val="784403E0"/>
    <w:rsid w:val="78C22246"/>
    <w:rsid w:val="78EE465E"/>
    <w:rsid w:val="78FF5EC9"/>
    <w:rsid w:val="79117BEB"/>
    <w:rsid w:val="796006BF"/>
    <w:rsid w:val="79A0594C"/>
    <w:rsid w:val="79A40BD3"/>
    <w:rsid w:val="7A08239F"/>
    <w:rsid w:val="7A161D4A"/>
    <w:rsid w:val="7A592736"/>
    <w:rsid w:val="7AC16712"/>
    <w:rsid w:val="7B0A57DF"/>
    <w:rsid w:val="7B9B28DB"/>
    <w:rsid w:val="7BE53740"/>
    <w:rsid w:val="7C1A1025"/>
    <w:rsid w:val="7C5D3FF3"/>
    <w:rsid w:val="7C6D24C9"/>
    <w:rsid w:val="7C756BBB"/>
    <w:rsid w:val="7CEE3CAB"/>
    <w:rsid w:val="7D4315C7"/>
    <w:rsid w:val="7DF47DA4"/>
    <w:rsid w:val="7E1D6DD0"/>
    <w:rsid w:val="7E6132A9"/>
    <w:rsid w:val="7E805978"/>
    <w:rsid w:val="7F7620E1"/>
    <w:rsid w:val="7FB15B52"/>
    <w:rsid w:val="7FC53968"/>
    <w:rsid w:val="7FC82E80"/>
    <w:rsid w:val="7FD33EFB"/>
    <w:rsid w:val="7FE02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99"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600" w:lineRule="exact"/>
      <w:ind w:firstLine="880" w:firstLineChars="200"/>
      <w:outlineLvl w:val="0"/>
    </w:pPr>
    <w:rPr>
      <w:rFonts w:eastAsia="黑体"/>
      <w:kern w:val="44"/>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keepNext/>
      <w:keepLines/>
      <w:spacing w:line="413" w:lineRule="auto"/>
      <w:outlineLvl w:val="2"/>
    </w:pPr>
    <w:rPr>
      <w:b/>
      <w:sz w:val="32"/>
    </w:rPr>
  </w:style>
  <w:style w:type="paragraph" w:styleId="5">
    <w:name w:val="heading 4"/>
    <w:basedOn w:val="1"/>
    <w:next w:val="1"/>
    <w:semiHidden/>
    <w:unhideWhenUsed/>
    <w:qFormat/>
    <w:uiPriority w:val="0"/>
    <w:pPr>
      <w:keepNext/>
      <w:keepLines/>
      <w:spacing w:line="372" w:lineRule="auto"/>
      <w:outlineLvl w:val="3"/>
    </w:pPr>
    <w:rPr>
      <w:rFonts w:ascii="Arial" w:hAnsi="Arial" w:eastAsia="黑体"/>
      <w:b/>
      <w:sz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index 6"/>
    <w:basedOn w:val="1"/>
    <w:next w:val="1"/>
    <w:semiHidden/>
    <w:qFormat/>
    <w:uiPriority w:val="99"/>
    <w:pPr>
      <w:ind w:left="2100"/>
    </w:pPr>
  </w:style>
  <w:style w:type="paragraph" w:styleId="7">
    <w:name w:val="Body Text"/>
    <w:basedOn w:val="1"/>
    <w:next w:val="1"/>
    <w:qFormat/>
    <w:uiPriority w:val="1"/>
    <w:pPr>
      <w:ind w:left="111" w:right="283"/>
    </w:pPr>
    <w:rPr>
      <w:rFonts w:ascii="仿宋_GB2312" w:hAnsi="仿宋_GB2312" w:eastAsia="仿宋_GB2312" w:cs="仿宋_GB2312"/>
      <w:sz w:val="32"/>
      <w:szCs w:val="32"/>
      <w:lang w:val="zh-CN" w:bidi="zh-CN"/>
    </w:rPr>
  </w:style>
  <w:style w:type="paragraph" w:styleId="8">
    <w:name w:val="Body Text Indent"/>
    <w:basedOn w:val="1"/>
    <w:next w:val="1"/>
    <w:unhideWhenUsed/>
    <w:qFormat/>
    <w:uiPriority w:val="99"/>
    <w:pPr>
      <w:spacing w:after="120"/>
      <w:ind w:left="420" w:leftChars="200"/>
    </w:pPr>
  </w:style>
  <w:style w:type="paragraph" w:styleId="9">
    <w:name w:val="toc 3"/>
    <w:basedOn w:val="1"/>
    <w:next w:val="1"/>
    <w:qFormat/>
    <w:uiPriority w:val="39"/>
    <w:pPr>
      <w:ind w:left="840" w:leftChars="400"/>
    </w:pPr>
  </w:style>
  <w:style w:type="paragraph" w:styleId="10">
    <w:name w:val="endnote text"/>
    <w:basedOn w:val="1"/>
    <w:semiHidden/>
    <w:qFormat/>
    <w:uiPriority w:val="99"/>
    <w:pPr>
      <w:snapToGrid w:val="0"/>
      <w:jc w:val="left"/>
    </w:pPr>
  </w:style>
  <w:style w:type="paragraph" w:styleId="11">
    <w:name w:val="Balloon Text"/>
    <w:basedOn w:val="1"/>
    <w:next w:val="10"/>
    <w:semiHidden/>
    <w:qFormat/>
    <w:uiPriority w:val="99"/>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39"/>
  </w:style>
  <w:style w:type="paragraph" w:styleId="15">
    <w:name w:val="toc 4"/>
    <w:basedOn w:val="1"/>
    <w:next w:val="1"/>
    <w:qFormat/>
    <w:uiPriority w:val="39"/>
    <w:pPr>
      <w:ind w:left="1260" w:leftChars="600"/>
    </w:pPr>
  </w:style>
  <w:style w:type="paragraph" w:styleId="16">
    <w:name w:val="toc 2"/>
    <w:basedOn w:val="1"/>
    <w:next w:val="1"/>
    <w:qFormat/>
    <w:uiPriority w:val="39"/>
    <w:pPr>
      <w:ind w:left="420" w:leftChars="200"/>
    </w:pPr>
  </w:style>
  <w:style w:type="paragraph" w:styleId="17">
    <w:name w:val="Normal (Web)"/>
    <w:basedOn w:val="1"/>
    <w:qFormat/>
    <w:uiPriority w:val="0"/>
    <w:pPr>
      <w:spacing w:beforeAutospacing="1" w:afterAutospacing="1"/>
      <w:jc w:val="left"/>
    </w:pPr>
    <w:rPr>
      <w:rFonts w:cs="Times New Roman"/>
      <w:kern w:val="0"/>
      <w:sz w:val="24"/>
    </w:rPr>
  </w:style>
  <w:style w:type="paragraph" w:styleId="18">
    <w:name w:val="Body Text First Indent 2"/>
    <w:basedOn w:val="8"/>
    <w:next w:val="6"/>
    <w:qFormat/>
    <w:uiPriority w:val="0"/>
    <w:pPr>
      <w:spacing w:after="0"/>
      <w:ind w:left="0" w:leftChars="0" w:firstLine="420" w:firstLineChars="200"/>
    </w:pPr>
    <w:rPr>
      <w:rFonts w:ascii="宋体" w:hAnsi="宋体" w:eastAsia="宋体" w:cs="Times New Roman"/>
      <w:sz w:val="28"/>
      <w:szCs w:val="28"/>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b/>
    </w:rPr>
  </w:style>
  <w:style w:type="character" w:styleId="23">
    <w:name w:val="Hyperlink"/>
    <w:basedOn w:val="21"/>
    <w:unhideWhenUsed/>
    <w:qFormat/>
    <w:uiPriority w:val="99"/>
    <w:rPr>
      <w:rFonts w:ascii="Tahoma" w:hAnsi="Tahoma" w:eastAsia="仿宋_GB2312" w:cs="Times New Roman"/>
      <w:color w:val="0000FF"/>
      <w:sz w:val="24"/>
      <w:szCs w:val="32"/>
      <w:u w:val="single"/>
    </w:rPr>
  </w:style>
  <w:style w:type="paragraph" w:customStyle="1" w:styleId="24">
    <w:name w:val="Heading3"/>
    <w:basedOn w:val="1"/>
    <w:next w:val="1"/>
    <w:qFormat/>
    <w:uiPriority w:val="0"/>
    <w:pPr>
      <w:jc w:val="left"/>
      <w:textAlignment w:val="baseline"/>
    </w:pPr>
    <w:rPr>
      <w:rFonts w:ascii="宋体" w:hAnsi="宋体" w:eastAsia="宋体"/>
      <w:b/>
      <w:kern w:val="0"/>
      <w:sz w:val="27"/>
      <w:szCs w:val="27"/>
    </w:rPr>
  </w:style>
  <w:style w:type="paragraph" w:customStyle="1" w:styleId="25">
    <w:name w:val="TOC1"/>
    <w:basedOn w:val="1"/>
    <w:next w:val="1"/>
    <w:qFormat/>
    <w:uiPriority w:val="0"/>
    <w:rPr>
      <w:rFonts w:ascii="Times New Roman" w:hAnsi="Times New Roman" w:eastAsia="宋体"/>
    </w:rPr>
  </w:style>
  <w:style w:type="character" w:customStyle="1" w:styleId="26">
    <w:name w:val="font01"/>
    <w:basedOn w:val="21"/>
    <w:qFormat/>
    <w:uiPriority w:val="0"/>
    <w:rPr>
      <w:rFonts w:hint="default" w:ascii="Wingdings" w:hAnsi="Wingdings" w:cs="Wingdings"/>
      <w:color w:val="000000"/>
      <w:sz w:val="22"/>
      <w:szCs w:val="22"/>
      <w:u w:val="none"/>
    </w:rPr>
  </w:style>
  <w:style w:type="character" w:customStyle="1" w:styleId="27">
    <w:name w:val="font51"/>
    <w:basedOn w:val="21"/>
    <w:qFormat/>
    <w:uiPriority w:val="0"/>
    <w:rPr>
      <w:rFonts w:hint="eastAsia" w:ascii="宋体" w:hAnsi="宋体" w:eastAsia="宋体" w:cs="宋体"/>
      <w:color w:val="000000"/>
      <w:sz w:val="22"/>
      <w:szCs w:val="22"/>
      <w:u w:val="none"/>
    </w:rPr>
  </w:style>
  <w:style w:type="character" w:customStyle="1" w:styleId="28">
    <w:name w:val="font81"/>
    <w:basedOn w:val="21"/>
    <w:qFormat/>
    <w:uiPriority w:val="0"/>
    <w:rPr>
      <w:rFonts w:ascii="Wingdings 2" w:hAnsi="Wingdings 2" w:eastAsia="Wingdings 2" w:cs="Wingdings 2"/>
      <w:color w:val="000000"/>
      <w:sz w:val="22"/>
      <w:szCs w:val="22"/>
      <w:u w:val="none"/>
    </w:rPr>
  </w:style>
  <w:style w:type="character" w:customStyle="1" w:styleId="29">
    <w:name w:val="font71"/>
    <w:basedOn w:val="21"/>
    <w:qFormat/>
    <w:uiPriority w:val="0"/>
    <w:rPr>
      <w:rFonts w:hint="default" w:ascii="Wingdings" w:hAnsi="Wingdings" w:cs="Wingdings"/>
      <w:color w:val="000000"/>
      <w:sz w:val="22"/>
      <w:szCs w:val="22"/>
      <w:u w:val="none"/>
    </w:rPr>
  </w:style>
  <w:style w:type="character" w:customStyle="1" w:styleId="30">
    <w:name w:val="font101"/>
    <w:basedOn w:val="21"/>
    <w:qFormat/>
    <w:uiPriority w:val="0"/>
    <w:rPr>
      <w:rFonts w:hint="eastAsia" w:ascii="宋体" w:hAnsi="宋体" w:eastAsia="宋体" w:cs="宋体"/>
      <w:color w:val="000000"/>
      <w:sz w:val="22"/>
      <w:szCs w:val="22"/>
      <w:u w:val="none"/>
    </w:rPr>
  </w:style>
  <w:style w:type="character" w:customStyle="1" w:styleId="31">
    <w:name w:val="font112"/>
    <w:basedOn w:val="21"/>
    <w:qFormat/>
    <w:uiPriority w:val="0"/>
    <w:rPr>
      <w:rFonts w:hint="default" w:ascii="Wingdings 2" w:hAnsi="Wingdings 2" w:eastAsia="Wingdings 2" w:cs="Wingdings 2"/>
      <w:color w:val="000000"/>
      <w:sz w:val="22"/>
      <w:szCs w:val="22"/>
      <w:u w:val="none"/>
    </w:rPr>
  </w:style>
  <w:style w:type="character" w:customStyle="1" w:styleId="32">
    <w:name w:val="font91"/>
    <w:basedOn w:val="21"/>
    <w:qFormat/>
    <w:uiPriority w:val="0"/>
    <w:rPr>
      <w:rFonts w:hint="default" w:ascii="Wingdings" w:hAnsi="Wingdings" w:cs="Wingdings"/>
      <w:color w:val="000000"/>
      <w:sz w:val="22"/>
      <w:szCs w:val="22"/>
      <w:u w:val="none"/>
    </w:rPr>
  </w:style>
  <w:style w:type="character" w:customStyle="1" w:styleId="33">
    <w:name w:val="font121"/>
    <w:basedOn w:val="21"/>
    <w:qFormat/>
    <w:uiPriority w:val="0"/>
    <w:rPr>
      <w:rFonts w:hint="eastAsia" w:ascii="宋体" w:hAnsi="宋体" w:eastAsia="宋体" w:cs="宋体"/>
      <w:color w:val="000000"/>
      <w:sz w:val="22"/>
      <w:szCs w:val="22"/>
      <w:u w:val="none"/>
    </w:rPr>
  </w:style>
  <w:style w:type="character" w:customStyle="1" w:styleId="34">
    <w:name w:val="font131"/>
    <w:basedOn w:val="21"/>
    <w:qFormat/>
    <w:uiPriority w:val="0"/>
    <w:rPr>
      <w:rFonts w:hint="default" w:ascii="Wingdings 2" w:hAnsi="Wingdings 2" w:eastAsia="Wingdings 2" w:cs="Wingdings 2"/>
      <w:color w:val="000000"/>
      <w:sz w:val="22"/>
      <w:szCs w:val="22"/>
      <w:u w:val="none"/>
    </w:rPr>
  </w:style>
  <w:style w:type="character" w:customStyle="1" w:styleId="35">
    <w:name w:val="font132"/>
    <w:basedOn w:val="21"/>
    <w:qFormat/>
    <w:uiPriority w:val="0"/>
    <w:rPr>
      <w:rFonts w:hint="default" w:ascii="Wingdings 2" w:hAnsi="Wingdings 2" w:eastAsia="Wingdings 2" w:cs="Wingdings 2"/>
      <w:color w:val="000000"/>
      <w:sz w:val="22"/>
      <w:szCs w:val="22"/>
      <w:u w:val="none"/>
    </w:rPr>
  </w:style>
  <w:style w:type="character" w:customStyle="1" w:styleId="36">
    <w:name w:val="font21"/>
    <w:basedOn w:val="21"/>
    <w:qFormat/>
    <w:uiPriority w:val="0"/>
    <w:rPr>
      <w:rFonts w:hint="default" w:ascii="Wingdings 2" w:hAnsi="Wingdings 2" w:eastAsia="Wingdings 2" w:cs="Wingdings 2"/>
      <w:color w:val="000000"/>
      <w:sz w:val="22"/>
      <w:szCs w:val="22"/>
      <w:u w:val="none"/>
    </w:rPr>
  </w:style>
  <w:style w:type="character" w:customStyle="1" w:styleId="37">
    <w:name w:val="font161"/>
    <w:basedOn w:val="21"/>
    <w:qFormat/>
    <w:uiPriority w:val="0"/>
    <w:rPr>
      <w:rFonts w:hint="eastAsia" w:ascii="宋体" w:hAnsi="宋体" w:eastAsia="宋体" w:cs="宋体"/>
      <w:color w:val="000000"/>
      <w:sz w:val="22"/>
      <w:szCs w:val="22"/>
      <w:u w:val="none"/>
    </w:rPr>
  </w:style>
  <w:style w:type="character" w:customStyle="1" w:styleId="38">
    <w:name w:val="font171"/>
    <w:basedOn w:val="21"/>
    <w:qFormat/>
    <w:uiPriority w:val="0"/>
    <w:rPr>
      <w:rFonts w:hint="default" w:ascii="Wingdings 2" w:hAnsi="Wingdings 2" w:eastAsia="Wingdings 2" w:cs="Wingdings 2"/>
      <w:b/>
      <w:bCs/>
      <w:color w:val="000000"/>
      <w:sz w:val="22"/>
      <w:szCs w:val="22"/>
      <w:u w:val="none"/>
    </w:rPr>
  </w:style>
  <w:style w:type="character" w:customStyle="1" w:styleId="39">
    <w:name w:val="font151"/>
    <w:basedOn w:val="21"/>
    <w:qFormat/>
    <w:uiPriority w:val="0"/>
    <w:rPr>
      <w:rFonts w:hint="default" w:ascii="Wingdings 2" w:hAnsi="Wingdings 2" w:eastAsia="Wingdings 2" w:cs="Wingdings 2"/>
      <w:color w:val="000000"/>
      <w:sz w:val="22"/>
      <w:szCs w:val="22"/>
      <w:u w:val="none"/>
    </w:rPr>
  </w:style>
  <w:style w:type="character" w:customStyle="1" w:styleId="40">
    <w:name w:val="font31"/>
    <w:basedOn w:val="21"/>
    <w:qFormat/>
    <w:uiPriority w:val="0"/>
    <w:rPr>
      <w:rFonts w:hint="eastAsia" w:ascii="宋体" w:hAnsi="宋体" w:eastAsia="宋体" w:cs="宋体"/>
      <w:color w:val="000000"/>
      <w:sz w:val="22"/>
      <w:szCs w:val="22"/>
      <w:u w:val="none"/>
    </w:rPr>
  </w:style>
  <w:style w:type="character" w:customStyle="1" w:styleId="41">
    <w:name w:val="font191"/>
    <w:basedOn w:val="21"/>
    <w:qFormat/>
    <w:uiPriority w:val="0"/>
    <w:rPr>
      <w:rFonts w:hint="default" w:ascii="Wingdings" w:hAnsi="Wingdings" w:cs="Wingdings"/>
      <w:color w:val="000000"/>
      <w:sz w:val="22"/>
      <w:szCs w:val="22"/>
      <w:u w:val="none"/>
    </w:rPr>
  </w:style>
  <w:style w:type="character" w:customStyle="1" w:styleId="42">
    <w:name w:val="font41"/>
    <w:basedOn w:val="21"/>
    <w:qFormat/>
    <w:uiPriority w:val="0"/>
    <w:rPr>
      <w:rFonts w:hint="eastAsia" w:ascii="仿宋" w:hAnsi="仿宋" w:eastAsia="仿宋" w:cs="仿宋"/>
      <w:color w:val="000000"/>
      <w:sz w:val="20"/>
      <w:szCs w:val="20"/>
      <w:u w:val="none"/>
    </w:rPr>
  </w:style>
  <w:style w:type="character" w:customStyle="1" w:styleId="43">
    <w:name w:val="font61"/>
    <w:basedOn w:val="21"/>
    <w:qFormat/>
    <w:uiPriority w:val="0"/>
    <w:rPr>
      <w:rFonts w:hint="eastAsia" w:ascii="宋体" w:hAnsi="宋体" w:eastAsia="宋体" w:cs="宋体"/>
      <w:color w:val="000000"/>
      <w:sz w:val="22"/>
      <w:szCs w:val="22"/>
      <w:u w:val="none"/>
    </w:rPr>
  </w:style>
  <w:style w:type="paragraph" w:customStyle="1" w:styleId="44">
    <w:name w:val="Table Paragraph"/>
    <w:basedOn w:val="1"/>
    <w:qFormat/>
    <w:uiPriority w:val="1"/>
    <w:rPr>
      <w:rFonts w:ascii="仿宋" w:hAnsi="仿宋" w:eastAsia="仿宋" w:cs="仿宋"/>
      <w:lang w:val="zh-CN" w:bidi="zh-CN"/>
    </w:rPr>
  </w:style>
  <w:style w:type="character" w:customStyle="1" w:styleId="45">
    <w:name w:val="font11"/>
    <w:basedOn w:val="21"/>
    <w:qFormat/>
    <w:uiPriority w:val="0"/>
    <w:rPr>
      <w:rFonts w:hint="eastAsia" w:ascii="宋体" w:hAnsi="宋体" w:eastAsia="宋体" w:cs="宋体"/>
      <w:color w:val="000000"/>
      <w:sz w:val="28"/>
      <w:szCs w:val="28"/>
      <w:u w:val="none"/>
    </w:rPr>
  </w:style>
  <w:style w:type="paragraph" w:customStyle="1" w:styleId="46">
    <w:name w:val="样式1"/>
    <w:basedOn w:val="1"/>
    <w:qFormat/>
    <w:uiPriority w:val="0"/>
    <w:pPr>
      <w:ind w:firstLine="200" w:firstLineChars="200"/>
    </w:pPr>
    <w:rPr>
      <w:rFonts w:ascii="Times New Roman" w:hAnsi="Times New Roman" w:eastAsia="仿宋_GB2312" w:cs="Times New Roman"/>
      <w:sz w:val="32"/>
    </w:rPr>
  </w:style>
  <w:style w:type="character" w:customStyle="1" w:styleId="47">
    <w:name w:val="NormalCharacter"/>
    <w:semiHidden/>
    <w:qFormat/>
    <w:uiPriority w:val="0"/>
    <w:rPr>
      <w:kern w:val="2"/>
      <w:sz w:val="21"/>
      <w:szCs w:val="24"/>
      <w:lang w:val="en-US" w:eastAsia="zh-CN" w:bidi="ar-SA"/>
    </w:rPr>
  </w:style>
  <w:style w:type="paragraph" w:customStyle="1" w:styleId="48">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2018&#24180;6&#26376;&#30456;&#20851;&#26448;&#26009;\&#21327;&#20250;&#26448;&#26009;\&#21830;&#36152;&#19994;&#32852;&#21512;&#20250;\2022&#24180;&#21830;&#36152;&#32852;&#21512;&#20250;&#26448;&#26009;\4.&#21439;&#22495;&#21830;&#19994;&#20307;&#31995;&#24314;&#35774;&#30456;&#20851;&#26448;&#26009;\&#27494;&#24179;&#21439;&#21830;&#19994;&#20307;&#31995;&#24314;&#35774;&#26448;&#26009;&#65288;&#26368;&#26032;&#65289;\&#27494;&#24179;&#21439;&#21830;&#19994;&#20307;&#31995;&#24314;&#35774;&#26448;&#26009;\&#27494;&#24179;&#21439;&#21830;&#19994;&#20307;&#31995;&#24314;&#35774;&#26448;&#26009;\&#26041;&#26696;&#32534;&#21046;&#30456;&#20851;&#26448;&#26009;\&#21508;&#20065;&#38215;&#21439;&#22495;&#24314;&#35774;&#34892;&#21160;&#39033;&#30446;&#28165;&#21333;(1)\&#20316;&#22270;&#26448;&#260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2022年连城县县域商业建设项目清单统计图</a:t>
            </a:r>
            <a:endParaRPr b="1"/>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multiLvlStrRef>
              <c:f>[作图材料.xlsx]Sheet15!$B$3:$I$4</c:f>
              <c:multiLvlStrCache>
                <c:ptCount val="8"/>
                <c:lvl>
                  <c:pt idx="0">
                    <c:v>新建</c:v>
                  </c:pt>
                  <c:pt idx="1">
                    <c:v>改造</c:v>
                  </c:pt>
                  <c:pt idx="2">
                    <c:v>新建</c:v>
                  </c:pt>
                  <c:pt idx="3">
                    <c:v>改造</c:v>
                  </c:pt>
                  <c:pt idx="4">
                    <c:v>新建</c:v>
                  </c:pt>
                  <c:pt idx="5">
                    <c:v>改造</c:v>
                  </c:pt>
                  <c:pt idx="6">
                    <c:v>新建</c:v>
                  </c:pt>
                  <c:pt idx="7">
                    <c:v>改造</c:v>
                  </c:pt>
                </c:lvl>
                <c:lvl>
                  <c:pt idx="0">
                    <c:v>1.县域商业网点</c:v>
                  </c:pt>
                  <c:pt idx="2">
                    <c:v>2.县域物流网络</c:v>
                  </c:pt>
                  <c:pt idx="4">
                    <c:v>3.县域流通网络</c:v>
                  </c:pt>
                  <c:pt idx="6">
                    <c:v>4.县域产业发展</c:v>
                  </c:pt>
                </c:lvl>
              </c:multiLvlStrCache>
            </c:multiLvlStrRef>
          </c:cat>
          <c:val>
            <c:numRef>
              <c:f>[作图材料.xlsx]Sheet15!$B$5:$I$5</c:f>
              <c:numCache>
                <c:formatCode>General</c:formatCode>
                <c:ptCount val="8"/>
                <c:pt idx="0">
                  <c:v>1</c:v>
                </c:pt>
                <c:pt idx="1">
                  <c:v>0</c:v>
                </c:pt>
                <c:pt idx="2">
                  <c:v>0</c:v>
                </c:pt>
                <c:pt idx="3">
                  <c:v>0</c:v>
                </c:pt>
                <c:pt idx="4">
                  <c:v>0</c:v>
                </c:pt>
                <c:pt idx="5">
                  <c:v>0</c:v>
                </c:pt>
                <c:pt idx="6">
                  <c:v>3</c:v>
                </c:pt>
                <c:pt idx="7">
                  <c:v>0</c:v>
                </c:pt>
              </c:numCache>
            </c:numRef>
          </c:val>
        </c:ser>
        <c:dLbls>
          <c:showLegendKey val="0"/>
          <c:showVal val="1"/>
          <c:showCatName val="0"/>
          <c:showSerName val="0"/>
          <c:showPercent val="0"/>
          <c:showBubbleSize val="0"/>
        </c:dLbls>
        <c:gapWidth val="219"/>
        <c:overlap val="-27"/>
        <c:axId val="180367360"/>
        <c:axId val="180368896"/>
      </c:barChart>
      <c:catAx>
        <c:axId val="18036736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180368896"/>
        <c:crosses val="autoZero"/>
        <c:auto val="1"/>
        <c:lblAlgn val="ctr"/>
        <c:lblOffset val="100"/>
        <c:noMultiLvlLbl val="0"/>
      </c:catAx>
      <c:valAx>
        <c:axId val="18036889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18036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b="1"/>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738395-E985-4CF1-8387-2C79BA42FA04}">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19164</Words>
  <Characters>20864</Characters>
  <Lines>541</Lines>
  <Paragraphs>152</Paragraphs>
  <TotalTime>59</TotalTime>
  <ScaleCrop>false</ScaleCrop>
  <LinksUpToDate>false</LinksUpToDate>
  <CharactersWithSpaces>21358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2022-04-08T09:30:00Z</dcterms:created>
  <dc:creator>iPhone</dc:creator>
  <cp:lastModifiedBy>妄</cp:lastModifiedBy>
  <dcterms:modified xsi:type="dcterms:W3CDTF">2022-12-12T03:12:11Z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AA29CFF34B834A579E06A6340F1FA5B2</vt:lpwstr>
  </property>
  <property fmtid="{D5CDD505-2E9C-101B-9397-08002B2CF9AE}" pid="4" name="commondata">
    <vt:lpwstr>eyJoZGlkIjoiMTg3NzVlNzZiYmZjODgwNGNmOTcyNDlmZjUzOTJjMGIifQ==</vt:lpwstr>
  </property>
</Properties>
</file>