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3B77E">
      <w:pPr>
        <w:pStyle w:val="2"/>
        <w:spacing w:line="246" w:lineRule="auto"/>
      </w:pPr>
    </w:p>
    <w:p w14:paraId="63E588D2">
      <w:pPr>
        <w:pStyle w:val="2"/>
        <w:spacing w:line="246" w:lineRule="auto"/>
      </w:pPr>
    </w:p>
    <w:p w14:paraId="054D6EB6">
      <w:pPr>
        <w:pStyle w:val="2"/>
        <w:spacing w:line="246" w:lineRule="auto"/>
      </w:pPr>
    </w:p>
    <w:p w14:paraId="67ED315A">
      <w:pPr>
        <w:pStyle w:val="2"/>
        <w:spacing w:line="246" w:lineRule="auto"/>
      </w:pPr>
    </w:p>
    <w:p w14:paraId="23AFD014">
      <w:pPr>
        <w:pStyle w:val="2"/>
        <w:spacing w:line="247" w:lineRule="auto"/>
      </w:pPr>
    </w:p>
    <w:p w14:paraId="49397F1E">
      <w:pPr>
        <w:pStyle w:val="2"/>
        <w:spacing w:line="247" w:lineRule="auto"/>
      </w:pPr>
    </w:p>
    <w:p w14:paraId="2EC3F2C0">
      <w:pPr>
        <w:pStyle w:val="2"/>
        <w:spacing w:line="247" w:lineRule="auto"/>
      </w:pPr>
    </w:p>
    <w:p w14:paraId="5F92CDA7">
      <w:pPr>
        <w:pStyle w:val="2"/>
        <w:spacing w:line="247" w:lineRule="auto"/>
      </w:pPr>
    </w:p>
    <w:p w14:paraId="58C6DA9B">
      <w:pPr>
        <w:pStyle w:val="2"/>
        <w:spacing w:line="247" w:lineRule="auto"/>
      </w:pPr>
    </w:p>
    <w:p w14:paraId="0B3033A7">
      <w:pPr>
        <w:pStyle w:val="2"/>
        <w:spacing w:line="247" w:lineRule="auto"/>
      </w:pPr>
    </w:p>
    <w:p w14:paraId="63E78EA6">
      <w:pPr>
        <w:pStyle w:val="2"/>
        <w:spacing w:line="247" w:lineRule="auto"/>
      </w:pPr>
    </w:p>
    <w:p w14:paraId="220D3210">
      <w:pPr>
        <w:pStyle w:val="2"/>
        <w:spacing w:line="247" w:lineRule="auto"/>
      </w:pPr>
    </w:p>
    <w:p w14:paraId="52D9641F">
      <w:pPr>
        <w:spacing w:before="250"/>
        <w:ind w:left="393"/>
        <w:outlineLvl w:val="0"/>
        <w:rPr>
          <w:rFonts w:ascii="宋体" w:hAnsi="宋体" w:eastAsia="宋体" w:cs="宋体"/>
          <w:sz w:val="77"/>
          <w:szCs w:val="77"/>
        </w:rPr>
      </w:pPr>
      <w:r>
        <w:rPr>
          <w:rFonts w:ascii="宋体" w:hAnsi="宋体" w:eastAsia="宋体" w:cs="宋体"/>
          <w:position w:val="-22"/>
          <w:sz w:val="77"/>
          <w:szCs w:val="77"/>
        </w:rPr>
        <w:drawing>
          <wp:inline distT="0" distB="0" distL="0" distR="0">
            <wp:extent cx="678815" cy="673100"/>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87"/>
                    <a:stretch>
                      <a:fillRect/>
                    </a:stretch>
                  </pic:blipFill>
                  <pic:spPr>
                    <a:xfrm>
                      <a:off x="0" y="0"/>
                      <a:ext cx="679446" cy="673149"/>
                    </a:xfrm>
                    <a:prstGeom prst="rect">
                      <a:avLst/>
                    </a:prstGeom>
                  </pic:spPr>
                </pic:pic>
              </a:graphicData>
            </a:graphic>
          </wp:inline>
        </w:drawing>
      </w:r>
      <w:r>
        <w:rPr>
          <w:rFonts w:ascii="宋体" w:hAnsi="宋体" w:eastAsia="宋体" w:cs="宋体"/>
          <w:b/>
          <w:bCs/>
          <w:spacing w:val="37"/>
          <w:sz w:val="77"/>
          <w:szCs w:val="77"/>
        </w:rPr>
        <w:t>能源统计报表制度</w:t>
      </w:r>
    </w:p>
    <w:p w14:paraId="6860630A">
      <w:pPr>
        <w:pStyle w:val="2"/>
        <w:spacing w:line="324" w:lineRule="auto"/>
      </w:pPr>
    </w:p>
    <w:p w14:paraId="7278DD1F">
      <w:pPr>
        <w:pStyle w:val="2"/>
        <w:spacing w:line="324" w:lineRule="auto"/>
      </w:pPr>
    </w:p>
    <w:p w14:paraId="40AE0C1E">
      <w:pPr>
        <w:spacing w:before="98" w:line="224" w:lineRule="auto"/>
        <w:ind w:left="1177"/>
        <w:rPr>
          <w:rFonts w:ascii="楷体" w:hAnsi="楷体" w:eastAsia="楷体" w:cs="楷体"/>
          <w:sz w:val="30"/>
          <w:szCs w:val="30"/>
        </w:rPr>
      </w:pPr>
      <w:r>
        <w:rPr>
          <w:rFonts w:ascii="楷体" w:hAnsi="楷体" w:eastAsia="楷体" w:cs="楷体"/>
          <w:b/>
          <w:bCs/>
          <w:spacing w:val="25"/>
          <w:sz w:val="30"/>
          <w:szCs w:val="30"/>
        </w:rPr>
        <w:t>(202</w:t>
      </w:r>
      <w:r>
        <w:rPr>
          <w:rFonts w:hint="eastAsia" w:ascii="楷体" w:hAnsi="楷体" w:eastAsia="楷体" w:cs="楷体"/>
          <w:b/>
          <w:bCs/>
          <w:spacing w:val="25"/>
          <w:sz w:val="30"/>
          <w:szCs w:val="30"/>
          <w:lang w:val="en-US" w:eastAsia="zh-CN"/>
        </w:rPr>
        <w:t>4</w:t>
      </w:r>
      <w:r>
        <w:rPr>
          <w:rFonts w:ascii="楷体" w:hAnsi="楷体" w:eastAsia="楷体" w:cs="楷体"/>
          <w:b/>
          <w:bCs/>
          <w:spacing w:val="25"/>
          <w:sz w:val="30"/>
          <w:szCs w:val="30"/>
        </w:rPr>
        <w:t>年统计年报和202</w:t>
      </w:r>
      <w:r>
        <w:rPr>
          <w:rFonts w:hint="eastAsia" w:ascii="楷体" w:hAnsi="楷体" w:eastAsia="楷体" w:cs="楷体"/>
          <w:b/>
          <w:bCs/>
          <w:spacing w:val="25"/>
          <w:sz w:val="30"/>
          <w:szCs w:val="30"/>
          <w:lang w:val="en-US" w:eastAsia="zh-CN"/>
        </w:rPr>
        <w:t>5</w:t>
      </w:r>
      <w:r>
        <w:rPr>
          <w:rFonts w:ascii="楷体" w:hAnsi="楷体" w:eastAsia="楷体" w:cs="楷体"/>
          <w:b/>
          <w:bCs/>
          <w:spacing w:val="25"/>
          <w:sz w:val="30"/>
          <w:szCs w:val="30"/>
        </w:rPr>
        <w:t>年定期统计报表)</w:t>
      </w:r>
    </w:p>
    <w:p w14:paraId="2C619C24">
      <w:pPr>
        <w:pStyle w:val="2"/>
      </w:pPr>
    </w:p>
    <w:p w14:paraId="3CA39948">
      <w:pPr>
        <w:pStyle w:val="2"/>
      </w:pPr>
    </w:p>
    <w:p w14:paraId="302841CD">
      <w:pPr>
        <w:pStyle w:val="2"/>
      </w:pPr>
    </w:p>
    <w:p w14:paraId="7AC12B5D">
      <w:pPr>
        <w:pStyle w:val="2"/>
      </w:pPr>
    </w:p>
    <w:p w14:paraId="5917511A">
      <w:pPr>
        <w:pStyle w:val="2"/>
      </w:pPr>
    </w:p>
    <w:p w14:paraId="541028D1">
      <w:pPr>
        <w:pStyle w:val="2"/>
      </w:pPr>
    </w:p>
    <w:p w14:paraId="0C2177E9">
      <w:pPr>
        <w:pStyle w:val="2"/>
      </w:pPr>
    </w:p>
    <w:p w14:paraId="3DC90819">
      <w:pPr>
        <w:pStyle w:val="2"/>
      </w:pPr>
    </w:p>
    <w:p w14:paraId="3A3E6326">
      <w:pPr>
        <w:pStyle w:val="2"/>
      </w:pPr>
    </w:p>
    <w:p w14:paraId="66817834">
      <w:pPr>
        <w:pStyle w:val="2"/>
      </w:pPr>
    </w:p>
    <w:p w14:paraId="15152D55">
      <w:pPr>
        <w:pStyle w:val="2"/>
      </w:pPr>
    </w:p>
    <w:p w14:paraId="48CE097C">
      <w:pPr>
        <w:pStyle w:val="2"/>
      </w:pPr>
    </w:p>
    <w:p w14:paraId="6ED0BBED">
      <w:pPr>
        <w:pStyle w:val="2"/>
      </w:pPr>
    </w:p>
    <w:p w14:paraId="7D7E8BB8">
      <w:pPr>
        <w:pStyle w:val="2"/>
      </w:pPr>
    </w:p>
    <w:p w14:paraId="727E32B5">
      <w:pPr>
        <w:pStyle w:val="2"/>
      </w:pPr>
    </w:p>
    <w:p w14:paraId="2D321295">
      <w:pPr>
        <w:pStyle w:val="2"/>
      </w:pPr>
    </w:p>
    <w:p w14:paraId="1F2431DB">
      <w:pPr>
        <w:pStyle w:val="2"/>
      </w:pPr>
    </w:p>
    <w:p w14:paraId="40374739">
      <w:pPr>
        <w:pStyle w:val="2"/>
      </w:pPr>
    </w:p>
    <w:p w14:paraId="1CA608E4">
      <w:pPr>
        <w:pStyle w:val="2"/>
      </w:pPr>
    </w:p>
    <w:p w14:paraId="7F4CE993">
      <w:pPr>
        <w:pStyle w:val="2"/>
      </w:pPr>
    </w:p>
    <w:p w14:paraId="1C59C4AB">
      <w:pPr>
        <w:pStyle w:val="2"/>
      </w:pPr>
    </w:p>
    <w:p w14:paraId="19D95687">
      <w:pPr>
        <w:pStyle w:val="2"/>
      </w:pPr>
    </w:p>
    <w:p w14:paraId="4DD1B3B1">
      <w:pPr>
        <w:pStyle w:val="2"/>
      </w:pPr>
    </w:p>
    <w:p w14:paraId="277E7182">
      <w:pPr>
        <w:pStyle w:val="2"/>
      </w:pPr>
    </w:p>
    <w:p w14:paraId="48E298B8">
      <w:pPr>
        <w:pStyle w:val="2"/>
        <w:spacing w:line="241" w:lineRule="auto"/>
      </w:pPr>
    </w:p>
    <w:p w14:paraId="3EB4E6F3">
      <w:pPr>
        <w:pStyle w:val="2"/>
        <w:spacing w:line="241" w:lineRule="auto"/>
      </w:pPr>
    </w:p>
    <w:p w14:paraId="3DDB175A">
      <w:pPr>
        <w:spacing w:before="97" w:line="227" w:lineRule="auto"/>
        <w:ind w:left="3087"/>
        <w:rPr>
          <w:rFonts w:ascii="楷体" w:hAnsi="楷体" w:eastAsia="楷体" w:cs="楷体"/>
          <w:sz w:val="30"/>
          <w:szCs w:val="30"/>
        </w:rPr>
      </w:pPr>
      <w:r>
        <w:rPr>
          <w:rFonts w:ascii="楷体" w:hAnsi="楷体" w:eastAsia="楷体" w:cs="楷体"/>
          <w:b/>
          <w:bCs/>
          <w:spacing w:val="6"/>
          <w:sz w:val="30"/>
          <w:szCs w:val="30"/>
        </w:rPr>
        <w:t>国家统计局制定</w:t>
      </w:r>
    </w:p>
    <w:p w14:paraId="474C15F4">
      <w:pPr>
        <w:spacing w:before="332" w:line="222" w:lineRule="auto"/>
        <w:ind w:left="2897"/>
        <w:rPr>
          <w:rFonts w:ascii="楷体" w:hAnsi="楷体" w:eastAsia="楷体" w:cs="楷体"/>
          <w:sz w:val="30"/>
          <w:szCs w:val="30"/>
        </w:rPr>
      </w:pPr>
      <w:r>
        <w:rPr>
          <w:rFonts w:ascii="楷体" w:hAnsi="楷体" w:eastAsia="楷体" w:cs="楷体"/>
          <w:b/>
          <w:bCs/>
          <w:spacing w:val="11"/>
          <w:sz w:val="30"/>
          <w:szCs w:val="30"/>
        </w:rPr>
        <w:t>福建省统计局印刷</w:t>
      </w:r>
    </w:p>
    <w:p w14:paraId="7BBA8E8D">
      <w:pPr>
        <w:spacing w:before="326" w:line="225" w:lineRule="auto"/>
        <w:ind w:left="3277"/>
        <w:rPr>
          <w:rFonts w:ascii="楷体" w:hAnsi="楷体" w:eastAsia="楷体" w:cs="楷体"/>
          <w:sz w:val="30"/>
          <w:szCs w:val="30"/>
        </w:rPr>
      </w:pPr>
      <w:r>
        <w:rPr>
          <w:rFonts w:ascii="楷体" w:hAnsi="楷体" w:eastAsia="楷体" w:cs="楷体"/>
          <w:b/>
          <w:bCs/>
          <w:spacing w:val="33"/>
          <w:sz w:val="30"/>
          <w:szCs w:val="30"/>
        </w:rPr>
        <w:t>202</w:t>
      </w:r>
      <w:r>
        <w:rPr>
          <w:rFonts w:hint="eastAsia" w:ascii="楷体" w:hAnsi="楷体" w:eastAsia="楷体" w:cs="楷体"/>
          <w:b/>
          <w:bCs/>
          <w:spacing w:val="33"/>
          <w:sz w:val="30"/>
          <w:szCs w:val="30"/>
          <w:lang w:val="en-US" w:eastAsia="zh-CN"/>
        </w:rPr>
        <w:t>4</w:t>
      </w:r>
      <w:r>
        <w:rPr>
          <w:rFonts w:ascii="楷体" w:hAnsi="楷体" w:eastAsia="楷体" w:cs="楷体"/>
          <w:b/>
          <w:bCs/>
          <w:spacing w:val="33"/>
          <w:sz w:val="30"/>
          <w:szCs w:val="30"/>
        </w:rPr>
        <w:t>年12月</w:t>
      </w:r>
    </w:p>
    <w:p w14:paraId="1C69409C">
      <w:pPr>
        <w:spacing w:line="225" w:lineRule="auto"/>
        <w:rPr>
          <w:rFonts w:ascii="楷体" w:hAnsi="楷体" w:eastAsia="楷体" w:cs="楷体"/>
          <w:sz w:val="30"/>
          <w:szCs w:val="30"/>
        </w:rPr>
        <w:sectPr>
          <w:pgSz w:w="11910" w:h="16840"/>
          <w:pgMar w:top="1431" w:right="1786" w:bottom="0" w:left="1786" w:header="0" w:footer="0" w:gutter="0"/>
          <w:cols w:space="720" w:num="1"/>
        </w:sectPr>
      </w:pPr>
    </w:p>
    <w:p w14:paraId="2F7855F0">
      <w:pPr>
        <w:pStyle w:val="2"/>
        <w:spacing w:line="336" w:lineRule="auto"/>
      </w:pPr>
    </w:p>
    <w:p w14:paraId="612C5322">
      <w:pPr>
        <w:pStyle w:val="2"/>
        <w:spacing w:line="337" w:lineRule="auto"/>
      </w:pPr>
    </w:p>
    <w:p w14:paraId="42E36BC4">
      <w:pPr>
        <w:spacing w:before="91" w:line="219" w:lineRule="auto"/>
        <w:ind w:left="233"/>
        <w:rPr>
          <w:rFonts w:ascii="宋体" w:hAnsi="宋体" w:eastAsia="宋体" w:cs="宋体"/>
          <w:sz w:val="28"/>
          <w:szCs w:val="28"/>
        </w:rPr>
      </w:pPr>
      <w:r>
        <w:rPr>
          <w:rFonts w:ascii="宋体" w:hAnsi="宋体" w:eastAsia="宋体" w:cs="宋体"/>
          <w:spacing w:val="22"/>
          <w:sz w:val="28"/>
          <w:szCs w:val="28"/>
        </w:rPr>
        <w:t>本报表制度根据《中华人民共和国统计法》的有关规定制定</w:t>
      </w:r>
    </w:p>
    <w:p w14:paraId="5D9E0D90">
      <w:pPr>
        <w:pStyle w:val="2"/>
        <w:spacing w:line="259" w:lineRule="auto"/>
      </w:pPr>
    </w:p>
    <w:p w14:paraId="111049BE">
      <w:pPr>
        <w:pStyle w:val="2"/>
        <w:spacing w:line="259" w:lineRule="auto"/>
      </w:pPr>
    </w:p>
    <w:p w14:paraId="673721A9">
      <w:pPr>
        <w:pStyle w:val="2"/>
        <w:spacing w:line="259" w:lineRule="auto"/>
      </w:pPr>
    </w:p>
    <w:p w14:paraId="09F19408">
      <w:pPr>
        <w:spacing w:before="91" w:line="410" w:lineRule="auto"/>
        <w:ind w:left="13" w:right="70" w:firstLine="560"/>
        <w:jc w:val="both"/>
        <w:rPr>
          <w:rFonts w:ascii="仿宋" w:hAnsi="仿宋" w:eastAsia="仿宋" w:cs="仿宋"/>
          <w:sz w:val="28"/>
          <w:szCs w:val="28"/>
        </w:rPr>
      </w:pPr>
      <w:r>
        <w:rPr>
          <w:rFonts w:ascii="仿宋" w:hAnsi="仿宋" w:eastAsia="仿宋" w:cs="仿宋"/>
          <w:spacing w:val="-5"/>
          <w:sz w:val="28"/>
          <w:szCs w:val="28"/>
        </w:rPr>
        <w:t>《中华人民共和国统计法》第七条规定：国家机关、企业事业单</w:t>
      </w:r>
      <w:r>
        <w:rPr>
          <w:rFonts w:ascii="仿宋" w:hAnsi="仿宋" w:eastAsia="仿宋" w:cs="仿宋"/>
          <w:spacing w:val="8"/>
          <w:sz w:val="28"/>
          <w:szCs w:val="28"/>
        </w:rPr>
        <w:t xml:space="preserve"> </w:t>
      </w:r>
      <w:r>
        <w:rPr>
          <w:rFonts w:ascii="仿宋" w:hAnsi="仿宋" w:eastAsia="仿宋" w:cs="仿宋"/>
          <w:spacing w:val="-4"/>
          <w:sz w:val="28"/>
          <w:szCs w:val="28"/>
        </w:rPr>
        <w:t>位和其他组织以及个体工商户和个人等统计调查对象，必须依照本法</w:t>
      </w:r>
      <w:r>
        <w:rPr>
          <w:rFonts w:ascii="宋体" w:hAnsi="宋体" w:eastAsia="宋体" w:cs="宋体"/>
          <w:spacing w:val="8"/>
          <w:sz w:val="28"/>
          <w:szCs w:val="28"/>
        </w:rPr>
        <w:t xml:space="preserve"> </w:t>
      </w:r>
      <w:r>
        <w:rPr>
          <w:rFonts w:ascii="仿宋" w:hAnsi="仿宋" w:eastAsia="仿宋" w:cs="仿宋"/>
          <w:spacing w:val="-4"/>
          <w:sz w:val="28"/>
          <w:szCs w:val="28"/>
        </w:rPr>
        <w:t>和国家有关规定，真实、准确、完整、及时地提供统计调查所需</w:t>
      </w:r>
      <w:r>
        <w:rPr>
          <w:rFonts w:ascii="仿宋" w:hAnsi="仿宋" w:eastAsia="仿宋" w:cs="仿宋"/>
          <w:spacing w:val="-5"/>
          <w:sz w:val="28"/>
          <w:szCs w:val="28"/>
        </w:rPr>
        <w:t>的资</w:t>
      </w:r>
      <w:r>
        <w:rPr>
          <w:rFonts w:ascii="仿宋" w:hAnsi="仿宋" w:eastAsia="仿宋" w:cs="仿宋"/>
          <w:sz w:val="28"/>
          <w:szCs w:val="28"/>
        </w:rPr>
        <w:t xml:space="preserve"> </w:t>
      </w:r>
      <w:r>
        <w:rPr>
          <w:rFonts w:ascii="仿宋" w:hAnsi="仿宋" w:eastAsia="仿宋" w:cs="仿宋"/>
          <w:spacing w:val="-4"/>
          <w:sz w:val="28"/>
          <w:szCs w:val="28"/>
        </w:rPr>
        <w:t>料，不得提供不真实或者不完整的统计资料，不得迟报、拒报统</w:t>
      </w:r>
      <w:r>
        <w:rPr>
          <w:rFonts w:ascii="仿宋" w:hAnsi="仿宋" w:eastAsia="仿宋" w:cs="仿宋"/>
          <w:spacing w:val="-5"/>
          <w:sz w:val="28"/>
          <w:szCs w:val="28"/>
        </w:rPr>
        <w:t>计资</w:t>
      </w:r>
    </w:p>
    <w:p w14:paraId="1A219884">
      <w:pPr>
        <w:spacing w:line="220" w:lineRule="auto"/>
        <w:ind w:left="13"/>
        <w:rPr>
          <w:rFonts w:ascii="宋体" w:hAnsi="宋体" w:eastAsia="宋体" w:cs="宋体"/>
          <w:sz w:val="28"/>
          <w:szCs w:val="28"/>
        </w:rPr>
      </w:pPr>
      <w:r>
        <w:rPr>
          <w:rFonts w:ascii="宋体" w:hAnsi="宋体" w:eastAsia="宋体" w:cs="宋体"/>
          <w:spacing w:val="-13"/>
          <w:sz w:val="28"/>
          <w:szCs w:val="28"/>
        </w:rPr>
        <w:t>料。</w:t>
      </w:r>
    </w:p>
    <w:p w14:paraId="2E3FB335">
      <w:pPr>
        <w:pStyle w:val="2"/>
        <w:spacing w:line="275" w:lineRule="auto"/>
      </w:pPr>
    </w:p>
    <w:p w14:paraId="0D4953F8">
      <w:pPr>
        <w:pStyle w:val="2"/>
        <w:spacing w:line="275" w:lineRule="auto"/>
      </w:pPr>
    </w:p>
    <w:p w14:paraId="6C0682AF">
      <w:pPr>
        <w:pStyle w:val="2"/>
        <w:spacing w:line="275" w:lineRule="auto"/>
      </w:pPr>
    </w:p>
    <w:p w14:paraId="25CA50BB">
      <w:pPr>
        <w:spacing w:before="91" w:line="627" w:lineRule="exact"/>
        <w:ind w:right="75"/>
        <w:jc w:val="right"/>
        <w:rPr>
          <w:rFonts w:ascii="仿宋" w:hAnsi="仿宋" w:eastAsia="仿宋" w:cs="仿宋"/>
          <w:sz w:val="28"/>
          <w:szCs w:val="28"/>
        </w:rPr>
      </w:pPr>
      <w:r>
        <w:rPr>
          <w:rFonts w:ascii="仿宋" w:hAnsi="仿宋" w:eastAsia="仿宋" w:cs="仿宋"/>
          <w:spacing w:val="-4"/>
          <w:position w:val="26"/>
          <w:sz w:val="28"/>
          <w:szCs w:val="28"/>
        </w:rPr>
        <w:t>《中华人民共和国统计法》第九条规定：统计机构和</w:t>
      </w:r>
      <w:r>
        <w:rPr>
          <w:rFonts w:ascii="仿宋" w:hAnsi="仿宋" w:eastAsia="仿宋" w:cs="仿宋"/>
          <w:spacing w:val="-5"/>
          <w:position w:val="26"/>
          <w:sz w:val="28"/>
          <w:szCs w:val="28"/>
        </w:rPr>
        <w:t>统计人员对</w:t>
      </w:r>
    </w:p>
    <w:p w14:paraId="6076665A">
      <w:pPr>
        <w:spacing w:line="219" w:lineRule="auto"/>
        <w:jc w:val="right"/>
        <w:rPr>
          <w:rFonts w:ascii="仿宋" w:hAnsi="仿宋" w:eastAsia="仿宋" w:cs="仿宋"/>
          <w:sz w:val="28"/>
          <w:szCs w:val="28"/>
        </w:rPr>
      </w:pPr>
      <w:r>
        <w:rPr>
          <w:rFonts w:ascii="仿宋" w:hAnsi="仿宋" w:eastAsia="仿宋" w:cs="仿宋"/>
          <w:spacing w:val="-11"/>
          <w:sz w:val="28"/>
          <w:szCs w:val="28"/>
        </w:rPr>
        <w:t>在统计工作中知悉的国家秘密、商业秘密和个人信息，应当予以保密。</w:t>
      </w:r>
    </w:p>
    <w:p w14:paraId="4C783E27">
      <w:pPr>
        <w:pStyle w:val="2"/>
        <w:spacing w:line="244" w:lineRule="auto"/>
      </w:pPr>
    </w:p>
    <w:p w14:paraId="35BFB5A6">
      <w:pPr>
        <w:pStyle w:val="2"/>
        <w:spacing w:line="244" w:lineRule="auto"/>
      </w:pPr>
    </w:p>
    <w:p w14:paraId="278A24F4">
      <w:pPr>
        <w:pStyle w:val="2"/>
        <w:spacing w:line="244" w:lineRule="auto"/>
      </w:pPr>
    </w:p>
    <w:p w14:paraId="74EB1293">
      <w:pPr>
        <w:pStyle w:val="2"/>
        <w:spacing w:line="244" w:lineRule="auto"/>
      </w:pPr>
    </w:p>
    <w:p w14:paraId="38106A38">
      <w:pPr>
        <w:pStyle w:val="2"/>
        <w:spacing w:line="244" w:lineRule="auto"/>
      </w:pPr>
    </w:p>
    <w:p w14:paraId="72357E23">
      <w:pPr>
        <w:pStyle w:val="2"/>
        <w:spacing w:line="244" w:lineRule="auto"/>
      </w:pPr>
    </w:p>
    <w:p w14:paraId="10D68617">
      <w:pPr>
        <w:pStyle w:val="2"/>
        <w:spacing w:line="245" w:lineRule="auto"/>
      </w:pPr>
    </w:p>
    <w:p w14:paraId="3FD3F01B">
      <w:pPr>
        <w:pStyle w:val="2"/>
        <w:spacing w:line="245" w:lineRule="auto"/>
      </w:pPr>
    </w:p>
    <w:p w14:paraId="17A847B8">
      <w:pPr>
        <w:pStyle w:val="2"/>
        <w:spacing w:line="245" w:lineRule="auto"/>
      </w:pPr>
    </w:p>
    <w:p w14:paraId="2B1540BB">
      <w:pPr>
        <w:pStyle w:val="2"/>
        <w:spacing w:line="245" w:lineRule="auto"/>
      </w:pPr>
    </w:p>
    <w:p w14:paraId="336F6F0A">
      <w:pPr>
        <w:pStyle w:val="2"/>
        <w:spacing w:line="245" w:lineRule="auto"/>
      </w:pPr>
    </w:p>
    <w:p w14:paraId="3832B178">
      <w:pPr>
        <w:pStyle w:val="2"/>
        <w:spacing w:line="245" w:lineRule="auto"/>
      </w:pPr>
    </w:p>
    <w:p w14:paraId="28563904">
      <w:pPr>
        <w:pStyle w:val="2"/>
        <w:spacing w:line="245" w:lineRule="auto"/>
      </w:pPr>
    </w:p>
    <w:p w14:paraId="6D4D8E65">
      <w:pPr>
        <w:pStyle w:val="2"/>
        <w:spacing w:line="245" w:lineRule="auto"/>
      </w:pPr>
    </w:p>
    <w:p w14:paraId="53A5E5FE">
      <w:pPr>
        <w:pStyle w:val="2"/>
        <w:spacing w:line="245" w:lineRule="auto"/>
      </w:pPr>
    </w:p>
    <w:p w14:paraId="4F364C25">
      <w:pPr>
        <w:pStyle w:val="2"/>
        <w:spacing w:line="245" w:lineRule="auto"/>
      </w:pPr>
    </w:p>
    <w:p w14:paraId="44B24245">
      <w:pPr>
        <w:pStyle w:val="2"/>
        <w:spacing w:line="245" w:lineRule="auto"/>
      </w:pPr>
    </w:p>
    <w:p w14:paraId="5B0A3C34">
      <w:pPr>
        <w:pStyle w:val="2"/>
        <w:spacing w:line="245" w:lineRule="auto"/>
      </w:pPr>
    </w:p>
    <w:p w14:paraId="4287F8D0">
      <w:pPr>
        <w:pStyle w:val="2"/>
        <w:spacing w:line="245" w:lineRule="auto"/>
      </w:pPr>
    </w:p>
    <w:p w14:paraId="4B4C55A4">
      <w:pPr>
        <w:pStyle w:val="2"/>
        <w:spacing w:line="245" w:lineRule="auto"/>
      </w:pPr>
    </w:p>
    <w:p w14:paraId="392F020F">
      <w:pPr>
        <w:pStyle w:val="2"/>
        <w:spacing w:line="245" w:lineRule="auto"/>
      </w:pPr>
    </w:p>
    <w:p w14:paraId="7535498E">
      <w:pPr>
        <w:pStyle w:val="2"/>
        <w:spacing w:line="245" w:lineRule="auto"/>
      </w:pPr>
    </w:p>
    <w:p w14:paraId="1AEF2CE9">
      <w:pPr>
        <w:pStyle w:val="2"/>
        <w:spacing w:line="245" w:lineRule="auto"/>
      </w:pPr>
    </w:p>
    <w:p w14:paraId="5881C8AA">
      <w:pPr>
        <w:pStyle w:val="2"/>
        <w:spacing w:line="245" w:lineRule="auto"/>
      </w:pPr>
    </w:p>
    <w:p w14:paraId="6EDEDAA0">
      <w:pPr>
        <w:pStyle w:val="2"/>
        <w:spacing w:line="245" w:lineRule="auto"/>
      </w:pPr>
    </w:p>
    <w:p w14:paraId="28C5B647">
      <w:pPr>
        <w:spacing w:before="91" w:line="219" w:lineRule="auto"/>
        <w:ind w:left="17"/>
        <w:rPr>
          <w:rFonts w:ascii="宋体" w:hAnsi="宋体" w:eastAsia="宋体" w:cs="宋体"/>
          <w:sz w:val="28"/>
          <w:szCs w:val="28"/>
        </w:rPr>
      </w:pPr>
      <w:r>
        <w:rPr>
          <w:rFonts w:ascii="宋体" w:hAnsi="宋体" w:eastAsia="宋体" w:cs="宋体"/>
          <w:b/>
          <w:bCs/>
          <w:spacing w:val="-8"/>
          <w:sz w:val="28"/>
          <w:szCs w:val="28"/>
        </w:rPr>
        <w:t>本制度由福建省统计局负责解释。</w:t>
      </w:r>
    </w:p>
    <w:p w14:paraId="0EB03AB4">
      <w:pPr>
        <w:spacing w:line="219" w:lineRule="auto"/>
        <w:rPr>
          <w:rFonts w:ascii="宋体" w:hAnsi="宋体" w:eastAsia="宋体" w:cs="宋体"/>
          <w:sz w:val="28"/>
          <w:szCs w:val="28"/>
        </w:rPr>
        <w:sectPr>
          <w:pgSz w:w="11910" w:h="16840"/>
          <w:pgMar w:top="1431" w:right="1760" w:bottom="0" w:left="1786" w:header="0" w:footer="0" w:gutter="0"/>
          <w:cols w:space="720" w:num="1"/>
        </w:sectPr>
      </w:pPr>
    </w:p>
    <w:p w14:paraId="0817F617">
      <w:pPr>
        <w:spacing w:before="40" w:line="184" w:lineRule="auto"/>
        <w:ind w:left="4080"/>
        <w:rPr>
          <w:rFonts w:ascii="宋体" w:hAnsi="宋体" w:eastAsia="宋体" w:cs="宋体"/>
          <w:sz w:val="20"/>
          <w:szCs w:val="20"/>
        </w:rPr>
      </w:pPr>
      <w:r>
        <w:rPr>
          <w:rFonts w:ascii="宋体" w:hAnsi="宋体" w:eastAsia="宋体" w:cs="宋体"/>
          <w:spacing w:val="-16"/>
          <w:w w:val="98"/>
          <w:sz w:val="20"/>
          <w:szCs w:val="20"/>
        </w:rPr>
        <w:t>福建省能源制度</w:t>
      </w:r>
    </w:p>
    <w:p w14:paraId="15B803CA">
      <w:pPr>
        <w:pStyle w:val="2"/>
        <w:spacing w:line="14" w:lineRule="auto"/>
        <w:rPr>
          <w:sz w:val="2"/>
        </w:rPr>
      </w:pPr>
      <w:r>
        <w:rPr>
          <w:sz w:val="2"/>
          <w:szCs w:val="2"/>
        </w:rPr>
        <w:br w:type="column"/>
      </w:r>
    </w:p>
    <w:p w14:paraId="60EF75EA">
      <w:pPr>
        <w:spacing w:before="83" w:line="162" w:lineRule="auto"/>
        <w:jc w:val="right"/>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-1</w:t>
      </w:r>
    </w:p>
    <w:p w14:paraId="413F38C5">
      <w:pPr>
        <w:spacing w:line="162" w:lineRule="auto"/>
        <w:rPr>
          <w:rFonts w:ascii="Times New Roman" w:hAnsi="Times New Roman" w:eastAsia="Times New Roman" w:cs="Times New Roman"/>
          <w:sz w:val="20"/>
          <w:szCs w:val="20"/>
        </w:rPr>
        <w:sectPr>
          <w:pgSz w:w="11910" w:h="16840"/>
          <w:pgMar w:top="808" w:right="1411" w:bottom="0" w:left="1249" w:header="0" w:footer="0" w:gutter="0"/>
          <w:cols w:equalWidth="0" w:num="2">
            <w:col w:w="8429" w:space="100"/>
            <w:col w:w="720"/>
          </w:cols>
        </w:sectPr>
      </w:pPr>
    </w:p>
    <w:p w14:paraId="4FA6C55C">
      <w:pPr>
        <w:pStyle w:val="2"/>
        <w:spacing w:line="265" w:lineRule="auto"/>
      </w:pPr>
    </w:p>
    <w:p w14:paraId="7E1362B5">
      <w:pPr>
        <w:pStyle w:val="2"/>
        <w:spacing w:line="266" w:lineRule="auto"/>
      </w:pPr>
    </w:p>
    <w:p w14:paraId="5F414094">
      <w:pPr>
        <w:pStyle w:val="2"/>
        <w:spacing w:line="266" w:lineRule="auto"/>
      </w:pPr>
    </w:p>
    <w:p w14:paraId="688AB3EC">
      <w:pPr>
        <w:pStyle w:val="2"/>
        <w:spacing w:line="266" w:lineRule="auto"/>
      </w:pPr>
    </w:p>
    <w:sdt>
      <w:sdtPr>
        <w:rPr>
          <w:rFonts w:ascii="宋体" w:hAnsi="宋体" w:eastAsia="宋体" w:cs="宋体"/>
          <w:sz w:val="29"/>
          <w:szCs w:val="29"/>
        </w:rPr>
        <w:id w:val="1"/>
        <w:docPartObj>
          <w:docPartGallery w:val="Table of Contents"/>
          <w:docPartUnique/>
        </w:docPartObj>
      </w:sdtPr>
      <w:sdtEndPr>
        <w:rPr>
          <w:rFonts w:ascii="Times New Roman" w:hAnsi="Times New Roman" w:eastAsia="Times New Roman" w:cs="Times New Roman"/>
          <w:sz w:val="20"/>
          <w:szCs w:val="20"/>
        </w:rPr>
      </w:sdtEndPr>
      <w:sdtContent>
        <w:p w14:paraId="6AC0411D">
          <w:pPr>
            <w:spacing w:before="94" w:line="221" w:lineRule="auto"/>
            <w:ind w:left="4104"/>
            <w:rPr>
              <w:rFonts w:ascii="宋体" w:hAnsi="宋体" w:eastAsia="宋体" w:cs="宋体"/>
              <w:sz w:val="29"/>
              <w:szCs w:val="29"/>
            </w:rPr>
          </w:pPr>
          <w:r>
            <w:rPr>
              <w:rFonts w:ascii="宋体" w:hAnsi="宋体" w:eastAsia="宋体" w:cs="宋体"/>
              <w:b/>
              <w:bCs/>
              <w:spacing w:val="-37"/>
              <w:sz w:val="29"/>
              <w:szCs w:val="29"/>
            </w:rPr>
            <w:t>目</w:t>
          </w:r>
          <w:r>
            <w:rPr>
              <w:rFonts w:ascii="宋体" w:hAnsi="宋体" w:eastAsia="宋体" w:cs="宋体"/>
              <w:spacing w:val="1"/>
              <w:sz w:val="29"/>
              <w:szCs w:val="29"/>
            </w:rPr>
            <w:t xml:space="preserve">     </w:t>
          </w:r>
          <w:r>
            <w:rPr>
              <w:rFonts w:ascii="宋体" w:hAnsi="宋体" w:eastAsia="宋体" w:cs="宋体"/>
              <w:b/>
              <w:bCs/>
              <w:spacing w:val="-37"/>
              <w:sz w:val="29"/>
              <w:szCs w:val="29"/>
            </w:rPr>
            <w:t>录</w:t>
          </w:r>
        </w:p>
        <w:p w14:paraId="003F062F">
          <w:pPr>
            <w:pStyle w:val="2"/>
            <w:spacing w:line="260" w:lineRule="auto"/>
          </w:pPr>
        </w:p>
        <w:p w14:paraId="32E76348">
          <w:pPr>
            <w:pStyle w:val="2"/>
            <w:spacing w:line="261" w:lineRule="auto"/>
          </w:pPr>
        </w:p>
        <w:p w14:paraId="3A1BC69E">
          <w:pPr>
            <w:tabs>
              <w:tab w:val="right" w:leader="dot" w:pos="9105"/>
            </w:tabs>
            <w:spacing w:before="65" w:line="219" w:lineRule="auto"/>
            <w:rPr>
              <w:rFonts w:ascii="Times New Roman" w:hAnsi="Times New Roman" w:eastAsia="Times New Roman" w:cs="Times New Roman"/>
              <w:sz w:val="20"/>
              <w:szCs w:val="20"/>
            </w:rPr>
          </w:pPr>
          <w:r>
            <w:rPr>
              <w:rFonts w:ascii="宋体" w:hAnsi="宋体" w:eastAsia="宋体" w:cs="宋体"/>
              <w:spacing w:val="-6"/>
              <w:sz w:val="20"/>
              <w:szCs w:val="20"/>
            </w:rPr>
            <w:t>一</w:t>
          </w:r>
          <w:r>
            <w:rPr>
              <w:rFonts w:ascii="宋体" w:hAnsi="宋体" w:eastAsia="宋体" w:cs="宋体"/>
              <w:spacing w:val="-20"/>
              <w:sz w:val="20"/>
              <w:szCs w:val="20"/>
            </w:rPr>
            <w:t xml:space="preserve"> </w:t>
          </w:r>
          <w:r>
            <w:rPr>
              <w:rFonts w:ascii="宋体" w:hAnsi="宋体" w:eastAsia="宋体" w:cs="宋体"/>
              <w:spacing w:val="-6"/>
              <w:sz w:val="20"/>
              <w:szCs w:val="20"/>
            </w:rPr>
            <w:t>、总说明</w:t>
          </w:r>
          <w:r>
            <w:rPr>
              <w:rFonts w:ascii="宋体" w:hAnsi="宋体" w:eastAsia="宋体" w:cs="宋体"/>
              <w:spacing w:val="-92"/>
              <w:sz w:val="20"/>
              <w:szCs w:val="20"/>
            </w:rPr>
            <w:t xml:space="preserve"> </w:t>
          </w:r>
          <w:r>
            <w:rPr>
              <w:rFonts w:ascii="宋体" w:hAnsi="宋体" w:eastAsia="宋体" w:cs="宋体"/>
              <w:sz w:val="20"/>
              <w:szCs w:val="20"/>
            </w:rPr>
            <w:tab/>
          </w:r>
          <w:r>
            <w:fldChar w:fldCharType="begin"/>
          </w:r>
          <w:r>
            <w:instrText xml:space="preserve"> HYPERLINK \l "bookmark1" </w:instrText>
          </w:r>
          <w:r>
            <w:fldChar w:fldCharType="separate"/>
          </w:r>
          <w:r>
            <w:rPr>
              <w:rFonts w:ascii="Times New Roman" w:hAnsi="Times New Roman" w:eastAsia="Times New Roman" w:cs="Times New Roman"/>
              <w:spacing w:val="3"/>
              <w:sz w:val="20"/>
              <w:szCs w:val="20"/>
            </w:rPr>
            <w:t>2</w:t>
          </w:r>
          <w:r>
            <w:rPr>
              <w:rFonts w:ascii="Times New Roman" w:hAnsi="Times New Roman" w:eastAsia="Times New Roman" w:cs="Times New Roman"/>
              <w:spacing w:val="3"/>
              <w:sz w:val="20"/>
              <w:szCs w:val="20"/>
            </w:rPr>
            <w:fldChar w:fldCharType="end"/>
          </w:r>
        </w:p>
        <w:p w14:paraId="3B194CCA">
          <w:pPr>
            <w:tabs>
              <w:tab w:val="right" w:leader="dot" w:pos="9095"/>
            </w:tabs>
            <w:spacing w:before="112" w:line="219" w:lineRule="auto"/>
            <w:rPr>
              <w:rFonts w:ascii="Times New Roman" w:hAnsi="Times New Roman" w:eastAsia="Times New Roman" w:cs="Times New Roman"/>
              <w:sz w:val="20"/>
              <w:szCs w:val="20"/>
            </w:rPr>
          </w:pPr>
          <w:r>
            <w:rPr>
              <w:rFonts w:ascii="宋体" w:hAnsi="宋体" w:eastAsia="宋体" w:cs="宋体"/>
              <w:spacing w:val="-2"/>
              <w:sz w:val="20"/>
              <w:szCs w:val="20"/>
            </w:rPr>
            <w:t>二、</w:t>
          </w:r>
          <w:r>
            <w:rPr>
              <w:rFonts w:ascii="宋体" w:hAnsi="宋体" w:eastAsia="宋体" w:cs="宋体"/>
              <w:spacing w:val="-40"/>
              <w:sz w:val="20"/>
              <w:szCs w:val="20"/>
            </w:rPr>
            <w:t xml:space="preserve"> </w:t>
          </w:r>
          <w:r>
            <w:rPr>
              <w:rFonts w:ascii="宋体" w:hAnsi="宋体" w:eastAsia="宋体" w:cs="宋体"/>
              <w:spacing w:val="-2"/>
              <w:sz w:val="20"/>
              <w:szCs w:val="20"/>
            </w:rPr>
            <w:t>报表目录</w:t>
          </w:r>
          <w:r>
            <w:rPr>
              <w:rFonts w:ascii="宋体" w:hAnsi="宋体" w:eastAsia="宋体" w:cs="宋体"/>
              <w:spacing w:val="-79"/>
              <w:sz w:val="20"/>
              <w:szCs w:val="20"/>
            </w:rPr>
            <w:t xml:space="preserve"> </w:t>
          </w:r>
          <w:r>
            <w:rPr>
              <w:rFonts w:ascii="宋体" w:hAnsi="宋体" w:eastAsia="宋体" w:cs="宋体"/>
              <w:sz w:val="20"/>
              <w:szCs w:val="20"/>
            </w:rPr>
            <w:tab/>
          </w:r>
          <w:r>
            <w:fldChar w:fldCharType="begin"/>
          </w:r>
          <w:r>
            <w:instrText xml:space="preserve"> HYPERLINK \l "bookmark2" </w:instrText>
          </w:r>
          <w:r>
            <w:fldChar w:fldCharType="separate"/>
          </w:r>
          <w:r>
            <w:rPr>
              <w:rFonts w:ascii="Times New Roman" w:hAnsi="Times New Roman" w:eastAsia="Times New Roman" w:cs="Times New Roman"/>
              <w:spacing w:val="4"/>
              <w:sz w:val="20"/>
              <w:szCs w:val="20"/>
            </w:rPr>
            <w:t>4</w:t>
          </w:r>
          <w:r>
            <w:rPr>
              <w:rFonts w:ascii="Times New Roman" w:hAnsi="Times New Roman" w:eastAsia="Times New Roman" w:cs="Times New Roman"/>
              <w:spacing w:val="4"/>
              <w:sz w:val="20"/>
              <w:szCs w:val="20"/>
            </w:rPr>
            <w:fldChar w:fldCharType="end"/>
          </w:r>
        </w:p>
        <w:p w14:paraId="1D1B7828">
          <w:pPr>
            <w:tabs>
              <w:tab w:val="right" w:leader="dot" w:pos="9100"/>
            </w:tabs>
            <w:spacing w:before="133" w:line="221" w:lineRule="auto"/>
            <w:rPr>
              <w:rFonts w:ascii="Times New Roman" w:hAnsi="Times New Roman" w:eastAsia="Times New Roman" w:cs="Times New Roman"/>
              <w:sz w:val="20"/>
              <w:szCs w:val="20"/>
            </w:rPr>
          </w:pPr>
          <w:r>
            <w:rPr>
              <w:rFonts w:ascii="宋体" w:hAnsi="宋体" w:eastAsia="宋体" w:cs="宋体"/>
              <w:spacing w:val="-5"/>
              <w:sz w:val="20"/>
              <w:szCs w:val="20"/>
            </w:rPr>
            <w:t>三</w:t>
          </w:r>
          <w:r>
            <w:rPr>
              <w:rFonts w:ascii="宋体" w:hAnsi="宋体" w:eastAsia="宋体" w:cs="宋体"/>
              <w:spacing w:val="-24"/>
              <w:sz w:val="20"/>
              <w:szCs w:val="20"/>
            </w:rPr>
            <w:t xml:space="preserve"> </w:t>
          </w:r>
          <w:r>
            <w:rPr>
              <w:rFonts w:ascii="宋体" w:hAnsi="宋体" w:eastAsia="宋体" w:cs="宋体"/>
              <w:spacing w:val="-5"/>
              <w:sz w:val="20"/>
              <w:szCs w:val="20"/>
            </w:rPr>
            <w:t>、调查表式</w:t>
          </w:r>
          <w:r>
            <w:rPr>
              <w:rFonts w:ascii="宋体" w:hAnsi="宋体" w:eastAsia="宋体" w:cs="宋体"/>
              <w:spacing w:val="-77"/>
              <w:sz w:val="20"/>
              <w:szCs w:val="20"/>
            </w:rPr>
            <w:t xml:space="preserve"> </w:t>
          </w:r>
          <w:r>
            <w:rPr>
              <w:rFonts w:ascii="宋体" w:hAnsi="宋体" w:eastAsia="宋体" w:cs="宋体"/>
              <w:sz w:val="20"/>
              <w:szCs w:val="20"/>
            </w:rPr>
            <w:tab/>
          </w:r>
          <w:r>
            <w:fldChar w:fldCharType="begin"/>
          </w:r>
          <w:r>
            <w:instrText xml:space="preserve"> HYPERLINK \l "bookmark3" </w:instrText>
          </w:r>
          <w:r>
            <w:fldChar w:fldCharType="separate"/>
          </w:r>
          <w:r>
            <w:rPr>
              <w:rFonts w:ascii="Times New Roman" w:hAnsi="Times New Roman" w:eastAsia="Times New Roman" w:cs="Times New Roman"/>
              <w:sz w:val="20"/>
              <w:szCs w:val="20"/>
            </w:rPr>
            <w:t>6</w:t>
          </w:r>
          <w:r>
            <w:rPr>
              <w:rFonts w:ascii="Times New Roman" w:hAnsi="Times New Roman" w:eastAsia="Times New Roman" w:cs="Times New Roman"/>
              <w:sz w:val="20"/>
              <w:szCs w:val="20"/>
            </w:rPr>
            <w:fldChar w:fldCharType="end"/>
          </w:r>
        </w:p>
        <w:p w14:paraId="6A67D000">
          <w:pPr>
            <w:tabs>
              <w:tab w:val="right" w:leader="dot" w:pos="9100"/>
            </w:tabs>
            <w:spacing w:before="119" w:line="219" w:lineRule="auto"/>
            <w:ind w:left="290"/>
            <w:rPr>
              <w:rFonts w:ascii="Times New Roman" w:hAnsi="Times New Roman" w:eastAsia="Times New Roman" w:cs="Times New Roman"/>
              <w:sz w:val="20"/>
              <w:szCs w:val="20"/>
            </w:rPr>
          </w:pPr>
          <w:r>
            <w:rPr>
              <w:rFonts w:ascii="宋体" w:hAnsi="宋体" w:eastAsia="宋体" w:cs="宋体"/>
              <w:spacing w:val="2"/>
              <w:sz w:val="20"/>
              <w:szCs w:val="20"/>
            </w:rPr>
            <w:t>(</w:t>
          </w:r>
          <w:r>
            <w:rPr>
              <w:rFonts w:ascii="宋体" w:hAnsi="宋体" w:eastAsia="宋体" w:cs="宋体"/>
              <w:spacing w:val="-45"/>
              <w:sz w:val="20"/>
              <w:szCs w:val="20"/>
            </w:rPr>
            <w:t xml:space="preserve"> </w:t>
          </w:r>
          <w:r>
            <w:rPr>
              <w:rFonts w:ascii="宋体" w:hAnsi="宋体" w:eastAsia="宋体" w:cs="宋体"/>
              <w:spacing w:val="2"/>
              <w:sz w:val="20"/>
              <w:szCs w:val="20"/>
            </w:rPr>
            <w:t>一</w:t>
          </w:r>
          <w:r>
            <w:rPr>
              <w:rFonts w:ascii="宋体" w:hAnsi="宋体" w:eastAsia="宋体" w:cs="宋体"/>
              <w:spacing w:val="-53"/>
              <w:sz w:val="20"/>
              <w:szCs w:val="20"/>
            </w:rPr>
            <w:t xml:space="preserve"> </w:t>
          </w:r>
          <w:r>
            <w:rPr>
              <w:rFonts w:ascii="宋体" w:hAnsi="宋体" w:eastAsia="宋体" w:cs="宋体"/>
              <w:spacing w:val="2"/>
              <w:sz w:val="20"/>
              <w:szCs w:val="20"/>
            </w:rPr>
            <w:t>)</w:t>
          </w:r>
          <w:r>
            <w:rPr>
              <w:rFonts w:ascii="宋体" w:hAnsi="宋体" w:eastAsia="宋体" w:cs="宋体"/>
              <w:spacing w:val="-44"/>
              <w:sz w:val="20"/>
              <w:szCs w:val="20"/>
            </w:rPr>
            <w:t xml:space="preserve"> </w:t>
          </w:r>
          <w:r>
            <w:rPr>
              <w:rFonts w:ascii="宋体" w:hAnsi="宋体" w:eastAsia="宋体" w:cs="宋体"/>
              <w:spacing w:val="2"/>
              <w:sz w:val="20"/>
              <w:szCs w:val="20"/>
            </w:rPr>
            <w:t>基层定报表式</w:t>
          </w:r>
          <w:r>
            <w:rPr>
              <w:rFonts w:ascii="宋体" w:hAnsi="宋体" w:eastAsia="宋体" w:cs="宋体"/>
              <w:spacing w:val="-77"/>
              <w:sz w:val="20"/>
              <w:szCs w:val="20"/>
            </w:rPr>
            <w:t xml:space="preserve"> </w:t>
          </w:r>
          <w:r>
            <w:rPr>
              <w:rFonts w:ascii="宋体" w:hAnsi="宋体" w:eastAsia="宋体" w:cs="宋体"/>
              <w:sz w:val="20"/>
              <w:szCs w:val="20"/>
            </w:rPr>
            <w:tab/>
          </w:r>
          <w:r>
            <w:fldChar w:fldCharType="begin"/>
          </w:r>
          <w:r>
            <w:instrText xml:space="preserve"> HYPERLINK \l "bookmark4" </w:instrText>
          </w:r>
          <w:r>
            <w:fldChar w:fldCharType="separate"/>
          </w:r>
          <w:r>
            <w:rPr>
              <w:rFonts w:ascii="Times New Roman" w:hAnsi="Times New Roman" w:eastAsia="Times New Roman" w:cs="Times New Roman"/>
              <w:sz w:val="20"/>
              <w:szCs w:val="20"/>
            </w:rPr>
            <w:t>6</w:t>
          </w:r>
          <w:r>
            <w:rPr>
              <w:rFonts w:ascii="Times New Roman" w:hAnsi="Times New Roman" w:eastAsia="Times New Roman" w:cs="Times New Roman"/>
              <w:sz w:val="20"/>
              <w:szCs w:val="20"/>
            </w:rPr>
            <w:fldChar w:fldCharType="end"/>
          </w:r>
        </w:p>
        <w:p w14:paraId="0DCF4B23">
          <w:pPr>
            <w:tabs>
              <w:tab w:val="right" w:leader="dot" w:pos="9120"/>
            </w:tabs>
            <w:spacing w:before="113" w:line="219" w:lineRule="auto"/>
            <w:ind w:left="789"/>
            <w:rPr>
              <w:rFonts w:ascii="Times New Roman" w:hAnsi="Times New Roman" w:eastAsia="Times New Roman" w:cs="Times New Roman"/>
              <w:sz w:val="20"/>
              <w:szCs w:val="20"/>
            </w:rPr>
          </w:pPr>
          <w:r>
            <w:rPr>
              <w:rFonts w:ascii="Times New Roman" w:hAnsi="Times New Roman" w:eastAsia="Times New Roman" w:cs="Times New Roman"/>
              <w:spacing w:val="14"/>
              <w:sz w:val="20"/>
              <w:szCs w:val="20"/>
            </w:rPr>
            <w:t>1.</w:t>
          </w:r>
          <w:r>
            <w:rPr>
              <w:rFonts w:ascii="宋体" w:hAnsi="宋体" w:eastAsia="宋体" w:cs="宋体"/>
              <w:spacing w:val="14"/>
              <w:sz w:val="20"/>
              <w:szCs w:val="20"/>
            </w:rPr>
            <w:t>能源购进、消费与库存(205-1表)</w:t>
          </w:r>
          <w:r>
            <w:rPr>
              <w:rFonts w:ascii="宋体" w:hAnsi="宋体" w:eastAsia="宋体" w:cs="宋体"/>
              <w:sz w:val="20"/>
              <w:szCs w:val="20"/>
            </w:rPr>
            <w:tab/>
          </w:r>
          <w:r>
            <w:fldChar w:fldCharType="begin"/>
          </w:r>
          <w:r>
            <w:instrText xml:space="preserve"> HYPERLINK \l "bookmark5" </w:instrText>
          </w:r>
          <w:r>
            <w:fldChar w:fldCharType="separate"/>
          </w:r>
          <w:r>
            <w:rPr>
              <w:rFonts w:ascii="Times New Roman" w:hAnsi="Times New Roman" w:eastAsia="Times New Roman" w:cs="Times New Roman"/>
              <w:sz w:val="20"/>
              <w:szCs w:val="20"/>
            </w:rPr>
            <w:t>6</w:t>
          </w:r>
          <w:r>
            <w:rPr>
              <w:rFonts w:ascii="Times New Roman" w:hAnsi="Times New Roman" w:eastAsia="Times New Roman" w:cs="Times New Roman"/>
              <w:sz w:val="20"/>
              <w:szCs w:val="20"/>
            </w:rPr>
            <w:fldChar w:fldCharType="end"/>
          </w:r>
        </w:p>
        <w:p w14:paraId="0EDE8A0A">
          <w:pPr>
            <w:tabs>
              <w:tab w:val="right" w:leader="dot" w:pos="9132"/>
            </w:tabs>
            <w:spacing w:before="123" w:line="219" w:lineRule="auto"/>
            <w:ind w:left="789"/>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 xml:space="preserve">2. </w:t>
          </w:r>
          <w:r>
            <w:rPr>
              <w:rFonts w:ascii="宋体" w:hAnsi="宋体" w:eastAsia="宋体" w:cs="宋体"/>
              <w:spacing w:val="6"/>
              <w:sz w:val="20"/>
              <w:szCs w:val="20"/>
            </w:rPr>
            <w:t>能源加工转换与回收利用(205-2</w:t>
          </w:r>
          <w:r>
            <w:rPr>
              <w:rFonts w:ascii="宋体" w:hAnsi="宋体" w:eastAsia="宋体" w:cs="宋体"/>
              <w:spacing w:val="30"/>
              <w:sz w:val="20"/>
              <w:szCs w:val="20"/>
            </w:rPr>
            <w:t xml:space="preserve"> </w:t>
          </w:r>
          <w:r>
            <w:rPr>
              <w:rFonts w:ascii="宋体" w:hAnsi="宋体" w:eastAsia="宋体" w:cs="宋体"/>
              <w:spacing w:val="6"/>
              <w:sz w:val="20"/>
              <w:szCs w:val="20"/>
            </w:rPr>
            <w:t>表)</w:t>
          </w:r>
          <w:r>
            <w:rPr>
              <w:rFonts w:ascii="宋体" w:hAnsi="宋体" w:eastAsia="宋体" w:cs="宋体"/>
              <w:sz w:val="20"/>
              <w:szCs w:val="20"/>
            </w:rPr>
            <w:tab/>
          </w:r>
          <w:r>
            <w:fldChar w:fldCharType="begin"/>
          </w:r>
          <w:r>
            <w:instrText xml:space="preserve"> HYPERLINK \l "bookmark6" </w:instrText>
          </w:r>
          <w:r>
            <w:fldChar w:fldCharType="separate"/>
          </w:r>
          <w:r>
            <w:rPr>
              <w:rFonts w:ascii="Times New Roman" w:hAnsi="Times New Roman" w:eastAsia="Times New Roman" w:cs="Times New Roman"/>
              <w:sz w:val="20"/>
              <w:szCs w:val="20"/>
            </w:rPr>
            <w:t>7</w:t>
          </w:r>
          <w:r>
            <w:rPr>
              <w:rFonts w:ascii="Times New Roman" w:hAnsi="Times New Roman" w:eastAsia="Times New Roman" w:cs="Times New Roman"/>
              <w:sz w:val="20"/>
              <w:szCs w:val="20"/>
            </w:rPr>
            <w:fldChar w:fldCharType="end"/>
          </w:r>
        </w:p>
        <w:p w14:paraId="638137BD">
          <w:pPr>
            <w:tabs>
              <w:tab w:val="right" w:leader="dot" w:pos="9125"/>
            </w:tabs>
            <w:spacing w:before="123" w:line="219" w:lineRule="auto"/>
            <w:ind w:left="789"/>
            <w:rPr>
              <w:rFonts w:ascii="Times New Roman" w:hAnsi="Times New Roman" w:eastAsia="Times New Roman" w:cs="Times New Roman"/>
              <w:sz w:val="20"/>
              <w:szCs w:val="20"/>
            </w:rPr>
          </w:pPr>
          <w:r>
            <w:rPr>
              <w:rFonts w:ascii="Times New Roman" w:hAnsi="Times New Roman" w:eastAsia="Times New Roman" w:cs="Times New Roman"/>
              <w:spacing w:val="9"/>
              <w:sz w:val="20"/>
              <w:szCs w:val="20"/>
            </w:rPr>
            <w:t>3.</w:t>
          </w:r>
          <w:r>
            <w:rPr>
              <w:rFonts w:ascii="宋体" w:hAnsi="宋体" w:eastAsia="宋体" w:cs="宋体"/>
              <w:spacing w:val="9"/>
              <w:sz w:val="20"/>
              <w:szCs w:val="20"/>
            </w:rPr>
            <w:t>主要耗能工业企业单位产品能源消费情况(205-3 表)</w:t>
          </w:r>
          <w:r>
            <w:rPr>
              <w:rFonts w:ascii="宋体" w:hAnsi="宋体" w:eastAsia="宋体" w:cs="宋体"/>
              <w:sz w:val="20"/>
              <w:szCs w:val="20"/>
            </w:rPr>
            <w:tab/>
          </w:r>
          <w:r>
            <w:fldChar w:fldCharType="begin"/>
          </w:r>
          <w:r>
            <w:instrText xml:space="preserve"> HYPERLINK \l "bookmark7" </w:instrText>
          </w:r>
          <w:r>
            <w:fldChar w:fldCharType="separate"/>
          </w:r>
          <w:r>
            <w:rPr>
              <w:rFonts w:ascii="Times New Roman" w:hAnsi="Times New Roman" w:eastAsia="Times New Roman" w:cs="Times New Roman"/>
              <w:sz w:val="20"/>
              <w:szCs w:val="20"/>
            </w:rPr>
            <w:t>8</w:t>
          </w:r>
          <w:r>
            <w:rPr>
              <w:rFonts w:ascii="Times New Roman" w:hAnsi="Times New Roman" w:eastAsia="Times New Roman" w:cs="Times New Roman"/>
              <w:sz w:val="20"/>
              <w:szCs w:val="20"/>
            </w:rPr>
            <w:fldChar w:fldCharType="end"/>
          </w:r>
        </w:p>
        <w:p w14:paraId="0F2D70B8">
          <w:pPr>
            <w:tabs>
              <w:tab w:val="right" w:leader="dot" w:pos="9112"/>
            </w:tabs>
            <w:spacing w:before="122" w:line="219" w:lineRule="auto"/>
            <w:ind w:left="789"/>
            <w:rPr>
              <w:rFonts w:ascii="Times New Roman" w:hAnsi="Times New Roman" w:eastAsia="Times New Roman" w:cs="Times New Roman"/>
              <w:sz w:val="20"/>
              <w:szCs w:val="20"/>
            </w:rPr>
          </w:pPr>
          <w:r>
            <w:rPr>
              <w:rFonts w:ascii="Times New Roman" w:hAnsi="Times New Roman" w:eastAsia="Times New Roman" w:cs="Times New Roman"/>
              <w:spacing w:val="16"/>
              <w:sz w:val="20"/>
              <w:szCs w:val="20"/>
            </w:rPr>
            <w:t>4.</w:t>
          </w:r>
          <w:r>
            <w:rPr>
              <w:rFonts w:ascii="宋体" w:hAnsi="宋体" w:eastAsia="宋体" w:cs="宋体"/>
              <w:spacing w:val="16"/>
              <w:sz w:val="20"/>
              <w:szCs w:val="20"/>
            </w:rPr>
            <w:t>工业企业用水情况(205-4表)</w:t>
          </w:r>
          <w:r>
            <w:rPr>
              <w:rFonts w:ascii="宋体" w:hAnsi="宋体" w:eastAsia="宋体" w:cs="宋体"/>
              <w:sz w:val="20"/>
              <w:szCs w:val="20"/>
            </w:rPr>
            <w:tab/>
          </w:r>
          <w:r>
            <w:fldChar w:fldCharType="begin"/>
          </w:r>
          <w:r>
            <w:instrText xml:space="preserve"> HYPERLINK \l "bookmark8" </w:instrText>
          </w:r>
          <w:r>
            <w:fldChar w:fldCharType="separate"/>
          </w:r>
          <w:r>
            <w:rPr>
              <w:rFonts w:ascii="Times New Roman" w:hAnsi="Times New Roman" w:eastAsia="Times New Roman" w:cs="Times New Roman"/>
              <w:sz w:val="20"/>
              <w:szCs w:val="20"/>
            </w:rPr>
            <w:t>9</w:t>
          </w:r>
          <w:r>
            <w:rPr>
              <w:rFonts w:ascii="Times New Roman" w:hAnsi="Times New Roman" w:eastAsia="Times New Roman" w:cs="Times New Roman"/>
              <w:sz w:val="20"/>
              <w:szCs w:val="20"/>
            </w:rPr>
            <w:fldChar w:fldCharType="end"/>
          </w:r>
        </w:p>
        <w:p w14:paraId="3B3C9056">
          <w:pPr>
            <w:tabs>
              <w:tab w:val="right" w:leader="dot" w:pos="9185"/>
            </w:tabs>
            <w:spacing w:before="123" w:line="219" w:lineRule="auto"/>
            <w:ind w:left="789"/>
            <w:rPr>
              <w:rFonts w:ascii="Times New Roman" w:hAnsi="Times New Roman" w:eastAsia="Times New Roman" w:cs="Times New Roman"/>
              <w:sz w:val="20"/>
              <w:szCs w:val="20"/>
            </w:rPr>
          </w:pPr>
          <w:r>
            <w:rPr>
              <w:rFonts w:ascii="Times New Roman" w:hAnsi="Times New Roman" w:eastAsia="Times New Roman" w:cs="Times New Roman"/>
              <w:spacing w:val="10"/>
              <w:sz w:val="20"/>
              <w:szCs w:val="20"/>
            </w:rPr>
            <w:t>5.</w:t>
          </w:r>
          <w:r>
            <w:rPr>
              <w:rFonts w:ascii="Times New Roman" w:hAnsi="Times New Roman" w:eastAsia="Times New Roman" w:cs="Times New Roman"/>
              <w:spacing w:val="42"/>
              <w:w w:val="101"/>
              <w:sz w:val="20"/>
              <w:szCs w:val="20"/>
            </w:rPr>
            <w:t xml:space="preserve"> </w:t>
          </w:r>
          <w:r>
            <w:rPr>
              <w:rFonts w:ascii="宋体" w:hAnsi="宋体" w:eastAsia="宋体" w:cs="宋体"/>
              <w:spacing w:val="10"/>
              <w:sz w:val="20"/>
              <w:szCs w:val="20"/>
            </w:rPr>
            <w:t>非工业重点耗能单位能源消费情况(205-5表)</w:t>
          </w:r>
          <w:r>
            <w:rPr>
              <w:rFonts w:ascii="宋体" w:hAnsi="宋体" w:eastAsia="宋体" w:cs="宋体"/>
              <w:sz w:val="20"/>
              <w:szCs w:val="20"/>
            </w:rPr>
            <w:tab/>
          </w:r>
          <w:r>
            <w:rPr>
              <w:rFonts w:ascii="宋体" w:hAnsi="宋体" w:eastAsia="宋体" w:cs="宋体"/>
              <w:spacing w:val="-37"/>
              <w:sz w:val="20"/>
              <w:szCs w:val="20"/>
            </w:rPr>
            <w:t xml:space="preserve"> </w:t>
          </w:r>
          <w:r>
            <w:fldChar w:fldCharType="begin"/>
          </w:r>
          <w:r>
            <w:instrText xml:space="preserve"> HYPERLINK \l "bookmark9" </w:instrText>
          </w:r>
          <w:r>
            <w:fldChar w:fldCharType="separate"/>
          </w:r>
          <w:r>
            <w:rPr>
              <w:rFonts w:ascii="Times New Roman" w:hAnsi="Times New Roman" w:eastAsia="Times New Roman" w:cs="Times New Roman"/>
              <w:spacing w:val="-6"/>
              <w:sz w:val="20"/>
              <w:szCs w:val="20"/>
            </w:rPr>
            <w:t>10</w:t>
          </w:r>
          <w:r>
            <w:rPr>
              <w:rFonts w:ascii="Times New Roman" w:hAnsi="Times New Roman" w:eastAsia="Times New Roman" w:cs="Times New Roman"/>
              <w:spacing w:val="-6"/>
              <w:sz w:val="20"/>
              <w:szCs w:val="20"/>
            </w:rPr>
            <w:fldChar w:fldCharType="end"/>
          </w:r>
        </w:p>
        <w:p w14:paraId="1C35D847">
          <w:pPr>
            <w:tabs>
              <w:tab w:val="right" w:leader="dot" w:pos="9225"/>
            </w:tabs>
            <w:spacing w:before="123" w:line="219" w:lineRule="auto"/>
            <w:ind w:left="789"/>
            <w:rPr>
              <w:rFonts w:ascii="Times New Roman" w:hAnsi="Times New Roman" w:eastAsia="Times New Roman" w:cs="Times New Roman"/>
              <w:sz w:val="20"/>
              <w:szCs w:val="20"/>
            </w:rPr>
          </w:pPr>
          <w:r>
            <w:rPr>
              <w:rFonts w:ascii="Times New Roman" w:hAnsi="Times New Roman" w:eastAsia="Times New Roman" w:cs="Times New Roman"/>
              <w:spacing w:val="11"/>
              <w:sz w:val="20"/>
              <w:szCs w:val="20"/>
            </w:rPr>
            <w:t>6.</w:t>
          </w:r>
          <w:r>
            <w:rPr>
              <w:rFonts w:ascii="Times New Roman" w:hAnsi="Times New Roman" w:eastAsia="Times New Roman" w:cs="Times New Roman"/>
              <w:spacing w:val="32"/>
              <w:w w:val="101"/>
              <w:sz w:val="20"/>
              <w:szCs w:val="20"/>
            </w:rPr>
            <w:t xml:space="preserve"> </w:t>
          </w:r>
          <w:r>
            <w:rPr>
              <w:rFonts w:ascii="宋体" w:hAnsi="宋体" w:eastAsia="宋体" w:cs="宋体"/>
              <w:spacing w:val="11"/>
              <w:sz w:val="20"/>
              <w:szCs w:val="20"/>
            </w:rPr>
            <w:t>能源生产、销售与库存(205-6表)</w:t>
          </w:r>
          <w:r>
            <w:rPr>
              <w:rFonts w:ascii="宋体" w:hAnsi="宋体" w:eastAsia="宋体" w:cs="宋体"/>
              <w:sz w:val="20"/>
              <w:szCs w:val="20"/>
            </w:rPr>
            <w:tab/>
          </w:r>
          <w:r>
            <w:fldChar w:fldCharType="begin"/>
          </w:r>
          <w:r>
            <w:instrText xml:space="preserve"> HYPERLINK \l "bookmark10" </w:instrText>
          </w:r>
          <w:r>
            <w:fldChar w:fldCharType="separate"/>
          </w:r>
          <w:r>
            <w:rPr>
              <w:rFonts w:ascii="Times New Roman" w:hAnsi="Times New Roman" w:eastAsia="Times New Roman" w:cs="Times New Roman"/>
              <w:spacing w:val="-4"/>
              <w:sz w:val="20"/>
              <w:szCs w:val="20"/>
            </w:rPr>
            <w:t>11</w:t>
          </w:r>
          <w:r>
            <w:rPr>
              <w:rFonts w:ascii="Times New Roman" w:hAnsi="Times New Roman" w:eastAsia="Times New Roman" w:cs="Times New Roman"/>
              <w:spacing w:val="-4"/>
              <w:sz w:val="20"/>
              <w:szCs w:val="20"/>
            </w:rPr>
            <w:fldChar w:fldCharType="end"/>
          </w:r>
        </w:p>
        <w:p w14:paraId="1A9A2B2B">
          <w:pPr>
            <w:tabs>
              <w:tab w:val="right" w:leader="dot" w:pos="9195"/>
            </w:tabs>
            <w:spacing w:before="123" w:line="220" w:lineRule="auto"/>
            <w:ind w:left="789"/>
            <w:rPr>
              <w:rFonts w:ascii="Times New Roman" w:hAnsi="Times New Roman" w:eastAsia="Times New Roman" w:cs="Times New Roman"/>
              <w:sz w:val="20"/>
              <w:szCs w:val="20"/>
            </w:rPr>
          </w:pPr>
          <w:r>
            <w:rPr>
              <w:rFonts w:ascii="Times New Roman" w:hAnsi="Times New Roman" w:eastAsia="Times New Roman" w:cs="Times New Roman"/>
              <w:spacing w:val="14"/>
              <w:sz w:val="20"/>
              <w:szCs w:val="20"/>
            </w:rPr>
            <w:t>7.</w:t>
          </w:r>
          <w:r>
            <w:rPr>
              <w:rFonts w:ascii="宋体" w:hAnsi="宋体" w:eastAsia="宋体" w:cs="宋体"/>
              <w:spacing w:val="14"/>
              <w:sz w:val="20"/>
              <w:szCs w:val="20"/>
            </w:rPr>
            <w:t>重点能源商品经销情况(205-7表)</w:t>
          </w:r>
          <w:r>
            <w:rPr>
              <w:rFonts w:ascii="宋体" w:hAnsi="宋体" w:eastAsia="宋体" w:cs="宋体"/>
              <w:sz w:val="20"/>
              <w:szCs w:val="20"/>
            </w:rPr>
            <w:tab/>
          </w:r>
          <w:r>
            <w:fldChar w:fldCharType="begin"/>
          </w:r>
          <w:r>
            <w:instrText xml:space="preserve"> HYPERLINK \l "bookmark11" </w:instrText>
          </w:r>
          <w:r>
            <w:fldChar w:fldCharType="separate"/>
          </w:r>
          <w:r>
            <w:rPr>
              <w:rFonts w:ascii="Times New Roman" w:hAnsi="Times New Roman" w:eastAsia="Times New Roman" w:cs="Times New Roman"/>
              <w:spacing w:val="-4"/>
              <w:sz w:val="20"/>
              <w:szCs w:val="20"/>
            </w:rPr>
            <w:t>12</w:t>
          </w:r>
          <w:r>
            <w:rPr>
              <w:rFonts w:ascii="Times New Roman" w:hAnsi="Times New Roman" w:eastAsia="Times New Roman" w:cs="Times New Roman"/>
              <w:spacing w:val="-4"/>
              <w:sz w:val="20"/>
              <w:szCs w:val="20"/>
            </w:rPr>
            <w:fldChar w:fldCharType="end"/>
          </w:r>
        </w:p>
        <w:p w14:paraId="728E1000">
          <w:pPr>
            <w:tabs>
              <w:tab w:val="right" w:leader="dot" w:pos="9185"/>
            </w:tabs>
            <w:spacing w:before="121" w:line="219" w:lineRule="auto"/>
            <w:ind w:left="789"/>
            <w:rPr>
              <w:rFonts w:ascii="Times New Roman" w:hAnsi="Times New Roman" w:eastAsia="Times New Roman" w:cs="Times New Roman"/>
              <w:sz w:val="20"/>
              <w:szCs w:val="20"/>
            </w:rPr>
          </w:pPr>
          <w:r>
            <w:rPr>
              <w:rFonts w:ascii="Times New Roman" w:hAnsi="Times New Roman" w:eastAsia="Times New Roman" w:cs="Times New Roman"/>
              <w:spacing w:val="16"/>
              <w:sz w:val="20"/>
              <w:szCs w:val="20"/>
            </w:rPr>
            <w:t>8.</w:t>
          </w:r>
          <w:r>
            <w:rPr>
              <w:rFonts w:ascii="宋体" w:hAnsi="宋体" w:eastAsia="宋体" w:cs="宋体"/>
              <w:spacing w:val="16"/>
              <w:sz w:val="20"/>
              <w:szCs w:val="20"/>
            </w:rPr>
            <w:t>四下企业主要能源产品产量(</w:t>
          </w:r>
          <w:r>
            <w:rPr>
              <w:rFonts w:ascii="Times New Roman" w:hAnsi="Times New Roman" w:eastAsia="Times New Roman" w:cs="Times New Roman"/>
              <w:spacing w:val="16"/>
              <w:sz w:val="20"/>
              <w:szCs w:val="20"/>
            </w:rPr>
            <w:t>P</w:t>
          </w:r>
          <w:r>
            <w:rPr>
              <w:rFonts w:ascii="宋体" w:hAnsi="宋体" w:eastAsia="宋体" w:cs="宋体"/>
              <w:spacing w:val="16"/>
              <w:sz w:val="20"/>
              <w:szCs w:val="20"/>
            </w:rPr>
            <w:t>206表)</w:t>
          </w:r>
          <w:r>
            <w:rPr>
              <w:rFonts w:ascii="宋体" w:hAnsi="宋体" w:eastAsia="宋体" w:cs="宋体"/>
              <w:sz w:val="20"/>
              <w:szCs w:val="20"/>
            </w:rPr>
            <w:tab/>
          </w:r>
          <w:r>
            <w:fldChar w:fldCharType="begin"/>
          </w:r>
          <w:r>
            <w:instrText xml:space="preserve"> HYPERLINK \l "bookmark12" </w:instrText>
          </w:r>
          <w:r>
            <w:fldChar w:fldCharType="separate"/>
          </w:r>
          <w:r>
            <w:rPr>
              <w:rFonts w:ascii="Times New Roman" w:hAnsi="Times New Roman" w:eastAsia="Times New Roman" w:cs="Times New Roman"/>
              <w:spacing w:val="-4"/>
              <w:sz w:val="20"/>
              <w:szCs w:val="20"/>
            </w:rPr>
            <w:t>13</w:t>
          </w:r>
          <w:r>
            <w:rPr>
              <w:rFonts w:ascii="Times New Roman" w:hAnsi="Times New Roman" w:eastAsia="Times New Roman" w:cs="Times New Roman"/>
              <w:spacing w:val="-4"/>
              <w:sz w:val="20"/>
              <w:szCs w:val="20"/>
            </w:rPr>
            <w:fldChar w:fldCharType="end"/>
          </w:r>
        </w:p>
        <w:p w14:paraId="382C67DB">
          <w:pPr>
            <w:tabs>
              <w:tab w:val="right" w:leader="dot" w:pos="9195"/>
            </w:tabs>
            <w:spacing w:before="123" w:line="219" w:lineRule="auto"/>
            <w:ind w:left="290"/>
            <w:rPr>
              <w:rFonts w:ascii="Times New Roman" w:hAnsi="Times New Roman" w:eastAsia="Times New Roman" w:cs="Times New Roman"/>
              <w:sz w:val="20"/>
              <w:szCs w:val="20"/>
            </w:rPr>
          </w:pPr>
          <w:r>
            <w:rPr>
              <w:rFonts w:ascii="宋体" w:hAnsi="宋体" w:eastAsia="宋体" w:cs="宋体"/>
              <w:spacing w:val="13"/>
              <w:sz w:val="20"/>
              <w:szCs w:val="20"/>
            </w:rPr>
            <w:t>(二)</w:t>
          </w:r>
          <w:r>
            <w:rPr>
              <w:rFonts w:ascii="宋体" w:hAnsi="宋体" w:eastAsia="宋体" w:cs="宋体"/>
              <w:spacing w:val="-41"/>
              <w:sz w:val="20"/>
              <w:szCs w:val="20"/>
            </w:rPr>
            <w:t xml:space="preserve"> </w:t>
          </w:r>
          <w:r>
            <w:rPr>
              <w:rFonts w:ascii="宋体" w:hAnsi="宋体" w:eastAsia="宋体" w:cs="宋体"/>
              <w:spacing w:val="13"/>
              <w:sz w:val="20"/>
              <w:szCs w:val="20"/>
            </w:rPr>
            <w:t>综合年报表式</w:t>
          </w:r>
          <w:r>
            <w:rPr>
              <w:rFonts w:ascii="宋体" w:hAnsi="宋体" w:eastAsia="宋体" w:cs="宋体"/>
              <w:spacing w:val="-77"/>
              <w:sz w:val="20"/>
              <w:szCs w:val="20"/>
            </w:rPr>
            <w:t xml:space="preserve"> </w:t>
          </w:r>
          <w:r>
            <w:rPr>
              <w:rFonts w:ascii="宋体" w:hAnsi="宋体" w:eastAsia="宋体" w:cs="宋体"/>
              <w:sz w:val="20"/>
              <w:szCs w:val="20"/>
            </w:rPr>
            <w:tab/>
          </w:r>
          <w:r>
            <w:fldChar w:fldCharType="begin"/>
          </w:r>
          <w:r>
            <w:instrText xml:space="preserve"> HYPERLINK \l "bookmark13" </w:instrText>
          </w:r>
          <w:r>
            <w:fldChar w:fldCharType="separate"/>
          </w:r>
          <w:r>
            <w:rPr>
              <w:rFonts w:ascii="Times New Roman" w:hAnsi="Times New Roman" w:eastAsia="Times New Roman" w:cs="Times New Roman"/>
              <w:spacing w:val="-4"/>
              <w:sz w:val="20"/>
              <w:szCs w:val="20"/>
            </w:rPr>
            <w:t>14</w:t>
          </w:r>
          <w:r>
            <w:rPr>
              <w:rFonts w:ascii="Times New Roman" w:hAnsi="Times New Roman" w:eastAsia="Times New Roman" w:cs="Times New Roman"/>
              <w:spacing w:val="-4"/>
              <w:sz w:val="20"/>
              <w:szCs w:val="20"/>
            </w:rPr>
            <w:fldChar w:fldCharType="end"/>
          </w:r>
        </w:p>
        <w:p w14:paraId="6F9D89FA">
          <w:pPr>
            <w:tabs>
              <w:tab w:val="right" w:leader="dot" w:pos="9195"/>
            </w:tabs>
            <w:spacing w:before="123" w:line="220" w:lineRule="auto"/>
            <w:ind w:left="789"/>
            <w:rPr>
              <w:rFonts w:ascii="Times New Roman" w:hAnsi="Times New Roman" w:eastAsia="Times New Roman" w:cs="Times New Roman"/>
              <w:sz w:val="20"/>
              <w:szCs w:val="20"/>
            </w:rPr>
          </w:pPr>
          <w:r>
            <w:rPr>
              <w:rFonts w:ascii="Times New Roman" w:hAnsi="Times New Roman" w:eastAsia="Times New Roman" w:cs="Times New Roman"/>
              <w:spacing w:val="23"/>
              <w:sz w:val="20"/>
              <w:szCs w:val="20"/>
            </w:rPr>
            <w:t>1.</w:t>
          </w:r>
          <w:r>
            <w:rPr>
              <w:rFonts w:ascii="宋体" w:hAnsi="宋体" w:eastAsia="宋体" w:cs="宋体"/>
              <w:spacing w:val="23"/>
              <w:sz w:val="20"/>
              <w:szCs w:val="20"/>
            </w:rPr>
            <w:t>能源平衡表(实物量)(</w:t>
          </w:r>
          <w:r>
            <w:rPr>
              <w:rFonts w:ascii="Times New Roman" w:hAnsi="Times New Roman" w:eastAsia="Times New Roman" w:cs="Times New Roman"/>
              <w:spacing w:val="23"/>
              <w:sz w:val="20"/>
              <w:szCs w:val="20"/>
            </w:rPr>
            <w:t>P</w:t>
          </w:r>
          <w:r>
            <w:rPr>
              <w:rFonts w:ascii="宋体" w:hAnsi="宋体" w:eastAsia="宋体" w:cs="宋体"/>
              <w:spacing w:val="23"/>
              <w:sz w:val="20"/>
              <w:szCs w:val="20"/>
            </w:rPr>
            <w:t>303-1表)</w:t>
          </w:r>
          <w:r>
            <w:rPr>
              <w:rFonts w:ascii="宋体" w:hAnsi="宋体" w:eastAsia="宋体" w:cs="宋体"/>
              <w:sz w:val="20"/>
              <w:szCs w:val="20"/>
            </w:rPr>
            <w:tab/>
          </w:r>
          <w:r>
            <w:fldChar w:fldCharType="begin"/>
          </w:r>
          <w:r>
            <w:instrText xml:space="preserve"> HYPERLINK \l "bookmark14" </w:instrText>
          </w:r>
          <w:r>
            <w:fldChar w:fldCharType="separate"/>
          </w:r>
          <w:r>
            <w:rPr>
              <w:rFonts w:ascii="Times New Roman" w:hAnsi="Times New Roman" w:eastAsia="Times New Roman" w:cs="Times New Roman"/>
              <w:spacing w:val="-6"/>
              <w:sz w:val="20"/>
              <w:szCs w:val="20"/>
            </w:rPr>
            <w:t>14</w:t>
          </w:r>
          <w:r>
            <w:rPr>
              <w:rFonts w:ascii="Times New Roman" w:hAnsi="Times New Roman" w:eastAsia="Times New Roman" w:cs="Times New Roman"/>
              <w:spacing w:val="-6"/>
              <w:sz w:val="20"/>
              <w:szCs w:val="20"/>
            </w:rPr>
            <w:fldChar w:fldCharType="end"/>
          </w:r>
        </w:p>
        <w:p w14:paraId="44ED9249">
          <w:pPr>
            <w:tabs>
              <w:tab w:val="right" w:leader="dot" w:pos="9205"/>
            </w:tabs>
            <w:spacing w:before="122" w:line="220" w:lineRule="auto"/>
            <w:ind w:left="789"/>
            <w:rPr>
              <w:rFonts w:ascii="Times New Roman" w:hAnsi="Times New Roman" w:eastAsia="Times New Roman" w:cs="Times New Roman"/>
              <w:sz w:val="20"/>
              <w:szCs w:val="20"/>
            </w:rPr>
          </w:pPr>
          <w:r>
            <w:rPr>
              <w:rFonts w:ascii="Times New Roman" w:hAnsi="Times New Roman" w:eastAsia="Times New Roman" w:cs="Times New Roman"/>
              <w:spacing w:val="21"/>
              <w:sz w:val="20"/>
              <w:szCs w:val="20"/>
            </w:rPr>
            <w:t xml:space="preserve">2. </w:t>
          </w:r>
          <w:r>
            <w:rPr>
              <w:rFonts w:ascii="宋体" w:hAnsi="宋体" w:eastAsia="宋体" w:cs="宋体"/>
              <w:spacing w:val="21"/>
              <w:sz w:val="20"/>
              <w:szCs w:val="20"/>
            </w:rPr>
            <w:t>能源平衡表(标准量)(</w:t>
          </w:r>
          <w:r>
            <w:rPr>
              <w:rFonts w:ascii="Times New Roman" w:hAnsi="Times New Roman" w:eastAsia="Times New Roman" w:cs="Times New Roman"/>
              <w:spacing w:val="21"/>
              <w:sz w:val="20"/>
              <w:szCs w:val="20"/>
            </w:rPr>
            <w:t>P</w:t>
          </w:r>
          <w:r>
            <w:rPr>
              <w:rFonts w:ascii="宋体" w:hAnsi="宋体" w:eastAsia="宋体" w:cs="宋体"/>
              <w:spacing w:val="21"/>
              <w:sz w:val="20"/>
              <w:szCs w:val="20"/>
            </w:rPr>
            <w:t>303-4表)</w:t>
          </w:r>
          <w:r>
            <w:rPr>
              <w:rFonts w:ascii="宋体" w:hAnsi="宋体" w:eastAsia="宋体" w:cs="宋体"/>
              <w:sz w:val="20"/>
              <w:szCs w:val="20"/>
            </w:rPr>
            <w:tab/>
          </w:r>
          <w:r>
            <w:fldChar w:fldCharType="begin"/>
          </w:r>
          <w:r>
            <w:instrText xml:space="preserve"> HYPERLINK \l "bookmark15" </w:instrText>
          </w:r>
          <w:r>
            <w:fldChar w:fldCharType="separate"/>
          </w:r>
          <w:r>
            <w:rPr>
              <w:rFonts w:ascii="Times New Roman" w:hAnsi="Times New Roman" w:eastAsia="Times New Roman" w:cs="Times New Roman"/>
              <w:spacing w:val="-6"/>
              <w:sz w:val="20"/>
              <w:szCs w:val="20"/>
            </w:rPr>
            <w:t>16</w:t>
          </w:r>
          <w:r>
            <w:rPr>
              <w:rFonts w:ascii="Times New Roman" w:hAnsi="Times New Roman" w:eastAsia="Times New Roman" w:cs="Times New Roman"/>
              <w:spacing w:val="-6"/>
              <w:sz w:val="20"/>
              <w:szCs w:val="20"/>
            </w:rPr>
            <w:fldChar w:fldCharType="end"/>
          </w:r>
        </w:p>
        <w:p w14:paraId="6BCD468D">
          <w:pPr>
            <w:tabs>
              <w:tab w:val="right" w:leader="dot" w:pos="9195"/>
            </w:tabs>
            <w:spacing w:before="121" w:line="219" w:lineRule="auto"/>
            <w:ind w:left="290"/>
            <w:rPr>
              <w:rFonts w:ascii="Times New Roman" w:hAnsi="Times New Roman" w:eastAsia="Times New Roman" w:cs="Times New Roman"/>
              <w:sz w:val="20"/>
              <w:szCs w:val="20"/>
            </w:rPr>
          </w:pPr>
          <w:r>
            <w:rPr>
              <w:rFonts w:ascii="宋体" w:hAnsi="宋体" w:eastAsia="宋体" w:cs="宋体"/>
              <w:spacing w:val="13"/>
              <w:sz w:val="20"/>
              <w:szCs w:val="20"/>
            </w:rPr>
            <w:t>(三)</w:t>
          </w:r>
          <w:r>
            <w:rPr>
              <w:rFonts w:ascii="宋体" w:hAnsi="宋体" w:eastAsia="宋体" w:cs="宋体"/>
              <w:spacing w:val="-41"/>
              <w:sz w:val="20"/>
              <w:szCs w:val="20"/>
            </w:rPr>
            <w:t xml:space="preserve"> </w:t>
          </w:r>
          <w:r>
            <w:rPr>
              <w:rFonts w:ascii="宋体" w:hAnsi="宋体" w:eastAsia="宋体" w:cs="宋体"/>
              <w:spacing w:val="13"/>
              <w:sz w:val="20"/>
              <w:szCs w:val="20"/>
            </w:rPr>
            <w:t>综合定报表式</w:t>
          </w:r>
          <w:r>
            <w:rPr>
              <w:rFonts w:ascii="宋体" w:hAnsi="宋体" w:eastAsia="宋体" w:cs="宋体"/>
              <w:spacing w:val="-77"/>
              <w:sz w:val="20"/>
              <w:szCs w:val="20"/>
            </w:rPr>
            <w:t xml:space="preserve"> </w:t>
          </w:r>
          <w:r>
            <w:rPr>
              <w:rFonts w:ascii="宋体" w:hAnsi="宋体" w:eastAsia="宋体" w:cs="宋体"/>
              <w:sz w:val="20"/>
              <w:szCs w:val="20"/>
            </w:rPr>
            <w:tab/>
          </w:r>
          <w:r>
            <w:fldChar w:fldCharType="begin"/>
          </w:r>
          <w:r>
            <w:instrText xml:space="preserve"> HYPERLINK \l "bookmark16" </w:instrText>
          </w:r>
          <w:r>
            <w:fldChar w:fldCharType="separate"/>
          </w:r>
          <w:r>
            <w:rPr>
              <w:rFonts w:ascii="Times New Roman" w:hAnsi="Times New Roman" w:eastAsia="Times New Roman" w:cs="Times New Roman"/>
              <w:spacing w:val="-4"/>
              <w:sz w:val="20"/>
              <w:szCs w:val="20"/>
            </w:rPr>
            <w:t>17</w:t>
          </w:r>
          <w:r>
            <w:rPr>
              <w:rFonts w:ascii="Times New Roman" w:hAnsi="Times New Roman" w:eastAsia="Times New Roman" w:cs="Times New Roman"/>
              <w:spacing w:val="-4"/>
              <w:sz w:val="20"/>
              <w:szCs w:val="20"/>
            </w:rPr>
            <w:fldChar w:fldCharType="end"/>
          </w:r>
        </w:p>
        <w:p w14:paraId="671BA065">
          <w:pPr>
            <w:tabs>
              <w:tab w:val="right" w:leader="dot" w:pos="9205"/>
            </w:tabs>
            <w:spacing w:before="123" w:line="219" w:lineRule="auto"/>
            <w:ind w:left="789"/>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w:t>
          </w:r>
          <w:r>
            <w:rPr>
              <w:rFonts w:ascii="宋体" w:hAnsi="宋体" w:eastAsia="宋体" w:cs="宋体"/>
              <w:spacing w:val="8"/>
              <w:sz w:val="20"/>
              <w:szCs w:val="20"/>
            </w:rPr>
            <w:t>地区能源消费与单位</w:t>
          </w:r>
          <w:r>
            <w:rPr>
              <w:rFonts w:ascii="Times New Roman" w:hAnsi="Times New Roman" w:eastAsia="Times New Roman" w:cs="Times New Roman"/>
              <w:sz w:val="20"/>
              <w:szCs w:val="20"/>
            </w:rPr>
            <w:t>GDP</w:t>
          </w:r>
          <w:r>
            <w:rPr>
              <w:rFonts w:ascii="Times New Roman" w:hAnsi="Times New Roman" w:eastAsia="Times New Roman" w:cs="Times New Roman"/>
              <w:spacing w:val="47"/>
              <w:sz w:val="20"/>
              <w:szCs w:val="20"/>
            </w:rPr>
            <w:t xml:space="preserve"> </w:t>
          </w:r>
          <w:r>
            <w:rPr>
              <w:rFonts w:ascii="宋体" w:hAnsi="宋体" w:eastAsia="宋体" w:cs="宋体"/>
              <w:spacing w:val="8"/>
              <w:sz w:val="20"/>
              <w:szCs w:val="20"/>
            </w:rPr>
            <w:t>能</w:t>
          </w:r>
          <w:r>
            <w:rPr>
              <w:rFonts w:ascii="宋体" w:hAnsi="宋体" w:eastAsia="宋体" w:cs="宋体"/>
              <w:spacing w:val="-24"/>
              <w:sz w:val="20"/>
              <w:szCs w:val="20"/>
            </w:rPr>
            <w:t xml:space="preserve"> </w:t>
          </w:r>
          <w:r>
            <w:rPr>
              <w:rFonts w:ascii="宋体" w:hAnsi="宋体" w:eastAsia="宋体" w:cs="宋体"/>
              <w:spacing w:val="8"/>
              <w:sz w:val="20"/>
              <w:szCs w:val="20"/>
            </w:rPr>
            <w:t>耗 (</w:t>
          </w:r>
          <w:r>
            <w:rPr>
              <w:rFonts w:ascii="Times New Roman" w:hAnsi="Times New Roman" w:eastAsia="Times New Roman" w:cs="Times New Roman"/>
              <w:spacing w:val="8"/>
              <w:sz w:val="20"/>
              <w:szCs w:val="20"/>
            </w:rPr>
            <w:t>P</w:t>
          </w:r>
          <w:r>
            <w:rPr>
              <w:rFonts w:ascii="宋体" w:hAnsi="宋体" w:eastAsia="宋体" w:cs="宋体"/>
              <w:spacing w:val="8"/>
              <w:sz w:val="20"/>
              <w:szCs w:val="20"/>
            </w:rPr>
            <w:t>406表)</w:t>
          </w:r>
          <w:r>
            <w:rPr>
              <w:rFonts w:ascii="宋体" w:hAnsi="宋体" w:eastAsia="宋体" w:cs="宋体"/>
              <w:sz w:val="20"/>
              <w:szCs w:val="20"/>
            </w:rPr>
            <w:tab/>
          </w:r>
          <w:r>
            <w:rPr>
              <w:rFonts w:ascii="宋体" w:hAnsi="宋体" w:eastAsia="宋体" w:cs="宋体"/>
              <w:spacing w:val="-27"/>
              <w:sz w:val="20"/>
              <w:szCs w:val="20"/>
            </w:rPr>
            <w:t xml:space="preserve"> </w:t>
          </w:r>
          <w:r>
            <w:fldChar w:fldCharType="begin"/>
          </w:r>
          <w:r>
            <w:instrText xml:space="preserve"> HYPERLINK \l "bookmark17" </w:instrText>
          </w:r>
          <w:r>
            <w:fldChar w:fldCharType="separate"/>
          </w:r>
          <w:r>
            <w:rPr>
              <w:rFonts w:ascii="Times New Roman" w:hAnsi="Times New Roman" w:eastAsia="Times New Roman" w:cs="Times New Roman"/>
              <w:spacing w:val="-6"/>
              <w:sz w:val="20"/>
              <w:szCs w:val="20"/>
            </w:rPr>
            <w:t>17</w:t>
          </w:r>
          <w:r>
            <w:rPr>
              <w:rFonts w:ascii="Times New Roman" w:hAnsi="Times New Roman" w:eastAsia="Times New Roman" w:cs="Times New Roman"/>
              <w:spacing w:val="-6"/>
              <w:sz w:val="20"/>
              <w:szCs w:val="20"/>
            </w:rPr>
            <w:fldChar w:fldCharType="end"/>
          </w:r>
        </w:p>
        <w:p w14:paraId="68212D37">
          <w:pPr>
            <w:tabs>
              <w:tab w:val="right" w:leader="dot" w:pos="9205"/>
            </w:tabs>
            <w:spacing w:before="121" w:line="219" w:lineRule="auto"/>
            <w:ind w:left="789"/>
            <w:rPr>
              <w:rFonts w:ascii="Times New Roman" w:hAnsi="Times New Roman" w:eastAsia="Times New Roman" w:cs="Times New Roman"/>
              <w:sz w:val="20"/>
              <w:szCs w:val="20"/>
            </w:rPr>
          </w:pPr>
          <w:r>
            <w:rPr>
              <w:rFonts w:ascii="Times New Roman" w:hAnsi="Times New Roman" w:eastAsia="Times New Roman" w:cs="Times New Roman"/>
              <w:spacing w:val="18"/>
              <w:sz w:val="20"/>
              <w:szCs w:val="20"/>
            </w:rPr>
            <w:t>2.</w:t>
          </w:r>
          <w:r>
            <w:rPr>
              <w:rFonts w:ascii="宋体" w:hAnsi="宋体" w:eastAsia="宋体" w:cs="宋体"/>
              <w:spacing w:val="18"/>
              <w:sz w:val="20"/>
              <w:szCs w:val="20"/>
            </w:rPr>
            <w:t>全社会用电量情况(</w:t>
          </w:r>
          <w:r>
            <w:rPr>
              <w:rFonts w:ascii="Times New Roman" w:hAnsi="Times New Roman" w:eastAsia="Times New Roman" w:cs="Times New Roman"/>
              <w:spacing w:val="18"/>
              <w:sz w:val="20"/>
              <w:szCs w:val="20"/>
            </w:rPr>
            <w:t>P</w:t>
          </w:r>
          <w:r>
            <w:rPr>
              <w:rFonts w:ascii="宋体" w:hAnsi="宋体" w:eastAsia="宋体" w:cs="宋体"/>
              <w:spacing w:val="18"/>
              <w:sz w:val="20"/>
              <w:szCs w:val="20"/>
            </w:rPr>
            <w:t>407表)</w:t>
          </w:r>
          <w:r>
            <w:rPr>
              <w:rFonts w:ascii="宋体" w:hAnsi="宋体" w:eastAsia="宋体" w:cs="宋体"/>
              <w:sz w:val="20"/>
              <w:szCs w:val="20"/>
            </w:rPr>
            <w:tab/>
          </w:r>
          <w:r>
            <w:fldChar w:fldCharType="begin"/>
          </w:r>
          <w:r>
            <w:instrText xml:space="preserve"> HYPERLINK \l "bookmark18" </w:instrText>
          </w:r>
          <w:r>
            <w:fldChar w:fldCharType="separate"/>
          </w:r>
          <w:r>
            <w:rPr>
              <w:rFonts w:ascii="Times New Roman" w:hAnsi="Times New Roman" w:eastAsia="Times New Roman" w:cs="Times New Roman"/>
              <w:spacing w:val="-8"/>
              <w:sz w:val="20"/>
              <w:szCs w:val="20"/>
            </w:rPr>
            <w:t>17</w:t>
          </w:r>
          <w:r>
            <w:rPr>
              <w:rFonts w:ascii="Times New Roman" w:hAnsi="Times New Roman" w:eastAsia="Times New Roman" w:cs="Times New Roman"/>
              <w:spacing w:val="-8"/>
              <w:sz w:val="20"/>
              <w:szCs w:val="20"/>
            </w:rPr>
            <w:fldChar w:fldCharType="end"/>
          </w:r>
        </w:p>
        <w:p w14:paraId="2F14AA2C">
          <w:pPr>
            <w:pStyle w:val="2"/>
            <w:spacing w:line="297" w:lineRule="auto"/>
          </w:pPr>
        </w:p>
        <w:p w14:paraId="39A4A4A6">
          <w:pPr>
            <w:tabs>
              <w:tab w:val="right" w:leader="dot" w:pos="9195"/>
            </w:tabs>
            <w:spacing w:before="65" w:line="219" w:lineRule="auto"/>
            <w:rPr>
              <w:rFonts w:ascii="Times New Roman" w:hAnsi="Times New Roman" w:eastAsia="Times New Roman" w:cs="Times New Roman"/>
              <w:sz w:val="20"/>
              <w:szCs w:val="20"/>
            </w:rPr>
          </w:pPr>
          <w:r>
            <w:rPr>
              <w:rFonts w:ascii="宋体" w:hAnsi="宋体" w:eastAsia="宋体" w:cs="宋体"/>
              <w:spacing w:val="-4"/>
              <w:sz w:val="20"/>
              <w:szCs w:val="20"/>
            </w:rPr>
            <w:t>四、</w:t>
          </w:r>
          <w:r>
            <w:rPr>
              <w:rFonts w:ascii="宋体" w:hAnsi="宋体" w:eastAsia="宋体" w:cs="宋体"/>
              <w:spacing w:val="-28"/>
              <w:sz w:val="20"/>
              <w:szCs w:val="20"/>
            </w:rPr>
            <w:t xml:space="preserve"> </w:t>
          </w:r>
          <w:r>
            <w:rPr>
              <w:rFonts w:ascii="宋体" w:hAnsi="宋体" w:eastAsia="宋体" w:cs="宋体"/>
              <w:spacing w:val="-4"/>
              <w:sz w:val="20"/>
              <w:szCs w:val="20"/>
            </w:rPr>
            <w:t>填报目录</w:t>
          </w:r>
          <w:r>
            <w:rPr>
              <w:rFonts w:ascii="宋体" w:hAnsi="宋体" w:eastAsia="宋体" w:cs="宋体"/>
              <w:spacing w:val="-79"/>
              <w:sz w:val="20"/>
              <w:szCs w:val="20"/>
            </w:rPr>
            <w:t xml:space="preserve"> </w:t>
          </w:r>
          <w:r>
            <w:rPr>
              <w:rFonts w:ascii="宋体" w:hAnsi="宋体" w:eastAsia="宋体" w:cs="宋体"/>
              <w:sz w:val="20"/>
              <w:szCs w:val="20"/>
            </w:rPr>
            <w:tab/>
          </w:r>
          <w:r>
            <w:fldChar w:fldCharType="begin"/>
          </w:r>
          <w:r>
            <w:instrText xml:space="preserve"> HYPERLINK \l "bookmark19" </w:instrText>
          </w:r>
          <w:r>
            <w:fldChar w:fldCharType="separate"/>
          </w:r>
          <w:r>
            <w:rPr>
              <w:rFonts w:ascii="Times New Roman" w:hAnsi="Times New Roman" w:eastAsia="Times New Roman" w:cs="Times New Roman"/>
              <w:spacing w:val="-4"/>
              <w:sz w:val="20"/>
              <w:szCs w:val="20"/>
            </w:rPr>
            <w:t>18</w:t>
          </w:r>
          <w:r>
            <w:rPr>
              <w:rFonts w:ascii="Times New Roman" w:hAnsi="Times New Roman" w:eastAsia="Times New Roman" w:cs="Times New Roman"/>
              <w:spacing w:val="-4"/>
              <w:sz w:val="20"/>
              <w:szCs w:val="20"/>
            </w:rPr>
            <w:fldChar w:fldCharType="end"/>
          </w:r>
        </w:p>
        <w:p w14:paraId="6E5516BB">
          <w:pPr>
            <w:tabs>
              <w:tab w:val="right" w:leader="dot" w:pos="9195"/>
            </w:tabs>
            <w:spacing w:before="123" w:line="219" w:lineRule="auto"/>
            <w:ind w:left="290"/>
            <w:rPr>
              <w:rFonts w:ascii="Times New Roman" w:hAnsi="Times New Roman" w:eastAsia="Times New Roman" w:cs="Times New Roman"/>
              <w:sz w:val="20"/>
              <w:szCs w:val="20"/>
            </w:rPr>
          </w:pPr>
          <w:r>
            <w:rPr>
              <w:rFonts w:ascii="宋体" w:hAnsi="宋体" w:eastAsia="宋体" w:cs="宋体"/>
              <w:spacing w:val="11"/>
              <w:sz w:val="20"/>
              <w:szCs w:val="20"/>
            </w:rPr>
            <w:t>(</w:t>
          </w:r>
          <w:r>
            <w:rPr>
              <w:rFonts w:ascii="宋体" w:hAnsi="宋体" w:eastAsia="宋体" w:cs="宋体"/>
              <w:spacing w:val="-51"/>
              <w:sz w:val="20"/>
              <w:szCs w:val="20"/>
            </w:rPr>
            <w:t xml:space="preserve"> </w:t>
          </w:r>
          <w:r>
            <w:rPr>
              <w:rFonts w:ascii="宋体" w:hAnsi="宋体" w:eastAsia="宋体" w:cs="宋体"/>
              <w:spacing w:val="11"/>
              <w:sz w:val="20"/>
              <w:szCs w:val="20"/>
            </w:rPr>
            <w:t>一</w:t>
          </w:r>
          <w:r>
            <w:rPr>
              <w:rFonts w:ascii="宋体" w:hAnsi="宋体" w:eastAsia="宋体" w:cs="宋体"/>
              <w:spacing w:val="-53"/>
              <w:sz w:val="20"/>
              <w:szCs w:val="20"/>
            </w:rPr>
            <w:t xml:space="preserve"> </w:t>
          </w:r>
          <w:r>
            <w:rPr>
              <w:rFonts w:ascii="宋体" w:hAnsi="宋体" w:eastAsia="宋体" w:cs="宋体"/>
              <w:spacing w:val="11"/>
              <w:sz w:val="20"/>
              <w:szCs w:val="20"/>
            </w:rPr>
            <w:t>)</w:t>
          </w:r>
          <w:r>
            <w:rPr>
              <w:rFonts w:ascii="宋体" w:hAnsi="宋体" w:eastAsia="宋体" w:cs="宋体"/>
              <w:spacing w:val="-34"/>
              <w:sz w:val="20"/>
              <w:szCs w:val="20"/>
            </w:rPr>
            <w:t xml:space="preserve"> </w:t>
          </w:r>
          <w:r>
            <w:rPr>
              <w:rFonts w:ascii="宋体" w:hAnsi="宋体" w:eastAsia="宋体" w:cs="宋体"/>
              <w:spacing w:val="11"/>
              <w:sz w:val="20"/>
              <w:szCs w:val="20"/>
            </w:rPr>
            <w:t>能源购进、消费与库存和能源加工转换与回收利用目录(205-1表、205-2</w:t>
          </w:r>
          <w:r>
            <w:rPr>
              <w:rFonts w:ascii="宋体" w:hAnsi="宋体" w:eastAsia="宋体" w:cs="宋体"/>
              <w:spacing w:val="10"/>
              <w:sz w:val="20"/>
              <w:szCs w:val="20"/>
            </w:rPr>
            <w:t>表)</w:t>
          </w:r>
          <w:r>
            <w:rPr>
              <w:rFonts w:ascii="宋体" w:hAnsi="宋体" w:eastAsia="宋体" w:cs="宋体"/>
              <w:sz w:val="20"/>
              <w:szCs w:val="20"/>
            </w:rPr>
            <w:tab/>
          </w:r>
          <w:r>
            <w:fldChar w:fldCharType="begin"/>
          </w:r>
          <w:r>
            <w:instrText xml:space="preserve"> HYPERLINK \l "bookmark20" </w:instrText>
          </w:r>
          <w:r>
            <w:fldChar w:fldCharType="separate"/>
          </w:r>
          <w:r>
            <w:rPr>
              <w:rFonts w:ascii="Times New Roman" w:hAnsi="Times New Roman" w:eastAsia="Times New Roman" w:cs="Times New Roman"/>
              <w:spacing w:val="-4"/>
              <w:sz w:val="20"/>
              <w:szCs w:val="20"/>
            </w:rPr>
            <w:t>18</w:t>
          </w:r>
          <w:r>
            <w:rPr>
              <w:rFonts w:ascii="Times New Roman" w:hAnsi="Times New Roman" w:eastAsia="Times New Roman" w:cs="Times New Roman"/>
              <w:spacing w:val="-4"/>
              <w:sz w:val="20"/>
              <w:szCs w:val="20"/>
            </w:rPr>
            <w:fldChar w:fldCharType="end"/>
          </w:r>
        </w:p>
        <w:p w14:paraId="4D0F8FB4">
          <w:pPr>
            <w:tabs>
              <w:tab w:val="right" w:leader="dot" w:pos="9205"/>
            </w:tabs>
            <w:spacing w:before="123" w:line="219" w:lineRule="auto"/>
            <w:ind w:left="290"/>
            <w:rPr>
              <w:rFonts w:ascii="Times New Roman" w:hAnsi="Times New Roman" w:eastAsia="Times New Roman" w:cs="Times New Roman"/>
              <w:sz w:val="20"/>
              <w:szCs w:val="20"/>
            </w:rPr>
          </w:pPr>
          <w:r>
            <w:rPr>
              <w:rFonts w:ascii="宋体" w:hAnsi="宋体" w:eastAsia="宋体" w:cs="宋体"/>
              <w:spacing w:val="11"/>
              <w:sz w:val="20"/>
              <w:szCs w:val="20"/>
            </w:rPr>
            <w:t>(二)</w:t>
          </w:r>
          <w:r>
            <w:rPr>
              <w:rFonts w:ascii="宋体" w:hAnsi="宋体" w:eastAsia="宋体" w:cs="宋体"/>
              <w:spacing w:val="-40"/>
              <w:sz w:val="20"/>
              <w:szCs w:val="20"/>
            </w:rPr>
            <w:t xml:space="preserve"> </w:t>
          </w:r>
          <w:r>
            <w:rPr>
              <w:rFonts w:ascii="宋体" w:hAnsi="宋体" w:eastAsia="宋体" w:cs="宋体"/>
              <w:spacing w:val="11"/>
              <w:sz w:val="20"/>
              <w:szCs w:val="20"/>
            </w:rPr>
            <w:t>主要耗能工业企业单位产品能源消费情况目录(205-3 表)</w:t>
          </w:r>
          <w:r>
            <w:rPr>
              <w:rFonts w:ascii="宋体" w:hAnsi="宋体" w:eastAsia="宋体" w:cs="宋体"/>
              <w:sz w:val="20"/>
              <w:szCs w:val="20"/>
            </w:rPr>
            <w:tab/>
          </w:r>
          <w:r>
            <w:fldChar w:fldCharType="begin"/>
          </w:r>
          <w:r>
            <w:instrText xml:space="preserve"> HYPERLINK \l "bookmark21" </w:instrText>
          </w:r>
          <w:r>
            <w:fldChar w:fldCharType="separate"/>
          </w:r>
          <w:r>
            <w:rPr>
              <w:rFonts w:ascii="Times New Roman" w:hAnsi="Times New Roman" w:eastAsia="Times New Roman" w:cs="Times New Roman"/>
              <w:spacing w:val="2"/>
              <w:sz w:val="20"/>
              <w:szCs w:val="20"/>
            </w:rPr>
            <w:t>21</w:t>
          </w:r>
          <w:r>
            <w:rPr>
              <w:rFonts w:ascii="Times New Roman" w:hAnsi="Times New Roman" w:eastAsia="Times New Roman" w:cs="Times New Roman"/>
              <w:spacing w:val="2"/>
              <w:sz w:val="20"/>
              <w:szCs w:val="20"/>
            </w:rPr>
            <w:fldChar w:fldCharType="end"/>
          </w:r>
        </w:p>
        <w:p w14:paraId="05971A63">
          <w:pPr>
            <w:tabs>
              <w:tab w:val="right" w:leader="dot" w:pos="9205"/>
            </w:tabs>
            <w:spacing w:before="123" w:line="219" w:lineRule="auto"/>
            <w:ind w:left="290"/>
            <w:rPr>
              <w:rFonts w:ascii="Times New Roman" w:hAnsi="Times New Roman" w:eastAsia="Times New Roman" w:cs="Times New Roman"/>
              <w:sz w:val="20"/>
              <w:szCs w:val="20"/>
            </w:rPr>
          </w:pPr>
          <w:r>
            <w:rPr>
              <w:rFonts w:ascii="宋体" w:hAnsi="宋体" w:eastAsia="宋体" w:cs="宋体"/>
              <w:spacing w:val="16"/>
              <w:sz w:val="20"/>
              <w:szCs w:val="20"/>
            </w:rPr>
            <w:t>(三)</w:t>
          </w:r>
          <w:r>
            <w:rPr>
              <w:rFonts w:ascii="宋体" w:hAnsi="宋体" w:eastAsia="宋体" w:cs="宋体"/>
              <w:spacing w:val="-34"/>
              <w:sz w:val="20"/>
              <w:szCs w:val="20"/>
            </w:rPr>
            <w:t xml:space="preserve"> </w:t>
          </w:r>
          <w:r>
            <w:rPr>
              <w:rFonts w:ascii="宋体" w:hAnsi="宋体" w:eastAsia="宋体" w:cs="宋体"/>
              <w:spacing w:val="16"/>
              <w:sz w:val="20"/>
              <w:szCs w:val="20"/>
            </w:rPr>
            <w:t>能源生产、销售与库存目录(205-6</w:t>
          </w:r>
          <w:r>
            <w:rPr>
              <w:rFonts w:ascii="宋体" w:hAnsi="宋体" w:eastAsia="宋体" w:cs="宋体"/>
              <w:spacing w:val="15"/>
              <w:sz w:val="20"/>
              <w:szCs w:val="20"/>
            </w:rPr>
            <w:t>表)</w:t>
          </w:r>
          <w:r>
            <w:rPr>
              <w:rFonts w:ascii="宋体" w:hAnsi="宋体" w:eastAsia="宋体" w:cs="宋体"/>
              <w:sz w:val="20"/>
              <w:szCs w:val="20"/>
            </w:rPr>
            <w:tab/>
          </w:r>
          <w:r>
            <w:fldChar w:fldCharType="begin"/>
          </w:r>
          <w:r>
            <w:instrText xml:space="preserve"> HYPERLINK \l "bookmark22" </w:instrText>
          </w:r>
          <w:r>
            <w:fldChar w:fldCharType="separate"/>
          </w:r>
          <w:r>
            <w:rPr>
              <w:rFonts w:ascii="Times New Roman" w:hAnsi="Times New Roman" w:eastAsia="Times New Roman" w:cs="Times New Roman"/>
              <w:spacing w:val="9"/>
              <w:sz w:val="20"/>
              <w:szCs w:val="20"/>
            </w:rPr>
            <w:t>49</w:t>
          </w:r>
          <w:r>
            <w:rPr>
              <w:rFonts w:ascii="Times New Roman" w:hAnsi="Times New Roman" w:eastAsia="Times New Roman" w:cs="Times New Roman"/>
              <w:spacing w:val="9"/>
              <w:sz w:val="20"/>
              <w:szCs w:val="20"/>
            </w:rPr>
            <w:fldChar w:fldCharType="end"/>
          </w:r>
        </w:p>
        <w:p w14:paraId="61BA8979">
          <w:pPr>
            <w:tabs>
              <w:tab w:val="right" w:leader="dot" w:pos="9200"/>
            </w:tabs>
            <w:spacing w:before="121" w:line="219" w:lineRule="auto"/>
            <w:ind w:left="290"/>
            <w:rPr>
              <w:rFonts w:ascii="Times New Roman" w:hAnsi="Times New Roman" w:eastAsia="Times New Roman" w:cs="Times New Roman"/>
              <w:sz w:val="20"/>
              <w:szCs w:val="20"/>
            </w:rPr>
          </w:pPr>
          <w:r>
            <w:rPr>
              <w:rFonts w:ascii="宋体" w:hAnsi="宋体" w:eastAsia="宋体" w:cs="宋体"/>
              <w:spacing w:val="19"/>
              <w:sz w:val="20"/>
              <w:szCs w:val="20"/>
            </w:rPr>
            <w:t>(四)</w:t>
          </w:r>
          <w:r>
            <w:rPr>
              <w:rFonts w:ascii="宋体" w:hAnsi="宋体" w:eastAsia="宋体" w:cs="宋体"/>
              <w:spacing w:val="-39"/>
              <w:sz w:val="20"/>
              <w:szCs w:val="20"/>
            </w:rPr>
            <w:t xml:space="preserve"> </w:t>
          </w:r>
          <w:r>
            <w:rPr>
              <w:rFonts w:ascii="宋体" w:hAnsi="宋体" w:eastAsia="宋体" w:cs="宋体"/>
              <w:spacing w:val="19"/>
              <w:sz w:val="20"/>
              <w:szCs w:val="20"/>
            </w:rPr>
            <w:t>全社会用电量情况目录(</w:t>
          </w:r>
          <w:r>
            <w:rPr>
              <w:rFonts w:ascii="Times New Roman" w:hAnsi="Times New Roman" w:eastAsia="Times New Roman" w:cs="Times New Roman"/>
              <w:spacing w:val="19"/>
              <w:sz w:val="20"/>
              <w:szCs w:val="20"/>
            </w:rPr>
            <w:t>P</w:t>
          </w:r>
          <w:r>
            <w:rPr>
              <w:rFonts w:ascii="宋体" w:hAnsi="宋体" w:eastAsia="宋体" w:cs="宋体"/>
              <w:spacing w:val="19"/>
              <w:sz w:val="20"/>
              <w:szCs w:val="20"/>
            </w:rPr>
            <w:t>407表)</w:t>
          </w:r>
          <w:r>
            <w:rPr>
              <w:rFonts w:ascii="宋体" w:hAnsi="宋体" w:eastAsia="宋体" w:cs="宋体"/>
              <w:sz w:val="20"/>
              <w:szCs w:val="20"/>
            </w:rPr>
            <w:tab/>
          </w:r>
          <w:r>
            <w:fldChar w:fldCharType="begin"/>
          </w:r>
          <w:r>
            <w:instrText xml:space="preserve"> HYPERLINK \l "bookmark23" </w:instrText>
          </w:r>
          <w:r>
            <w:fldChar w:fldCharType="separate"/>
          </w:r>
          <w:r>
            <w:rPr>
              <w:rFonts w:ascii="Times New Roman" w:hAnsi="Times New Roman" w:eastAsia="Times New Roman" w:cs="Times New Roman"/>
              <w:sz w:val="20"/>
              <w:szCs w:val="20"/>
            </w:rPr>
            <w:t>60</w:t>
          </w:r>
          <w:r>
            <w:rPr>
              <w:rFonts w:ascii="Times New Roman" w:hAnsi="Times New Roman" w:eastAsia="Times New Roman" w:cs="Times New Roman"/>
              <w:sz w:val="20"/>
              <w:szCs w:val="20"/>
            </w:rPr>
            <w:fldChar w:fldCharType="end"/>
          </w:r>
        </w:p>
        <w:p w14:paraId="76C58364">
          <w:pPr>
            <w:tabs>
              <w:tab w:val="right" w:leader="dot" w:pos="9230"/>
            </w:tabs>
            <w:spacing w:before="124" w:line="219" w:lineRule="auto"/>
            <w:rPr>
              <w:rFonts w:ascii="Times New Roman" w:hAnsi="Times New Roman" w:eastAsia="Times New Roman" w:cs="Times New Roman"/>
              <w:sz w:val="20"/>
              <w:szCs w:val="20"/>
            </w:rPr>
          </w:pPr>
          <w:r>
            <w:rPr>
              <w:rFonts w:ascii="宋体" w:hAnsi="宋体" w:eastAsia="宋体" w:cs="宋体"/>
              <w:sz w:val="20"/>
              <w:szCs w:val="20"/>
            </w:rPr>
            <w:t>五</w:t>
          </w:r>
          <w:r>
            <w:rPr>
              <w:rFonts w:ascii="宋体" w:hAnsi="宋体" w:eastAsia="宋体" w:cs="宋体"/>
              <w:spacing w:val="-41"/>
              <w:sz w:val="20"/>
              <w:szCs w:val="20"/>
            </w:rPr>
            <w:t xml:space="preserve"> </w:t>
          </w:r>
          <w:r>
            <w:rPr>
              <w:rFonts w:ascii="宋体" w:hAnsi="宋体" w:eastAsia="宋体" w:cs="宋体"/>
              <w:sz w:val="20"/>
              <w:szCs w:val="20"/>
            </w:rPr>
            <w:t>、主要指标解释</w:t>
          </w:r>
          <w:r>
            <w:rPr>
              <w:rFonts w:ascii="宋体" w:hAnsi="宋体" w:eastAsia="宋体" w:cs="宋体"/>
              <w:spacing w:val="-80"/>
              <w:sz w:val="20"/>
              <w:szCs w:val="20"/>
            </w:rPr>
            <w:t xml:space="preserve"> </w:t>
          </w:r>
          <w:r>
            <w:rPr>
              <w:rFonts w:ascii="宋体" w:hAnsi="宋体" w:eastAsia="宋体" w:cs="宋体"/>
              <w:sz w:val="20"/>
              <w:szCs w:val="20"/>
            </w:rPr>
            <w:tab/>
          </w:r>
          <w:r>
            <w:fldChar w:fldCharType="begin"/>
          </w:r>
          <w:r>
            <w:instrText xml:space="preserve"> HYPERLINK \l "bookmark24" </w:instrText>
          </w:r>
          <w:r>
            <w:fldChar w:fldCharType="separate"/>
          </w:r>
          <w:r>
            <w:rPr>
              <w:rFonts w:ascii="Times New Roman" w:hAnsi="Times New Roman" w:eastAsia="Times New Roman" w:cs="Times New Roman"/>
              <w:spacing w:val="-1"/>
              <w:sz w:val="20"/>
              <w:szCs w:val="20"/>
            </w:rPr>
            <w:t>61</w:t>
          </w:r>
          <w:r>
            <w:rPr>
              <w:rFonts w:ascii="Times New Roman" w:hAnsi="Times New Roman" w:eastAsia="Times New Roman" w:cs="Times New Roman"/>
              <w:spacing w:val="-1"/>
              <w:sz w:val="20"/>
              <w:szCs w:val="20"/>
            </w:rPr>
            <w:fldChar w:fldCharType="end"/>
          </w:r>
        </w:p>
        <w:p w14:paraId="04C91BD1">
          <w:pPr>
            <w:tabs>
              <w:tab w:val="right" w:leader="dot" w:pos="9230"/>
            </w:tabs>
            <w:spacing w:before="123" w:line="219" w:lineRule="auto"/>
            <w:ind w:left="290"/>
            <w:rPr>
              <w:rFonts w:ascii="Times New Roman" w:hAnsi="Times New Roman" w:eastAsia="Times New Roman" w:cs="Times New Roman"/>
              <w:sz w:val="20"/>
              <w:szCs w:val="20"/>
            </w:rPr>
          </w:pPr>
          <w:r>
            <w:rPr>
              <w:rFonts w:ascii="宋体" w:hAnsi="宋体" w:eastAsia="宋体" w:cs="宋体"/>
              <w:spacing w:val="12"/>
              <w:sz w:val="20"/>
              <w:szCs w:val="20"/>
            </w:rPr>
            <w:t>(</w:t>
          </w:r>
          <w:r>
            <w:rPr>
              <w:rFonts w:ascii="宋体" w:hAnsi="宋体" w:eastAsia="宋体" w:cs="宋体"/>
              <w:spacing w:val="-51"/>
              <w:sz w:val="20"/>
              <w:szCs w:val="20"/>
            </w:rPr>
            <w:t xml:space="preserve"> </w:t>
          </w:r>
          <w:r>
            <w:rPr>
              <w:rFonts w:ascii="宋体" w:hAnsi="宋体" w:eastAsia="宋体" w:cs="宋体"/>
              <w:spacing w:val="12"/>
              <w:sz w:val="20"/>
              <w:szCs w:val="20"/>
            </w:rPr>
            <w:t>一</w:t>
          </w:r>
          <w:r>
            <w:rPr>
              <w:rFonts w:ascii="宋体" w:hAnsi="宋体" w:eastAsia="宋体" w:cs="宋体"/>
              <w:spacing w:val="-53"/>
              <w:sz w:val="20"/>
              <w:szCs w:val="20"/>
            </w:rPr>
            <w:t xml:space="preserve"> </w:t>
          </w:r>
          <w:r>
            <w:rPr>
              <w:rFonts w:ascii="宋体" w:hAnsi="宋体" w:eastAsia="宋体" w:cs="宋体"/>
              <w:spacing w:val="12"/>
              <w:sz w:val="20"/>
              <w:szCs w:val="20"/>
            </w:rPr>
            <w:t>)</w:t>
          </w:r>
          <w:r>
            <w:rPr>
              <w:rFonts w:ascii="宋体" w:hAnsi="宋体" w:eastAsia="宋体" w:cs="宋体"/>
              <w:spacing w:val="-34"/>
              <w:sz w:val="20"/>
              <w:szCs w:val="20"/>
            </w:rPr>
            <w:t xml:space="preserve"> </w:t>
          </w:r>
          <w:r>
            <w:rPr>
              <w:rFonts w:ascii="宋体" w:hAnsi="宋体" w:eastAsia="宋体" w:cs="宋体"/>
              <w:spacing w:val="12"/>
              <w:sz w:val="20"/>
              <w:szCs w:val="20"/>
            </w:rPr>
            <w:t>能源购进、消费与库存(205-1</w:t>
          </w:r>
          <w:r>
            <w:rPr>
              <w:rFonts w:ascii="宋体" w:hAnsi="宋体" w:eastAsia="宋体" w:cs="宋体"/>
              <w:spacing w:val="11"/>
              <w:sz w:val="20"/>
              <w:szCs w:val="20"/>
            </w:rPr>
            <w:t>表)</w:t>
          </w:r>
          <w:r>
            <w:rPr>
              <w:rFonts w:ascii="宋体" w:hAnsi="宋体" w:eastAsia="宋体" w:cs="宋体"/>
              <w:sz w:val="20"/>
              <w:szCs w:val="20"/>
            </w:rPr>
            <w:tab/>
          </w:r>
          <w:r>
            <w:rPr>
              <w:rFonts w:ascii="宋体" w:hAnsi="宋体" w:eastAsia="宋体" w:cs="宋体"/>
              <w:spacing w:val="-27"/>
              <w:sz w:val="20"/>
              <w:szCs w:val="20"/>
            </w:rPr>
            <w:t xml:space="preserve"> </w:t>
          </w:r>
          <w:r>
            <w:fldChar w:fldCharType="begin"/>
          </w:r>
          <w:r>
            <w:instrText xml:space="preserve"> HYPERLINK \l "bookmark25" </w:instrText>
          </w:r>
          <w:r>
            <w:fldChar w:fldCharType="separate"/>
          </w:r>
          <w:r>
            <w:rPr>
              <w:rFonts w:ascii="Times New Roman" w:hAnsi="Times New Roman" w:eastAsia="Times New Roman" w:cs="Times New Roman"/>
              <w:spacing w:val="-3"/>
              <w:sz w:val="20"/>
              <w:szCs w:val="20"/>
            </w:rPr>
            <w:t>61</w:t>
          </w:r>
          <w:r>
            <w:rPr>
              <w:rFonts w:ascii="Times New Roman" w:hAnsi="Times New Roman" w:eastAsia="Times New Roman" w:cs="Times New Roman"/>
              <w:spacing w:val="-3"/>
              <w:sz w:val="20"/>
              <w:szCs w:val="20"/>
            </w:rPr>
            <w:fldChar w:fldCharType="end"/>
          </w:r>
        </w:p>
        <w:p w14:paraId="62588DE0">
          <w:pPr>
            <w:tabs>
              <w:tab w:val="right" w:leader="dot" w:pos="9200"/>
            </w:tabs>
            <w:spacing w:before="123" w:line="219" w:lineRule="auto"/>
            <w:ind w:left="290"/>
            <w:rPr>
              <w:rFonts w:ascii="Times New Roman" w:hAnsi="Times New Roman" w:eastAsia="Times New Roman" w:cs="Times New Roman"/>
              <w:sz w:val="20"/>
              <w:szCs w:val="20"/>
            </w:rPr>
          </w:pPr>
          <w:r>
            <w:rPr>
              <w:rFonts w:ascii="宋体" w:hAnsi="宋体" w:eastAsia="宋体" w:cs="宋体"/>
              <w:spacing w:val="15"/>
              <w:sz w:val="20"/>
              <w:szCs w:val="20"/>
            </w:rPr>
            <w:t>(二)</w:t>
          </w:r>
          <w:r>
            <w:rPr>
              <w:rFonts w:ascii="宋体" w:hAnsi="宋体" w:eastAsia="宋体" w:cs="宋体"/>
              <w:spacing w:val="-18"/>
              <w:sz w:val="20"/>
              <w:szCs w:val="20"/>
            </w:rPr>
            <w:t xml:space="preserve"> </w:t>
          </w:r>
          <w:r>
            <w:rPr>
              <w:rFonts w:ascii="宋体" w:hAnsi="宋体" w:eastAsia="宋体" w:cs="宋体"/>
              <w:spacing w:val="15"/>
              <w:sz w:val="20"/>
              <w:szCs w:val="20"/>
            </w:rPr>
            <w:t>能源加工转换与回收利用(205-2表)</w:t>
          </w:r>
          <w:r>
            <w:rPr>
              <w:rFonts w:ascii="宋体" w:hAnsi="宋体" w:eastAsia="宋体" w:cs="宋体"/>
              <w:sz w:val="20"/>
              <w:szCs w:val="20"/>
            </w:rPr>
            <w:tab/>
          </w:r>
          <w:r>
            <w:rPr>
              <w:rFonts w:ascii="宋体" w:hAnsi="宋体" w:eastAsia="宋体" w:cs="宋体"/>
              <w:spacing w:val="-57"/>
              <w:sz w:val="20"/>
              <w:szCs w:val="20"/>
            </w:rPr>
            <w:t xml:space="preserve"> </w:t>
          </w:r>
          <w:r>
            <w:fldChar w:fldCharType="begin"/>
          </w:r>
          <w:r>
            <w:instrText xml:space="preserve"> HYPERLINK \l "bookmark26" </w:instrText>
          </w:r>
          <w:r>
            <w:fldChar w:fldCharType="separate"/>
          </w:r>
          <w:r>
            <w:rPr>
              <w:rFonts w:ascii="Times New Roman" w:hAnsi="Times New Roman" w:eastAsia="Times New Roman" w:cs="Times New Roman"/>
              <w:spacing w:val="-3"/>
              <w:sz w:val="20"/>
              <w:szCs w:val="20"/>
            </w:rPr>
            <w:t>63</w:t>
          </w:r>
          <w:r>
            <w:rPr>
              <w:rFonts w:ascii="Times New Roman" w:hAnsi="Times New Roman" w:eastAsia="Times New Roman" w:cs="Times New Roman"/>
              <w:spacing w:val="-3"/>
              <w:sz w:val="20"/>
              <w:szCs w:val="20"/>
            </w:rPr>
            <w:fldChar w:fldCharType="end"/>
          </w:r>
        </w:p>
        <w:p w14:paraId="6064E52C">
          <w:pPr>
            <w:tabs>
              <w:tab w:val="right" w:leader="dot" w:pos="9200"/>
            </w:tabs>
            <w:spacing w:before="122" w:line="219" w:lineRule="auto"/>
            <w:ind w:left="290"/>
            <w:rPr>
              <w:rFonts w:ascii="Times New Roman" w:hAnsi="Times New Roman" w:eastAsia="Times New Roman" w:cs="Times New Roman"/>
              <w:sz w:val="20"/>
              <w:szCs w:val="20"/>
            </w:rPr>
          </w:pPr>
          <w:r>
            <w:rPr>
              <w:rFonts w:ascii="宋体" w:hAnsi="宋体" w:eastAsia="宋体" w:cs="宋体"/>
              <w:spacing w:val="17"/>
              <w:sz w:val="20"/>
              <w:szCs w:val="20"/>
            </w:rPr>
            <w:t>(三)</w:t>
          </w:r>
          <w:r>
            <w:rPr>
              <w:rFonts w:ascii="宋体" w:hAnsi="宋体" w:eastAsia="宋体" w:cs="宋体"/>
              <w:spacing w:val="-31"/>
              <w:sz w:val="20"/>
              <w:szCs w:val="20"/>
            </w:rPr>
            <w:t xml:space="preserve"> </w:t>
          </w:r>
          <w:r>
            <w:rPr>
              <w:rFonts w:ascii="宋体" w:hAnsi="宋体" w:eastAsia="宋体" w:cs="宋体"/>
              <w:spacing w:val="17"/>
              <w:sz w:val="20"/>
              <w:szCs w:val="20"/>
            </w:rPr>
            <w:t>工业企业用水情况(205-4表)</w:t>
          </w:r>
          <w:r>
            <w:rPr>
              <w:rFonts w:ascii="宋体" w:hAnsi="宋体" w:eastAsia="宋体" w:cs="宋体"/>
              <w:sz w:val="20"/>
              <w:szCs w:val="20"/>
            </w:rPr>
            <w:tab/>
          </w:r>
          <w:r>
            <w:rPr>
              <w:rFonts w:ascii="宋体" w:hAnsi="宋体" w:eastAsia="宋体" w:cs="宋体"/>
              <w:spacing w:val="-37"/>
              <w:sz w:val="20"/>
              <w:szCs w:val="20"/>
            </w:rPr>
            <w:t xml:space="preserve"> </w:t>
          </w:r>
          <w:r>
            <w:fldChar w:fldCharType="begin"/>
          </w:r>
          <w:r>
            <w:instrText xml:space="preserve"> HYPERLINK \l "bookmark27" </w:instrText>
          </w:r>
          <w:r>
            <w:fldChar w:fldCharType="separate"/>
          </w:r>
          <w:r>
            <w:rPr>
              <w:rFonts w:ascii="Times New Roman" w:hAnsi="Times New Roman" w:eastAsia="Times New Roman" w:cs="Times New Roman"/>
              <w:spacing w:val="-3"/>
              <w:sz w:val="20"/>
              <w:szCs w:val="20"/>
            </w:rPr>
            <w:t>65</w:t>
          </w:r>
          <w:r>
            <w:rPr>
              <w:rFonts w:ascii="Times New Roman" w:hAnsi="Times New Roman" w:eastAsia="Times New Roman" w:cs="Times New Roman"/>
              <w:spacing w:val="-3"/>
              <w:sz w:val="20"/>
              <w:szCs w:val="20"/>
            </w:rPr>
            <w:fldChar w:fldCharType="end"/>
          </w:r>
        </w:p>
        <w:p w14:paraId="1BA2D3B1">
          <w:pPr>
            <w:tabs>
              <w:tab w:val="right" w:leader="dot" w:pos="9200"/>
            </w:tabs>
            <w:spacing w:before="133" w:line="219" w:lineRule="auto"/>
            <w:ind w:left="290"/>
            <w:rPr>
              <w:rFonts w:ascii="Times New Roman" w:hAnsi="Times New Roman" w:eastAsia="Times New Roman" w:cs="Times New Roman"/>
              <w:sz w:val="20"/>
              <w:szCs w:val="20"/>
            </w:rPr>
          </w:pPr>
          <w:r>
            <w:rPr>
              <w:rFonts w:ascii="宋体" w:hAnsi="宋体" w:eastAsia="宋体" w:cs="宋体"/>
              <w:spacing w:val="15"/>
              <w:sz w:val="20"/>
              <w:szCs w:val="20"/>
            </w:rPr>
            <w:t>(四)</w:t>
          </w:r>
          <w:r>
            <w:rPr>
              <w:rFonts w:ascii="宋体" w:hAnsi="宋体" w:eastAsia="宋体" w:cs="宋体"/>
              <w:spacing w:val="-38"/>
              <w:sz w:val="20"/>
              <w:szCs w:val="20"/>
            </w:rPr>
            <w:t xml:space="preserve"> </w:t>
          </w:r>
          <w:r>
            <w:rPr>
              <w:rFonts w:ascii="宋体" w:hAnsi="宋体" w:eastAsia="宋体" w:cs="宋体"/>
              <w:spacing w:val="15"/>
              <w:sz w:val="20"/>
              <w:szCs w:val="20"/>
            </w:rPr>
            <w:t>非工业重点耗能单位能源消费情况(205-5表)</w:t>
          </w:r>
          <w:r>
            <w:rPr>
              <w:rFonts w:ascii="宋体" w:hAnsi="宋体" w:eastAsia="宋体" w:cs="宋体"/>
              <w:sz w:val="20"/>
              <w:szCs w:val="20"/>
            </w:rPr>
            <w:tab/>
          </w:r>
          <w:r>
            <w:fldChar w:fldCharType="begin"/>
          </w:r>
          <w:r>
            <w:instrText xml:space="preserve"> HYPERLINK \l "bookmark28" </w:instrText>
          </w:r>
          <w:r>
            <w:fldChar w:fldCharType="separate"/>
          </w:r>
          <w:r>
            <w:rPr>
              <w:rFonts w:ascii="Times New Roman" w:hAnsi="Times New Roman" w:eastAsia="Times New Roman" w:cs="Times New Roman"/>
              <w:spacing w:val="-2"/>
              <w:sz w:val="20"/>
              <w:szCs w:val="20"/>
            </w:rPr>
            <w:t>66</w:t>
          </w:r>
          <w:r>
            <w:rPr>
              <w:rFonts w:ascii="Times New Roman" w:hAnsi="Times New Roman" w:eastAsia="Times New Roman" w:cs="Times New Roman"/>
              <w:spacing w:val="-2"/>
              <w:sz w:val="20"/>
              <w:szCs w:val="20"/>
            </w:rPr>
            <w:fldChar w:fldCharType="end"/>
          </w:r>
        </w:p>
        <w:p w14:paraId="68B25FB1">
          <w:pPr>
            <w:tabs>
              <w:tab w:val="right" w:leader="dot" w:pos="9200"/>
            </w:tabs>
            <w:spacing w:before="113" w:line="219" w:lineRule="auto"/>
            <w:ind w:left="290"/>
            <w:rPr>
              <w:rFonts w:ascii="Times New Roman" w:hAnsi="Times New Roman" w:eastAsia="Times New Roman" w:cs="Times New Roman"/>
              <w:sz w:val="20"/>
              <w:szCs w:val="20"/>
            </w:rPr>
          </w:pPr>
          <w:r>
            <w:rPr>
              <w:rFonts w:ascii="宋体" w:hAnsi="宋体" w:eastAsia="宋体" w:cs="宋体"/>
              <w:spacing w:val="16"/>
              <w:sz w:val="20"/>
              <w:szCs w:val="20"/>
            </w:rPr>
            <w:t>(五)</w:t>
          </w:r>
          <w:r>
            <w:rPr>
              <w:rFonts w:ascii="宋体" w:hAnsi="宋体" w:eastAsia="宋体" w:cs="宋体"/>
              <w:spacing w:val="-24"/>
              <w:sz w:val="20"/>
              <w:szCs w:val="20"/>
            </w:rPr>
            <w:t xml:space="preserve"> </w:t>
          </w:r>
          <w:r>
            <w:rPr>
              <w:rFonts w:ascii="宋体" w:hAnsi="宋体" w:eastAsia="宋体" w:cs="宋体"/>
              <w:spacing w:val="16"/>
              <w:sz w:val="20"/>
              <w:szCs w:val="20"/>
            </w:rPr>
            <w:t>能源生产、销售与库存(205-6表)</w:t>
          </w:r>
          <w:r>
            <w:rPr>
              <w:rFonts w:ascii="宋体" w:hAnsi="宋体" w:eastAsia="宋体" w:cs="宋体"/>
              <w:sz w:val="20"/>
              <w:szCs w:val="20"/>
            </w:rPr>
            <w:tab/>
          </w:r>
          <w:r>
            <w:rPr>
              <w:rFonts w:ascii="宋体" w:hAnsi="宋体" w:eastAsia="宋体" w:cs="宋体"/>
              <w:spacing w:val="-57"/>
              <w:sz w:val="20"/>
              <w:szCs w:val="20"/>
            </w:rPr>
            <w:t xml:space="preserve"> </w:t>
          </w:r>
          <w:r>
            <w:fldChar w:fldCharType="begin"/>
          </w:r>
          <w:r>
            <w:instrText xml:space="preserve"> HYPERLINK \l "bookmark29" </w:instrText>
          </w:r>
          <w:r>
            <w:fldChar w:fldCharType="separate"/>
          </w:r>
          <w:r>
            <w:rPr>
              <w:rFonts w:ascii="Times New Roman" w:hAnsi="Times New Roman" w:eastAsia="Times New Roman" w:cs="Times New Roman"/>
              <w:spacing w:val="-3"/>
              <w:sz w:val="20"/>
              <w:szCs w:val="20"/>
            </w:rPr>
            <w:t>67</w:t>
          </w:r>
          <w:r>
            <w:rPr>
              <w:rFonts w:ascii="Times New Roman" w:hAnsi="Times New Roman" w:eastAsia="Times New Roman" w:cs="Times New Roman"/>
              <w:spacing w:val="-3"/>
              <w:sz w:val="20"/>
              <w:szCs w:val="20"/>
            </w:rPr>
            <w:fldChar w:fldCharType="end"/>
          </w:r>
        </w:p>
        <w:p w14:paraId="178CCE2D">
          <w:pPr>
            <w:tabs>
              <w:tab w:val="right" w:leader="dot" w:pos="9200"/>
            </w:tabs>
            <w:spacing w:before="123" w:line="220" w:lineRule="auto"/>
            <w:ind w:left="290"/>
            <w:rPr>
              <w:rFonts w:ascii="Times New Roman" w:hAnsi="Times New Roman" w:eastAsia="Times New Roman" w:cs="Times New Roman"/>
              <w:sz w:val="20"/>
              <w:szCs w:val="20"/>
            </w:rPr>
          </w:pPr>
          <w:r>
            <w:rPr>
              <w:rFonts w:ascii="宋体" w:hAnsi="宋体" w:eastAsia="宋体" w:cs="宋体"/>
              <w:spacing w:val="17"/>
              <w:sz w:val="20"/>
              <w:szCs w:val="20"/>
            </w:rPr>
            <w:t>(六)</w:t>
          </w:r>
          <w:r>
            <w:rPr>
              <w:rFonts w:ascii="宋体" w:hAnsi="宋体" w:eastAsia="宋体" w:cs="宋体"/>
              <w:spacing w:val="-44"/>
              <w:sz w:val="20"/>
              <w:szCs w:val="20"/>
            </w:rPr>
            <w:t xml:space="preserve"> </w:t>
          </w:r>
          <w:r>
            <w:rPr>
              <w:rFonts w:ascii="宋体" w:hAnsi="宋体" w:eastAsia="宋体" w:cs="宋体"/>
              <w:spacing w:val="17"/>
              <w:sz w:val="20"/>
              <w:szCs w:val="20"/>
            </w:rPr>
            <w:t>重点能源商品经销情况(205-7表)</w:t>
          </w:r>
          <w:r>
            <w:rPr>
              <w:rFonts w:ascii="宋体" w:hAnsi="宋体" w:eastAsia="宋体" w:cs="宋体"/>
              <w:sz w:val="20"/>
              <w:szCs w:val="20"/>
            </w:rPr>
            <w:tab/>
          </w:r>
          <w:r>
            <w:rPr>
              <w:rFonts w:ascii="宋体" w:hAnsi="宋体" w:eastAsia="宋体" w:cs="宋体"/>
              <w:spacing w:val="-57"/>
              <w:sz w:val="20"/>
              <w:szCs w:val="20"/>
            </w:rPr>
            <w:t xml:space="preserve"> </w:t>
          </w:r>
          <w:r>
            <w:fldChar w:fldCharType="begin"/>
          </w:r>
          <w:r>
            <w:instrText xml:space="preserve"> HYPERLINK \l "bookmark30" </w:instrText>
          </w:r>
          <w:r>
            <w:fldChar w:fldCharType="separate"/>
          </w:r>
          <w:r>
            <w:rPr>
              <w:rFonts w:ascii="Times New Roman" w:hAnsi="Times New Roman" w:eastAsia="Times New Roman" w:cs="Times New Roman"/>
              <w:spacing w:val="-3"/>
              <w:sz w:val="20"/>
              <w:szCs w:val="20"/>
            </w:rPr>
            <w:t>69</w:t>
          </w:r>
          <w:r>
            <w:rPr>
              <w:rFonts w:ascii="Times New Roman" w:hAnsi="Times New Roman" w:eastAsia="Times New Roman" w:cs="Times New Roman"/>
              <w:spacing w:val="-3"/>
              <w:sz w:val="20"/>
              <w:szCs w:val="20"/>
            </w:rPr>
            <w:fldChar w:fldCharType="end"/>
          </w:r>
        </w:p>
        <w:p w14:paraId="5CFA6184">
          <w:pPr>
            <w:tabs>
              <w:tab w:val="right" w:leader="dot" w:pos="9222"/>
            </w:tabs>
            <w:spacing w:before="130" w:line="219" w:lineRule="auto"/>
            <w:rPr>
              <w:rFonts w:ascii="Times New Roman" w:hAnsi="Times New Roman" w:eastAsia="Times New Roman" w:cs="Times New Roman"/>
              <w:sz w:val="20"/>
              <w:szCs w:val="20"/>
            </w:rPr>
          </w:pPr>
          <w:r>
            <w:rPr>
              <w:rFonts w:ascii="宋体" w:hAnsi="宋体" w:eastAsia="宋体" w:cs="宋体"/>
              <w:spacing w:val="-13"/>
              <w:sz w:val="20"/>
              <w:szCs w:val="20"/>
            </w:rPr>
            <w:t>六</w:t>
          </w:r>
          <w:r>
            <w:rPr>
              <w:rFonts w:ascii="宋体" w:hAnsi="宋体" w:eastAsia="宋体" w:cs="宋体"/>
              <w:spacing w:val="-20"/>
              <w:sz w:val="20"/>
              <w:szCs w:val="20"/>
            </w:rPr>
            <w:t xml:space="preserve"> </w:t>
          </w:r>
          <w:r>
            <w:rPr>
              <w:rFonts w:ascii="宋体" w:hAnsi="宋体" w:eastAsia="宋体" w:cs="宋体"/>
              <w:spacing w:val="-13"/>
              <w:sz w:val="20"/>
              <w:szCs w:val="20"/>
            </w:rPr>
            <w:t>、附录</w:t>
          </w:r>
          <w:r>
            <w:rPr>
              <w:rFonts w:ascii="宋体" w:hAnsi="宋体" w:eastAsia="宋体" w:cs="宋体"/>
              <w:spacing w:val="-79"/>
              <w:sz w:val="20"/>
              <w:szCs w:val="20"/>
            </w:rPr>
            <w:t xml:space="preserve"> </w:t>
          </w:r>
          <w:r>
            <w:rPr>
              <w:rFonts w:ascii="宋体" w:hAnsi="宋体" w:eastAsia="宋体" w:cs="宋体"/>
              <w:sz w:val="20"/>
              <w:szCs w:val="20"/>
            </w:rPr>
            <w:tab/>
          </w:r>
          <w:r>
            <w:fldChar w:fldCharType="begin"/>
          </w:r>
          <w:r>
            <w:instrText xml:space="preserve"> HYPERLINK \l "bookmark31" </w:instrText>
          </w:r>
          <w:r>
            <w:fldChar w:fldCharType="separate"/>
          </w:r>
          <w:r>
            <w:rPr>
              <w:rFonts w:ascii="Times New Roman" w:hAnsi="Times New Roman" w:eastAsia="Times New Roman" w:cs="Times New Roman"/>
              <w:spacing w:val="-2"/>
              <w:sz w:val="20"/>
              <w:szCs w:val="20"/>
            </w:rPr>
            <w:t>71</w:t>
          </w:r>
          <w:r>
            <w:rPr>
              <w:rFonts w:ascii="Times New Roman" w:hAnsi="Times New Roman" w:eastAsia="Times New Roman" w:cs="Times New Roman"/>
              <w:spacing w:val="-2"/>
              <w:sz w:val="20"/>
              <w:szCs w:val="20"/>
            </w:rPr>
            <w:fldChar w:fldCharType="end"/>
          </w:r>
        </w:p>
        <w:p w14:paraId="129348CD">
          <w:pPr>
            <w:tabs>
              <w:tab w:val="right" w:leader="dot" w:pos="9232"/>
            </w:tabs>
            <w:spacing w:before="114" w:line="219" w:lineRule="auto"/>
            <w:ind w:left="290"/>
            <w:rPr>
              <w:rFonts w:ascii="Times New Roman" w:hAnsi="Times New Roman" w:eastAsia="Times New Roman" w:cs="Times New Roman"/>
              <w:sz w:val="20"/>
              <w:szCs w:val="20"/>
            </w:rPr>
          </w:pPr>
          <w:r>
            <w:rPr>
              <w:rFonts w:ascii="宋体" w:hAnsi="宋体" w:eastAsia="宋体" w:cs="宋体"/>
              <w:spacing w:val="5"/>
              <w:sz w:val="20"/>
              <w:szCs w:val="20"/>
            </w:rPr>
            <w:t>(</w:t>
          </w:r>
          <w:r>
            <w:rPr>
              <w:rFonts w:ascii="宋体" w:hAnsi="宋体" w:eastAsia="宋体" w:cs="宋体"/>
              <w:spacing w:val="-41"/>
              <w:sz w:val="20"/>
              <w:szCs w:val="20"/>
            </w:rPr>
            <w:t xml:space="preserve"> </w:t>
          </w:r>
          <w:r>
            <w:rPr>
              <w:rFonts w:ascii="宋体" w:hAnsi="宋体" w:eastAsia="宋体" w:cs="宋体"/>
              <w:spacing w:val="5"/>
              <w:sz w:val="20"/>
              <w:szCs w:val="20"/>
            </w:rPr>
            <w:t>一</w:t>
          </w:r>
          <w:r>
            <w:rPr>
              <w:rFonts w:ascii="宋体" w:hAnsi="宋体" w:eastAsia="宋体" w:cs="宋体"/>
              <w:spacing w:val="-53"/>
              <w:sz w:val="20"/>
              <w:szCs w:val="20"/>
            </w:rPr>
            <w:t xml:space="preserve"> </w:t>
          </w:r>
          <w:r>
            <w:rPr>
              <w:rFonts w:ascii="宋体" w:hAnsi="宋体" w:eastAsia="宋体" w:cs="宋体"/>
              <w:spacing w:val="5"/>
              <w:sz w:val="20"/>
              <w:szCs w:val="20"/>
            </w:rPr>
            <w:t>)</w:t>
          </w:r>
          <w:r>
            <w:rPr>
              <w:rFonts w:ascii="宋体" w:hAnsi="宋体" w:eastAsia="宋体" w:cs="宋体"/>
              <w:spacing w:val="-44"/>
              <w:sz w:val="20"/>
              <w:szCs w:val="20"/>
            </w:rPr>
            <w:t xml:space="preserve"> </w:t>
          </w:r>
          <w:r>
            <w:rPr>
              <w:rFonts w:ascii="宋体" w:hAnsi="宋体" w:eastAsia="宋体" w:cs="宋体"/>
              <w:spacing w:val="5"/>
              <w:sz w:val="20"/>
              <w:szCs w:val="20"/>
            </w:rPr>
            <w:t>各种能源折标准煤参考系数</w:t>
          </w:r>
          <w:r>
            <w:rPr>
              <w:rFonts w:ascii="宋体" w:hAnsi="宋体" w:eastAsia="宋体" w:cs="宋体"/>
              <w:spacing w:val="-78"/>
              <w:sz w:val="20"/>
              <w:szCs w:val="20"/>
            </w:rPr>
            <w:t xml:space="preserve"> </w:t>
          </w:r>
          <w:r>
            <w:rPr>
              <w:rFonts w:ascii="宋体" w:hAnsi="宋体" w:eastAsia="宋体" w:cs="宋体"/>
              <w:sz w:val="20"/>
              <w:szCs w:val="20"/>
            </w:rPr>
            <w:tab/>
          </w:r>
          <w:r>
            <w:fldChar w:fldCharType="begin"/>
          </w:r>
          <w:r>
            <w:instrText xml:space="preserve"> HYPERLINK \l "bookmark32" </w:instrText>
          </w:r>
          <w:r>
            <w:fldChar w:fldCharType="separate"/>
          </w:r>
          <w:r>
            <w:rPr>
              <w:rFonts w:ascii="Times New Roman" w:hAnsi="Times New Roman" w:eastAsia="Times New Roman" w:cs="Times New Roman"/>
              <w:sz w:val="20"/>
              <w:szCs w:val="20"/>
            </w:rPr>
            <w:t>71</w:t>
          </w:r>
          <w:r>
            <w:rPr>
              <w:rFonts w:ascii="Times New Roman" w:hAnsi="Times New Roman" w:eastAsia="Times New Roman" w:cs="Times New Roman"/>
              <w:sz w:val="20"/>
              <w:szCs w:val="20"/>
            </w:rPr>
            <w:fldChar w:fldCharType="end"/>
          </w:r>
        </w:p>
        <w:p w14:paraId="20234695">
          <w:pPr>
            <w:tabs>
              <w:tab w:val="right" w:leader="dot" w:pos="9202"/>
            </w:tabs>
            <w:spacing w:before="133" w:line="220" w:lineRule="auto"/>
            <w:ind w:left="290"/>
            <w:rPr>
              <w:rFonts w:ascii="Times New Roman" w:hAnsi="Times New Roman" w:eastAsia="Times New Roman" w:cs="Times New Roman"/>
              <w:sz w:val="20"/>
              <w:szCs w:val="20"/>
            </w:rPr>
          </w:pPr>
          <w:r>
            <w:rPr>
              <w:rFonts w:ascii="宋体" w:hAnsi="宋体" w:eastAsia="宋体" w:cs="宋体"/>
              <w:spacing w:val="19"/>
              <w:sz w:val="20"/>
              <w:szCs w:val="20"/>
            </w:rPr>
            <w:t>(二)</w:t>
          </w:r>
          <w:r>
            <w:rPr>
              <w:rFonts w:ascii="宋体" w:hAnsi="宋体" w:eastAsia="宋体" w:cs="宋体"/>
              <w:spacing w:val="-41"/>
              <w:sz w:val="20"/>
              <w:szCs w:val="20"/>
            </w:rPr>
            <w:t xml:space="preserve"> </w:t>
          </w:r>
          <w:r>
            <w:rPr>
              <w:rFonts w:ascii="宋体" w:hAnsi="宋体" w:eastAsia="宋体" w:cs="宋体"/>
              <w:spacing w:val="19"/>
              <w:sz w:val="20"/>
              <w:szCs w:val="20"/>
            </w:rPr>
            <w:t>热焓表(饱和蒸汽或过热蒸汽)</w:t>
          </w:r>
          <w:r>
            <w:rPr>
              <w:rFonts w:ascii="宋体" w:hAnsi="宋体" w:eastAsia="宋体" w:cs="宋体"/>
              <w:sz w:val="20"/>
              <w:szCs w:val="20"/>
            </w:rPr>
            <w:tab/>
          </w:r>
          <w:r>
            <w:fldChar w:fldCharType="begin"/>
          </w:r>
          <w:r>
            <w:instrText xml:space="preserve"> HYPERLINK \l "bookmark33" </w:instrText>
          </w:r>
          <w:r>
            <w:fldChar w:fldCharType="separate"/>
          </w:r>
          <w:r>
            <w:rPr>
              <w:rFonts w:ascii="Times New Roman" w:hAnsi="Times New Roman" w:eastAsia="Times New Roman" w:cs="Times New Roman"/>
              <w:sz w:val="20"/>
              <w:szCs w:val="20"/>
            </w:rPr>
            <w:t>73</w:t>
          </w:r>
          <w:r>
            <w:rPr>
              <w:rFonts w:ascii="Times New Roman" w:hAnsi="Times New Roman" w:eastAsia="Times New Roman" w:cs="Times New Roman"/>
              <w:sz w:val="20"/>
              <w:szCs w:val="20"/>
            </w:rPr>
            <w:fldChar w:fldCharType="end"/>
          </w:r>
        </w:p>
        <w:p w14:paraId="0E749CAA">
          <w:pPr>
            <w:tabs>
              <w:tab w:val="right" w:leader="dot" w:pos="9202"/>
            </w:tabs>
            <w:spacing w:before="102" w:line="184" w:lineRule="auto"/>
            <w:ind w:left="290"/>
            <w:rPr>
              <w:rFonts w:ascii="Times New Roman" w:hAnsi="Times New Roman" w:eastAsia="Times New Roman" w:cs="Times New Roman"/>
              <w:sz w:val="20"/>
              <w:szCs w:val="20"/>
            </w:rPr>
          </w:pPr>
          <w:r>
            <w:rPr>
              <w:rFonts w:ascii="宋体" w:hAnsi="宋体" w:eastAsia="宋体" w:cs="宋体"/>
              <w:spacing w:val="6"/>
              <w:sz w:val="20"/>
              <w:szCs w:val="20"/>
            </w:rPr>
            <w:t>(</w:t>
          </w:r>
          <w:r>
            <w:rPr>
              <w:rFonts w:ascii="宋体" w:hAnsi="宋体" w:eastAsia="宋体" w:cs="宋体"/>
              <w:spacing w:val="-36"/>
              <w:sz w:val="20"/>
              <w:szCs w:val="20"/>
            </w:rPr>
            <w:t xml:space="preserve"> </w:t>
          </w:r>
          <w:r>
            <w:rPr>
              <w:rFonts w:ascii="宋体" w:hAnsi="宋体" w:eastAsia="宋体" w:cs="宋体"/>
              <w:spacing w:val="6"/>
              <w:sz w:val="20"/>
              <w:szCs w:val="20"/>
            </w:rPr>
            <w:t>三</w:t>
          </w:r>
          <w:r>
            <w:rPr>
              <w:rFonts w:ascii="宋体" w:hAnsi="宋体" w:eastAsia="宋体" w:cs="宋体"/>
              <w:spacing w:val="-43"/>
              <w:sz w:val="20"/>
              <w:szCs w:val="20"/>
            </w:rPr>
            <w:t xml:space="preserve"> </w:t>
          </w:r>
          <w:r>
            <w:rPr>
              <w:rFonts w:ascii="宋体" w:hAnsi="宋体" w:eastAsia="宋体" w:cs="宋体"/>
              <w:spacing w:val="6"/>
              <w:sz w:val="20"/>
              <w:szCs w:val="20"/>
            </w:rPr>
            <w:t>)</w:t>
          </w:r>
          <w:r>
            <w:rPr>
              <w:rFonts w:ascii="宋体" w:hAnsi="宋体" w:eastAsia="宋体" w:cs="宋体"/>
              <w:spacing w:val="-54"/>
              <w:sz w:val="20"/>
              <w:szCs w:val="20"/>
            </w:rPr>
            <w:t xml:space="preserve"> </w:t>
          </w:r>
          <w:r>
            <w:rPr>
              <w:rFonts w:ascii="宋体" w:hAnsi="宋体" w:eastAsia="宋体" w:cs="宋体"/>
              <w:spacing w:val="6"/>
              <w:sz w:val="20"/>
              <w:szCs w:val="20"/>
            </w:rPr>
            <w:t>季度地区能源消费总量核算方案</w:t>
          </w:r>
          <w:r>
            <w:rPr>
              <w:rFonts w:ascii="宋体" w:hAnsi="宋体" w:eastAsia="宋体" w:cs="宋体"/>
              <w:spacing w:val="-81"/>
              <w:sz w:val="20"/>
              <w:szCs w:val="20"/>
            </w:rPr>
            <w:t xml:space="preserve"> </w:t>
          </w:r>
          <w:r>
            <w:rPr>
              <w:rFonts w:ascii="宋体" w:hAnsi="宋体" w:eastAsia="宋体" w:cs="宋体"/>
              <w:sz w:val="20"/>
              <w:szCs w:val="20"/>
            </w:rPr>
            <w:tab/>
          </w:r>
          <w:r>
            <w:rPr>
              <w:rFonts w:ascii="宋体" w:hAnsi="宋体" w:eastAsia="宋体" w:cs="宋体"/>
              <w:spacing w:val="-47"/>
              <w:sz w:val="20"/>
              <w:szCs w:val="20"/>
            </w:rPr>
            <w:t xml:space="preserve"> </w:t>
          </w:r>
          <w:r>
            <w:fldChar w:fldCharType="begin"/>
          </w:r>
          <w:r>
            <w:instrText xml:space="preserve"> HYPERLINK \l "bookmark34" </w:instrText>
          </w:r>
          <w:r>
            <w:fldChar w:fldCharType="separate"/>
          </w:r>
          <w:r>
            <w:rPr>
              <w:rFonts w:ascii="Times New Roman" w:hAnsi="Times New Roman" w:eastAsia="Times New Roman" w:cs="Times New Roman"/>
              <w:spacing w:val="-2"/>
              <w:sz w:val="20"/>
              <w:szCs w:val="20"/>
            </w:rPr>
            <w:t>77</w:t>
          </w:r>
          <w:r>
            <w:rPr>
              <w:rFonts w:ascii="Times New Roman" w:hAnsi="Times New Roman" w:eastAsia="Times New Roman" w:cs="Times New Roman"/>
              <w:spacing w:val="-2"/>
              <w:sz w:val="20"/>
              <w:szCs w:val="20"/>
            </w:rPr>
            <w:fldChar w:fldCharType="end"/>
          </w:r>
        </w:p>
      </w:sdtContent>
    </w:sdt>
    <w:p w14:paraId="74D64F67">
      <w:pPr>
        <w:spacing w:line="184" w:lineRule="auto"/>
        <w:rPr>
          <w:rFonts w:ascii="Times New Roman" w:hAnsi="Times New Roman" w:eastAsia="Times New Roman" w:cs="Times New Roman"/>
          <w:sz w:val="20"/>
          <w:szCs w:val="20"/>
        </w:rPr>
        <w:sectPr>
          <w:type w:val="continuous"/>
          <w:pgSz w:w="11910" w:h="16840"/>
          <w:pgMar w:top="808" w:right="1411" w:bottom="0" w:left="1249" w:header="0" w:footer="0" w:gutter="0"/>
          <w:cols w:equalWidth="0" w:num="1">
            <w:col w:w="9249"/>
          </w:cols>
        </w:sectPr>
      </w:pPr>
    </w:p>
    <w:p w14:paraId="560E6D80">
      <w:pPr>
        <w:pStyle w:val="2"/>
        <w:spacing w:line="249" w:lineRule="auto"/>
      </w:pPr>
    </w:p>
    <w:p w14:paraId="6EEDC92D">
      <w:pPr>
        <w:pStyle w:val="2"/>
        <w:spacing w:line="249" w:lineRule="auto"/>
      </w:pPr>
    </w:p>
    <w:p w14:paraId="45B4286A">
      <w:pPr>
        <w:pStyle w:val="2"/>
        <w:spacing w:line="249" w:lineRule="auto"/>
      </w:pPr>
    </w:p>
    <w:p w14:paraId="684CA978">
      <w:pPr>
        <w:spacing w:before="104" w:line="221" w:lineRule="auto"/>
        <w:ind w:left="3608"/>
        <w:outlineLvl w:val="0"/>
        <w:rPr>
          <w:rFonts w:ascii="黑体" w:hAnsi="黑体" w:eastAsia="黑体" w:cs="黑体"/>
          <w:sz w:val="32"/>
          <w:szCs w:val="32"/>
        </w:rPr>
      </w:pPr>
      <w:bookmarkStart w:id="0" w:name="bookmark2"/>
      <w:bookmarkEnd w:id="0"/>
      <w:r>
        <w:rPr>
          <w:rFonts w:ascii="黑体" w:hAnsi="黑体" w:eastAsia="黑体" w:cs="黑体"/>
          <w:b/>
          <w:bCs/>
          <w:spacing w:val="-17"/>
          <w:sz w:val="32"/>
          <w:szCs w:val="32"/>
        </w:rPr>
        <w:t>一、总</w:t>
      </w:r>
      <w:r>
        <w:rPr>
          <w:rFonts w:ascii="黑体" w:hAnsi="黑体" w:eastAsia="黑体" w:cs="黑体"/>
          <w:spacing w:val="9"/>
          <w:sz w:val="32"/>
          <w:szCs w:val="32"/>
        </w:rPr>
        <w:t xml:space="preserve">  </w:t>
      </w:r>
      <w:r>
        <w:rPr>
          <w:rFonts w:ascii="黑体" w:hAnsi="黑体" w:eastAsia="黑体" w:cs="黑体"/>
          <w:b/>
          <w:bCs/>
          <w:spacing w:val="-17"/>
          <w:sz w:val="32"/>
          <w:szCs w:val="32"/>
        </w:rPr>
        <w:t>说</w:t>
      </w:r>
      <w:r>
        <w:rPr>
          <w:rFonts w:ascii="黑体" w:hAnsi="黑体" w:eastAsia="黑体" w:cs="黑体"/>
          <w:spacing w:val="9"/>
          <w:sz w:val="32"/>
          <w:szCs w:val="32"/>
        </w:rPr>
        <w:t xml:space="preserve">  </w:t>
      </w:r>
      <w:r>
        <w:rPr>
          <w:rFonts w:ascii="黑体" w:hAnsi="黑体" w:eastAsia="黑体" w:cs="黑体"/>
          <w:b/>
          <w:bCs/>
          <w:spacing w:val="-17"/>
          <w:sz w:val="32"/>
          <w:szCs w:val="32"/>
        </w:rPr>
        <w:t>明</w:t>
      </w:r>
    </w:p>
    <w:p w14:paraId="126226CE">
      <w:pPr>
        <w:pStyle w:val="2"/>
        <w:spacing w:line="253" w:lineRule="auto"/>
      </w:pPr>
    </w:p>
    <w:p w14:paraId="4103907D">
      <w:pPr>
        <w:pStyle w:val="2"/>
        <w:spacing w:line="254" w:lineRule="auto"/>
      </w:pPr>
    </w:p>
    <w:p w14:paraId="7C3A63ED">
      <w:pPr>
        <w:spacing w:before="68" w:line="408" w:lineRule="exact"/>
        <w:ind w:left="524"/>
        <w:rPr>
          <w:rFonts w:ascii="宋体" w:hAnsi="宋体" w:eastAsia="宋体" w:cs="宋体"/>
          <w:sz w:val="21"/>
          <w:szCs w:val="21"/>
        </w:rPr>
      </w:pPr>
      <w:r>
        <w:rPr>
          <w:rFonts w:ascii="宋体" w:hAnsi="宋体" w:eastAsia="宋体" w:cs="宋体"/>
          <w:spacing w:val="1"/>
          <w:position w:val="15"/>
          <w:sz w:val="21"/>
          <w:szCs w:val="21"/>
        </w:rPr>
        <w:t>(一)为了解全省能源供应、需求的基本情况，为各级政府制定政策、进行经济管理与调控提供依</w:t>
      </w:r>
    </w:p>
    <w:p w14:paraId="51E593C7">
      <w:pPr>
        <w:spacing w:line="216" w:lineRule="auto"/>
        <w:ind w:left="4"/>
        <w:rPr>
          <w:rFonts w:ascii="宋体" w:hAnsi="宋体" w:eastAsia="宋体" w:cs="宋体"/>
          <w:sz w:val="21"/>
          <w:szCs w:val="21"/>
        </w:rPr>
      </w:pPr>
      <w:r>
        <w:rPr>
          <w:rFonts w:ascii="宋体" w:hAnsi="宋体" w:eastAsia="宋体" w:cs="宋体"/>
          <w:spacing w:val="2"/>
          <w:sz w:val="21"/>
          <w:szCs w:val="21"/>
        </w:rPr>
        <w:t>据，依照《中华人民共和国统计法》,制定本制度。</w:t>
      </w:r>
    </w:p>
    <w:p w14:paraId="63B8B0F0">
      <w:pPr>
        <w:spacing w:before="145" w:line="352" w:lineRule="auto"/>
        <w:ind w:left="4" w:right="215" w:firstLine="519"/>
        <w:rPr>
          <w:rFonts w:ascii="宋体" w:hAnsi="宋体" w:eastAsia="宋体" w:cs="宋体"/>
          <w:sz w:val="21"/>
          <w:szCs w:val="21"/>
        </w:rPr>
      </w:pPr>
      <w:r>
        <w:rPr>
          <w:rFonts w:ascii="宋体" w:hAnsi="宋体" w:eastAsia="宋体" w:cs="宋体"/>
          <w:spacing w:val="1"/>
          <w:sz w:val="21"/>
          <w:szCs w:val="21"/>
        </w:rPr>
        <w:t>(二)本制度是国家统计统计报表的一部分，是省统计局根据国家统计局的统一规定和要求对各设</w:t>
      </w:r>
      <w:r>
        <w:rPr>
          <w:rFonts w:ascii="宋体" w:hAnsi="宋体" w:eastAsia="宋体" w:cs="宋体"/>
          <w:spacing w:val="5"/>
          <w:sz w:val="21"/>
          <w:szCs w:val="21"/>
        </w:rPr>
        <w:t xml:space="preserve"> </w:t>
      </w:r>
      <w:r>
        <w:rPr>
          <w:rFonts w:ascii="宋体" w:hAnsi="宋体" w:eastAsia="宋体" w:cs="宋体"/>
          <w:spacing w:val="-1"/>
          <w:sz w:val="21"/>
          <w:szCs w:val="21"/>
        </w:rPr>
        <w:t>区市、平潭综合实验区统计局和国网福建省电力有限公司的综合</w:t>
      </w:r>
      <w:r>
        <w:rPr>
          <w:rFonts w:ascii="宋体" w:hAnsi="宋体" w:eastAsia="宋体" w:cs="宋体"/>
          <w:spacing w:val="-2"/>
          <w:sz w:val="21"/>
          <w:szCs w:val="21"/>
        </w:rPr>
        <w:t>要求。各设区市、平潭综合实验区统计</w:t>
      </w:r>
      <w:r>
        <w:rPr>
          <w:rFonts w:ascii="宋体" w:hAnsi="宋体" w:eastAsia="宋体" w:cs="宋体"/>
          <w:sz w:val="21"/>
          <w:szCs w:val="21"/>
        </w:rPr>
        <w:t xml:space="preserve"> </w:t>
      </w:r>
      <w:r>
        <w:rPr>
          <w:rFonts w:ascii="宋体" w:hAnsi="宋体" w:eastAsia="宋体" w:cs="宋体"/>
          <w:spacing w:val="-1"/>
          <w:sz w:val="21"/>
          <w:szCs w:val="21"/>
        </w:rPr>
        <w:t>局和国网福建省电力有限公司应按照统一规定的统计范围、计算方法</w:t>
      </w:r>
      <w:r>
        <w:rPr>
          <w:rFonts w:ascii="宋体" w:hAnsi="宋体" w:eastAsia="宋体" w:cs="宋体"/>
          <w:spacing w:val="-2"/>
          <w:sz w:val="21"/>
          <w:szCs w:val="21"/>
        </w:rPr>
        <w:t>、统计口径和填报要求，认真组织</w:t>
      </w:r>
    </w:p>
    <w:p w14:paraId="69659025">
      <w:pPr>
        <w:spacing w:line="219" w:lineRule="auto"/>
        <w:ind w:left="4"/>
        <w:rPr>
          <w:rFonts w:ascii="宋体" w:hAnsi="宋体" w:eastAsia="宋体" w:cs="宋体"/>
          <w:sz w:val="21"/>
          <w:szCs w:val="21"/>
        </w:rPr>
      </w:pPr>
      <w:r>
        <w:rPr>
          <w:rFonts w:ascii="宋体" w:hAnsi="宋体" w:eastAsia="宋体" w:cs="宋体"/>
          <w:spacing w:val="-5"/>
          <w:sz w:val="21"/>
          <w:szCs w:val="21"/>
        </w:rPr>
        <w:t>实施，按时报送。</w:t>
      </w:r>
    </w:p>
    <w:p w14:paraId="6000FAD5">
      <w:pPr>
        <w:spacing w:before="150" w:line="411" w:lineRule="exact"/>
        <w:ind w:left="524"/>
        <w:rPr>
          <w:rFonts w:ascii="宋体" w:hAnsi="宋体" w:eastAsia="宋体" w:cs="宋体"/>
          <w:sz w:val="21"/>
          <w:szCs w:val="21"/>
        </w:rPr>
      </w:pPr>
      <w:r>
        <w:rPr>
          <w:rFonts w:ascii="宋体" w:hAnsi="宋体" w:eastAsia="宋体" w:cs="宋体"/>
          <w:spacing w:val="2"/>
          <w:position w:val="15"/>
          <w:sz w:val="21"/>
          <w:szCs w:val="21"/>
        </w:rPr>
        <w:t>(三)本制度主要由基层定期报表、综合年报表、综合定期报表构成</w:t>
      </w:r>
      <w:r>
        <w:rPr>
          <w:rFonts w:ascii="宋体" w:hAnsi="宋体" w:eastAsia="宋体" w:cs="宋体"/>
          <w:spacing w:val="1"/>
          <w:position w:val="15"/>
          <w:sz w:val="21"/>
          <w:szCs w:val="21"/>
        </w:rPr>
        <w:t>，这些报表反映能源的生产、</w:t>
      </w:r>
    </w:p>
    <w:p w14:paraId="4CEB36CB">
      <w:pPr>
        <w:spacing w:line="219" w:lineRule="auto"/>
        <w:ind w:left="4"/>
        <w:rPr>
          <w:rFonts w:ascii="宋体" w:hAnsi="宋体" w:eastAsia="宋体" w:cs="宋体"/>
          <w:sz w:val="21"/>
          <w:szCs w:val="21"/>
        </w:rPr>
      </w:pPr>
      <w:r>
        <w:rPr>
          <w:rFonts w:ascii="宋体" w:hAnsi="宋体" w:eastAsia="宋体" w:cs="宋体"/>
          <w:spacing w:val="-2"/>
          <w:sz w:val="21"/>
          <w:szCs w:val="21"/>
        </w:rPr>
        <w:t>销售、进出口、库存、购进、消费和能耗强度等情况。</w:t>
      </w:r>
    </w:p>
    <w:p w14:paraId="7CF01FDB">
      <w:pPr>
        <w:tabs>
          <w:tab w:val="left" w:pos="123"/>
        </w:tabs>
        <w:spacing w:before="161" w:line="343" w:lineRule="auto"/>
        <w:ind w:left="4" w:firstLine="519"/>
        <w:rPr>
          <w:rFonts w:ascii="宋体" w:hAnsi="宋体" w:eastAsia="宋体" w:cs="宋体"/>
          <w:sz w:val="21"/>
          <w:szCs w:val="21"/>
        </w:rPr>
      </w:pPr>
      <w:r>
        <w:rPr>
          <w:rFonts w:ascii="宋体" w:hAnsi="宋体" w:eastAsia="宋体" w:cs="宋体"/>
          <w:spacing w:val="13"/>
          <w:sz w:val="21"/>
          <w:szCs w:val="21"/>
        </w:rPr>
        <w:t>(四)资料来源及调查方法。“能源平衡表(实物量)”(P303-</w:t>
      </w:r>
      <w:r>
        <w:rPr>
          <w:rFonts w:ascii="宋体" w:hAnsi="宋体" w:eastAsia="宋体" w:cs="宋体"/>
          <w:spacing w:val="12"/>
          <w:sz w:val="21"/>
          <w:szCs w:val="21"/>
        </w:rPr>
        <w:t>1</w:t>
      </w:r>
      <w:r>
        <w:rPr>
          <w:rFonts w:ascii="宋体" w:hAnsi="宋体" w:eastAsia="宋体" w:cs="宋体"/>
          <w:spacing w:val="-15"/>
          <w:sz w:val="21"/>
          <w:szCs w:val="21"/>
        </w:rPr>
        <w:t xml:space="preserve"> </w:t>
      </w:r>
      <w:r>
        <w:rPr>
          <w:rFonts w:ascii="宋体" w:hAnsi="宋体" w:eastAsia="宋体" w:cs="宋体"/>
          <w:spacing w:val="12"/>
          <w:sz w:val="21"/>
          <w:szCs w:val="21"/>
        </w:rPr>
        <w:t>表)、“能源平衡表(标准量)”</w:t>
      </w:r>
      <w:r>
        <w:rPr>
          <w:rFonts w:ascii="宋体" w:hAnsi="宋体" w:eastAsia="宋体" w:cs="宋体"/>
          <w:sz w:val="21"/>
          <w:szCs w:val="21"/>
        </w:rPr>
        <w:t xml:space="preserve"> </w:t>
      </w:r>
      <w:r>
        <w:rPr>
          <w:rFonts w:ascii="宋体" w:hAnsi="宋体" w:eastAsia="宋体" w:cs="宋体"/>
          <w:sz w:val="21"/>
          <w:szCs w:val="21"/>
        </w:rPr>
        <w:tab/>
      </w:r>
      <w:r>
        <w:rPr>
          <w:rFonts w:ascii="宋体" w:hAnsi="宋体" w:eastAsia="宋体" w:cs="宋体"/>
          <w:spacing w:val="-3"/>
          <w:sz w:val="21"/>
          <w:szCs w:val="21"/>
        </w:rPr>
        <w:t>(P303-4</w:t>
      </w:r>
      <w:r>
        <w:rPr>
          <w:rFonts w:ascii="宋体" w:hAnsi="宋体" w:eastAsia="宋体" w:cs="宋体"/>
          <w:spacing w:val="-45"/>
          <w:sz w:val="21"/>
          <w:szCs w:val="21"/>
        </w:rPr>
        <w:t xml:space="preserve"> </w:t>
      </w:r>
      <w:r>
        <w:rPr>
          <w:rFonts w:ascii="宋体" w:hAnsi="宋体" w:eastAsia="宋体" w:cs="宋体"/>
          <w:spacing w:val="-3"/>
          <w:sz w:val="21"/>
          <w:szCs w:val="21"/>
        </w:rPr>
        <w:t>表)由各设区市和平潭综合实验区统计局编制上报；</w:t>
      </w:r>
      <w:r>
        <w:rPr>
          <w:rFonts w:ascii="宋体" w:hAnsi="宋体" w:eastAsia="宋体" w:cs="宋体"/>
          <w:spacing w:val="74"/>
          <w:sz w:val="21"/>
          <w:szCs w:val="21"/>
        </w:rPr>
        <w:t xml:space="preserve"> </w:t>
      </w:r>
      <w:r>
        <w:rPr>
          <w:rFonts w:ascii="宋体" w:hAnsi="宋体" w:eastAsia="宋体" w:cs="宋体"/>
          <w:spacing w:val="-3"/>
          <w:sz w:val="21"/>
          <w:szCs w:val="21"/>
        </w:rPr>
        <w:t>“地</w:t>
      </w:r>
      <w:r>
        <w:rPr>
          <w:rFonts w:ascii="宋体" w:hAnsi="宋体" w:eastAsia="宋体" w:cs="宋体"/>
          <w:spacing w:val="-4"/>
          <w:sz w:val="21"/>
          <w:szCs w:val="21"/>
        </w:rPr>
        <w:t>区能源消费与单位</w:t>
      </w:r>
      <w:r>
        <w:rPr>
          <w:rFonts w:ascii="Times New Roman" w:hAnsi="Times New Roman" w:eastAsia="Times New Roman" w:cs="Times New Roman"/>
          <w:spacing w:val="-4"/>
          <w:sz w:val="21"/>
          <w:szCs w:val="21"/>
        </w:rPr>
        <w:t>GDP</w:t>
      </w:r>
      <w:r>
        <w:rPr>
          <w:rFonts w:ascii="宋体" w:hAnsi="宋体" w:eastAsia="宋体" w:cs="宋体"/>
          <w:spacing w:val="-4"/>
          <w:sz w:val="21"/>
          <w:szCs w:val="21"/>
        </w:rPr>
        <w:t xml:space="preserve">能耗”(P406   </w:t>
      </w:r>
      <w:r>
        <w:rPr>
          <w:rFonts w:ascii="宋体" w:hAnsi="宋体" w:eastAsia="宋体" w:cs="宋体"/>
          <w:spacing w:val="-1"/>
          <w:sz w:val="21"/>
          <w:szCs w:val="21"/>
        </w:rPr>
        <w:t>表)根据相关指标计算和填报；</w:t>
      </w:r>
      <w:r>
        <w:rPr>
          <w:rFonts w:ascii="宋体" w:hAnsi="宋体" w:eastAsia="宋体" w:cs="宋体"/>
          <w:spacing w:val="92"/>
          <w:sz w:val="21"/>
          <w:szCs w:val="21"/>
        </w:rPr>
        <w:t xml:space="preserve"> </w:t>
      </w:r>
      <w:r>
        <w:rPr>
          <w:rFonts w:ascii="宋体" w:hAnsi="宋体" w:eastAsia="宋体" w:cs="宋体"/>
          <w:spacing w:val="-1"/>
          <w:sz w:val="21"/>
          <w:szCs w:val="21"/>
        </w:rPr>
        <w:t>“全社会用电量情况”(P407 表)由国网福建省电力有限公司进行调查</w:t>
      </w:r>
      <w:r>
        <w:rPr>
          <w:rFonts w:ascii="宋体" w:hAnsi="宋体" w:eastAsia="宋体" w:cs="宋体"/>
          <w:sz w:val="21"/>
          <w:szCs w:val="21"/>
        </w:rPr>
        <w:t xml:space="preserve">   </w:t>
      </w:r>
      <w:r>
        <w:rPr>
          <w:rFonts w:ascii="宋体" w:hAnsi="宋体" w:eastAsia="宋体" w:cs="宋体"/>
          <w:spacing w:val="-1"/>
          <w:sz w:val="21"/>
          <w:szCs w:val="21"/>
        </w:rPr>
        <w:t>填报；其他年、定报报表由各设区市、平潭综合实验区统计局负责</w:t>
      </w:r>
      <w:r>
        <w:rPr>
          <w:rFonts w:ascii="宋体" w:hAnsi="宋体" w:eastAsia="宋体" w:cs="宋体"/>
          <w:spacing w:val="-2"/>
          <w:sz w:val="21"/>
          <w:szCs w:val="21"/>
        </w:rPr>
        <w:t>组织实施，按规定的范围对统计对象</w:t>
      </w:r>
    </w:p>
    <w:p w14:paraId="6DDCE3EC">
      <w:pPr>
        <w:spacing w:line="220" w:lineRule="auto"/>
        <w:ind w:left="4"/>
        <w:rPr>
          <w:rFonts w:ascii="宋体" w:hAnsi="宋体" w:eastAsia="宋体" w:cs="宋体"/>
          <w:sz w:val="21"/>
          <w:szCs w:val="21"/>
        </w:rPr>
      </w:pPr>
      <w:r>
        <w:rPr>
          <w:rFonts w:ascii="宋体" w:hAnsi="宋体" w:eastAsia="宋体" w:cs="宋体"/>
          <w:spacing w:val="-6"/>
          <w:sz w:val="21"/>
          <w:szCs w:val="21"/>
        </w:rPr>
        <w:t>进行调查。</w:t>
      </w:r>
    </w:p>
    <w:p w14:paraId="17E921AC">
      <w:pPr>
        <w:spacing w:before="179" w:line="219" w:lineRule="auto"/>
        <w:ind w:left="524"/>
        <w:rPr>
          <w:rFonts w:ascii="宋体" w:hAnsi="宋体" w:eastAsia="宋体" w:cs="宋体"/>
          <w:sz w:val="21"/>
          <w:szCs w:val="21"/>
        </w:rPr>
      </w:pPr>
      <w:r>
        <w:rPr>
          <w:rFonts w:ascii="宋体" w:hAnsi="宋体" w:eastAsia="宋体" w:cs="宋体"/>
          <w:spacing w:val="8"/>
          <w:sz w:val="21"/>
          <w:szCs w:val="21"/>
        </w:rPr>
        <w:t>(五)汇总上报要求</w:t>
      </w:r>
    </w:p>
    <w:p w14:paraId="70D82134">
      <w:pPr>
        <w:spacing w:before="138" w:line="352" w:lineRule="auto"/>
        <w:ind w:left="4" w:right="212" w:firstLine="420"/>
        <w:rPr>
          <w:rFonts w:ascii="宋体" w:hAnsi="宋体" w:eastAsia="宋体" w:cs="宋体"/>
          <w:sz w:val="21"/>
          <w:szCs w:val="21"/>
        </w:rPr>
      </w:pPr>
      <w:r>
        <w:rPr>
          <w:rFonts w:ascii="宋体" w:hAnsi="宋体" w:eastAsia="宋体" w:cs="宋体"/>
          <w:spacing w:val="-3"/>
          <w:sz w:val="21"/>
          <w:szCs w:val="21"/>
        </w:rPr>
        <w:t>1. “能源购进、消费与库存”</w:t>
      </w:r>
      <w:r>
        <w:rPr>
          <w:rFonts w:ascii="宋体" w:hAnsi="宋体" w:eastAsia="宋体" w:cs="宋体"/>
          <w:spacing w:val="-27"/>
          <w:sz w:val="21"/>
          <w:szCs w:val="21"/>
        </w:rPr>
        <w:t xml:space="preserve"> </w:t>
      </w:r>
      <w:r>
        <w:rPr>
          <w:rFonts w:ascii="宋体" w:hAnsi="宋体" w:eastAsia="宋体" w:cs="宋体"/>
          <w:spacing w:val="-3"/>
          <w:sz w:val="21"/>
          <w:szCs w:val="21"/>
        </w:rPr>
        <w:t>(205-</w:t>
      </w:r>
      <w:r>
        <w:rPr>
          <w:rFonts w:ascii="宋体" w:hAnsi="宋体" w:eastAsia="宋体" w:cs="宋体"/>
          <w:spacing w:val="-52"/>
          <w:sz w:val="21"/>
          <w:szCs w:val="21"/>
        </w:rPr>
        <w:t xml:space="preserve"> </w:t>
      </w:r>
      <w:r>
        <w:rPr>
          <w:rFonts w:ascii="宋体" w:hAnsi="宋体" w:eastAsia="宋体" w:cs="宋体"/>
          <w:spacing w:val="-3"/>
          <w:sz w:val="21"/>
          <w:szCs w:val="21"/>
        </w:rPr>
        <w:t>1表)、</w:t>
      </w:r>
      <w:r>
        <w:rPr>
          <w:rFonts w:ascii="宋体" w:hAnsi="宋体" w:eastAsia="宋体" w:cs="宋体"/>
          <w:spacing w:val="85"/>
          <w:sz w:val="21"/>
          <w:szCs w:val="21"/>
        </w:rPr>
        <w:t xml:space="preserve"> </w:t>
      </w:r>
      <w:r>
        <w:rPr>
          <w:rFonts w:ascii="宋体" w:hAnsi="宋体" w:eastAsia="宋体" w:cs="宋体"/>
          <w:spacing w:val="-3"/>
          <w:sz w:val="21"/>
          <w:szCs w:val="21"/>
        </w:rPr>
        <w:t>“能源加工转换与回收利用</w:t>
      </w:r>
      <w:r>
        <w:rPr>
          <w:rFonts w:ascii="宋体" w:hAnsi="宋体" w:eastAsia="宋体" w:cs="宋体"/>
          <w:spacing w:val="-4"/>
          <w:sz w:val="21"/>
          <w:szCs w:val="21"/>
        </w:rPr>
        <w:t>” (205-2表)、  “主要</w:t>
      </w:r>
      <w:r>
        <w:rPr>
          <w:rFonts w:ascii="宋体" w:hAnsi="宋体" w:eastAsia="宋体" w:cs="宋体"/>
          <w:sz w:val="21"/>
          <w:szCs w:val="21"/>
        </w:rPr>
        <w:t xml:space="preserve"> </w:t>
      </w:r>
      <w:r>
        <w:rPr>
          <w:rFonts w:ascii="宋体" w:hAnsi="宋体" w:eastAsia="宋体" w:cs="宋体"/>
          <w:spacing w:val="-1"/>
          <w:sz w:val="21"/>
          <w:szCs w:val="21"/>
        </w:rPr>
        <w:t>耗能工业企业单位产品能源消费情况” (205-3表)、</w:t>
      </w:r>
      <w:r>
        <w:rPr>
          <w:rFonts w:ascii="宋体" w:hAnsi="宋体" w:eastAsia="宋体" w:cs="宋体"/>
          <w:spacing w:val="85"/>
          <w:sz w:val="21"/>
          <w:szCs w:val="21"/>
        </w:rPr>
        <w:t xml:space="preserve"> </w:t>
      </w:r>
      <w:r>
        <w:rPr>
          <w:rFonts w:ascii="宋体" w:hAnsi="宋体" w:eastAsia="宋体" w:cs="宋体"/>
          <w:spacing w:val="-1"/>
          <w:sz w:val="21"/>
          <w:szCs w:val="21"/>
        </w:rPr>
        <w:t>“工业企业用水情况</w:t>
      </w:r>
      <w:r>
        <w:rPr>
          <w:rFonts w:ascii="宋体" w:hAnsi="宋体" w:eastAsia="宋体" w:cs="宋体"/>
          <w:spacing w:val="-2"/>
          <w:sz w:val="21"/>
          <w:szCs w:val="21"/>
        </w:rPr>
        <w:t>” (205-4表)、  “非工业</w:t>
      </w:r>
      <w:r>
        <w:rPr>
          <w:rFonts w:ascii="宋体" w:hAnsi="宋体" w:eastAsia="宋体" w:cs="宋体"/>
          <w:sz w:val="21"/>
          <w:szCs w:val="21"/>
        </w:rPr>
        <w:t xml:space="preserve"> </w:t>
      </w:r>
      <w:r>
        <w:rPr>
          <w:rFonts w:ascii="宋体" w:hAnsi="宋体" w:eastAsia="宋体" w:cs="宋体"/>
          <w:spacing w:val="4"/>
          <w:sz w:val="21"/>
          <w:szCs w:val="21"/>
        </w:rPr>
        <w:t>重点耗能单位能源消费情况” (205-5表)、</w:t>
      </w:r>
      <w:r>
        <w:rPr>
          <w:rFonts w:ascii="宋体" w:hAnsi="宋体" w:eastAsia="宋体" w:cs="宋体"/>
          <w:sz w:val="21"/>
          <w:szCs w:val="21"/>
        </w:rPr>
        <w:t xml:space="preserve">  </w:t>
      </w:r>
      <w:r>
        <w:rPr>
          <w:rFonts w:ascii="宋体" w:hAnsi="宋体" w:eastAsia="宋体" w:cs="宋体"/>
          <w:spacing w:val="4"/>
          <w:sz w:val="21"/>
          <w:szCs w:val="21"/>
        </w:rPr>
        <w:t>“能源生产、</w:t>
      </w:r>
      <w:r>
        <w:rPr>
          <w:rFonts w:ascii="宋体" w:hAnsi="宋体" w:eastAsia="宋体" w:cs="宋体"/>
          <w:spacing w:val="3"/>
          <w:sz w:val="21"/>
          <w:szCs w:val="21"/>
        </w:rPr>
        <w:t>销售与库存”</w:t>
      </w:r>
      <w:r>
        <w:rPr>
          <w:rFonts w:ascii="宋体" w:hAnsi="宋体" w:eastAsia="宋体" w:cs="宋体"/>
          <w:spacing w:val="-27"/>
          <w:sz w:val="21"/>
          <w:szCs w:val="21"/>
        </w:rPr>
        <w:t xml:space="preserve"> </w:t>
      </w:r>
      <w:r>
        <w:rPr>
          <w:rFonts w:ascii="宋体" w:hAnsi="宋体" w:eastAsia="宋体" w:cs="宋体"/>
          <w:spacing w:val="3"/>
          <w:sz w:val="21"/>
          <w:szCs w:val="21"/>
        </w:rPr>
        <w:t>(205-6表)和“重点能源商</w:t>
      </w:r>
      <w:r>
        <w:rPr>
          <w:rFonts w:ascii="宋体" w:hAnsi="宋体" w:eastAsia="宋体" w:cs="宋体"/>
          <w:sz w:val="21"/>
          <w:szCs w:val="21"/>
        </w:rPr>
        <w:t xml:space="preserve"> </w:t>
      </w:r>
      <w:r>
        <w:rPr>
          <w:rFonts w:ascii="宋体" w:hAnsi="宋体" w:eastAsia="宋体" w:cs="宋体"/>
          <w:spacing w:val="3"/>
          <w:sz w:val="21"/>
          <w:szCs w:val="21"/>
        </w:rPr>
        <w:t>品经销情况” (205-7表)属于国家统计局《一套表统计调查制度》中的报表，由法人单位网上报送数</w:t>
      </w:r>
      <w:r>
        <w:rPr>
          <w:rFonts w:ascii="宋体" w:hAnsi="宋体" w:eastAsia="宋体" w:cs="宋体"/>
          <w:spacing w:val="4"/>
          <w:sz w:val="21"/>
          <w:szCs w:val="21"/>
        </w:rPr>
        <w:t xml:space="preserve"> </w:t>
      </w:r>
      <w:r>
        <w:rPr>
          <w:rFonts w:ascii="宋体" w:hAnsi="宋体" w:eastAsia="宋体" w:cs="宋体"/>
          <w:spacing w:val="-1"/>
          <w:sz w:val="21"/>
          <w:szCs w:val="21"/>
        </w:rPr>
        <w:t>据； “四下企业主要能源产品产量”(P206 表)网上报送数据。视同法人</w:t>
      </w:r>
      <w:r>
        <w:rPr>
          <w:rFonts w:ascii="宋体" w:hAnsi="宋体" w:eastAsia="宋体" w:cs="宋体"/>
          <w:spacing w:val="-2"/>
          <w:sz w:val="21"/>
          <w:szCs w:val="21"/>
        </w:rPr>
        <w:t>单位与法人单位履行相同的统</w:t>
      </w:r>
    </w:p>
    <w:p w14:paraId="64FCE4C9">
      <w:pPr>
        <w:spacing w:before="1" w:line="219" w:lineRule="auto"/>
        <w:ind w:left="4"/>
        <w:rPr>
          <w:rFonts w:ascii="宋体" w:hAnsi="宋体" w:eastAsia="宋体" w:cs="宋体"/>
          <w:sz w:val="21"/>
          <w:szCs w:val="21"/>
        </w:rPr>
      </w:pPr>
      <w:r>
        <w:rPr>
          <w:rFonts w:ascii="宋体" w:hAnsi="宋体" w:eastAsia="宋体" w:cs="宋体"/>
          <w:spacing w:val="-5"/>
          <w:sz w:val="21"/>
          <w:szCs w:val="21"/>
        </w:rPr>
        <w:t>计义务，填报法人单位调查表。</w:t>
      </w:r>
    </w:p>
    <w:p w14:paraId="2EE35A6F">
      <w:pPr>
        <w:spacing w:before="152" w:line="351" w:lineRule="auto"/>
        <w:ind w:left="4" w:right="208" w:firstLine="420"/>
        <w:rPr>
          <w:rFonts w:ascii="宋体" w:hAnsi="宋体" w:eastAsia="宋体" w:cs="宋体"/>
          <w:sz w:val="21"/>
          <w:szCs w:val="21"/>
        </w:rPr>
      </w:pPr>
      <w:r>
        <w:rPr>
          <w:rFonts w:ascii="宋体" w:hAnsi="宋体" w:eastAsia="宋体" w:cs="宋体"/>
          <w:spacing w:val="5"/>
          <w:sz w:val="21"/>
          <w:szCs w:val="21"/>
        </w:rPr>
        <w:t>2. “能源平衡表(实物量)” (P303-1</w:t>
      </w:r>
      <w:r>
        <w:rPr>
          <w:rFonts w:ascii="宋体" w:hAnsi="宋体" w:eastAsia="宋体" w:cs="宋体"/>
          <w:spacing w:val="-9"/>
          <w:sz w:val="21"/>
          <w:szCs w:val="21"/>
        </w:rPr>
        <w:t xml:space="preserve"> </w:t>
      </w:r>
      <w:r>
        <w:rPr>
          <w:rFonts w:ascii="宋体" w:hAnsi="宋体" w:eastAsia="宋体" w:cs="宋体"/>
          <w:spacing w:val="5"/>
          <w:sz w:val="21"/>
          <w:szCs w:val="21"/>
        </w:rPr>
        <w:t>表</w:t>
      </w:r>
      <w:r>
        <w:rPr>
          <w:rFonts w:ascii="宋体" w:hAnsi="宋体" w:eastAsia="宋体" w:cs="宋体"/>
          <w:spacing w:val="-22"/>
          <w:sz w:val="21"/>
          <w:szCs w:val="21"/>
        </w:rPr>
        <w:t xml:space="preserve"> </w:t>
      </w:r>
      <w:r>
        <w:rPr>
          <w:rFonts w:ascii="宋体" w:hAnsi="宋体" w:eastAsia="宋体" w:cs="宋体"/>
          <w:spacing w:val="5"/>
          <w:sz w:val="21"/>
          <w:szCs w:val="21"/>
        </w:rPr>
        <w:t>) 、</w:t>
      </w:r>
      <w:r>
        <w:rPr>
          <w:rFonts w:ascii="宋体" w:hAnsi="宋体" w:eastAsia="宋体" w:cs="宋体"/>
          <w:spacing w:val="-51"/>
          <w:sz w:val="21"/>
          <w:szCs w:val="21"/>
        </w:rPr>
        <w:t xml:space="preserve"> </w:t>
      </w:r>
      <w:r>
        <w:rPr>
          <w:rFonts w:ascii="宋体" w:hAnsi="宋体" w:eastAsia="宋体" w:cs="宋体"/>
          <w:spacing w:val="5"/>
          <w:sz w:val="21"/>
          <w:szCs w:val="21"/>
        </w:rPr>
        <w:t>“能源平衡表(标准量)”</w:t>
      </w:r>
      <w:r>
        <w:rPr>
          <w:rFonts w:ascii="宋体" w:hAnsi="宋体" w:eastAsia="宋体" w:cs="宋体"/>
          <w:spacing w:val="-26"/>
          <w:sz w:val="21"/>
          <w:szCs w:val="21"/>
        </w:rPr>
        <w:t xml:space="preserve"> </w:t>
      </w:r>
      <w:r>
        <w:rPr>
          <w:rFonts w:ascii="宋体" w:hAnsi="宋体" w:eastAsia="宋体" w:cs="宋体"/>
          <w:spacing w:val="5"/>
          <w:sz w:val="21"/>
          <w:szCs w:val="21"/>
        </w:rPr>
        <w:t>(P303-4 表)和“地区</w:t>
      </w:r>
      <w:r>
        <w:rPr>
          <w:rFonts w:ascii="宋体" w:hAnsi="宋体" w:eastAsia="宋体" w:cs="宋体"/>
          <w:sz w:val="21"/>
          <w:szCs w:val="21"/>
        </w:rPr>
        <w:t xml:space="preserve"> 能源消费与单位</w:t>
      </w:r>
      <w:r>
        <w:rPr>
          <w:rFonts w:ascii="Times New Roman" w:hAnsi="Times New Roman" w:eastAsia="Times New Roman" w:cs="Times New Roman"/>
          <w:sz w:val="21"/>
          <w:szCs w:val="21"/>
        </w:rPr>
        <w:t xml:space="preserve">GDP </w:t>
      </w:r>
      <w:r>
        <w:rPr>
          <w:rFonts w:ascii="宋体" w:hAnsi="宋体" w:eastAsia="宋体" w:cs="宋体"/>
          <w:sz w:val="21"/>
          <w:szCs w:val="21"/>
        </w:rPr>
        <w:t>能耗”(P406 表)由各设区市和平潭综合实验区统计局报送综合表</w:t>
      </w:r>
      <w:r>
        <w:rPr>
          <w:rFonts w:ascii="宋体" w:hAnsi="宋体" w:eastAsia="宋体" w:cs="宋体"/>
          <w:spacing w:val="-1"/>
          <w:sz w:val="21"/>
          <w:szCs w:val="21"/>
        </w:rPr>
        <w:t>；“全社会用电</w:t>
      </w:r>
    </w:p>
    <w:p w14:paraId="7454F89B">
      <w:pPr>
        <w:spacing w:line="219" w:lineRule="auto"/>
        <w:ind w:left="4"/>
        <w:rPr>
          <w:rFonts w:ascii="宋体" w:hAnsi="宋体" w:eastAsia="宋体" w:cs="宋体"/>
          <w:sz w:val="21"/>
          <w:szCs w:val="21"/>
        </w:rPr>
      </w:pPr>
      <w:r>
        <w:rPr>
          <w:rFonts w:ascii="宋体" w:hAnsi="宋体" w:eastAsia="宋体" w:cs="宋体"/>
          <w:spacing w:val="1"/>
          <w:sz w:val="21"/>
          <w:szCs w:val="21"/>
        </w:rPr>
        <w:t>量情况”</w:t>
      </w:r>
      <w:r>
        <w:rPr>
          <w:rFonts w:ascii="宋体" w:hAnsi="宋体" w:eastAsia="宋体" w:cs="宋体"/>
          <w:spacing w:val="-22"/>
          <w:sz w:val="21"/>
          <w:szCs w:val="21"/>
        </w:rPr>
        <w:t xml:space="preserve"> </w:t>
      </w:r>
      <w:r>
        <w:rPr>
          <w:rFonts w:ascii="宋体" w:hAnsi="宋体" w:eastAsia="宋体" w:cs="宋体"/>
          <w:spacing w:val="1"/>
          <w:sz w:val="21"/>
          <w:szCs w:val="21"/>
        </w:rPr>
        <w:t>(P407 表)由国网福建省电力有限公司向省统计局报送汇总表。</w:t>
      </w:r>
    </w:p>
    <w:p w14:paraId="382F52A9">
      <w:pPr>
        <w:spacing w:before="98" w:line="352" w:lineRule="auto"/>
        <w:ind w:left="4" w:right="141" w:firstLine="420"/>
        <w:rPr>
          <w:rFonts w:ascii="宋体" w:hAnsi="宋体" w:eastAsia="宋体" w:cs="宋体"/>
          <w:sz w:val="21"/>
          <w:szCs w:val="21"/>
        </w:rPr>
      </w:pPr>
      <w:r>
        <w:rPr>
          <w:rFonts w:ascii="宋体" w:hAnsi="宋体" w:eastAsia="宋体" w:cs="宋体"/>
          <w:spacing w:val="3"/>
          <w:sz w:val="21"/>
          <w:szCs w:val="21"/>
        </w:rPr>
        <w:t xml:space="preserve">3.各专业经审核通过的注销或吊销、停业(歇业)退出单位，国家统计局将在调查单位基本情况表 </w:t>
      </w:r>
      <w:r>
        <w:rPr>
          <w:rFonts w:ascii="宋体" w:hAnsi="宋体" w:eastAsia="宋体" w:cs="宋体"/>
          <w:spacing w:val="8"/>
          <w:sz w:val="21"/>
          <w:szCs w:val="21"/>
        </w:rPr>
        <w:t>(601表和201-1表)中分别设置摘抄标识，由程序自动</w:t>
      </w:r>
      <w:r>
        <w:rPr>
          <w:rFonts w:ascii="宋体" w:hAnsi="宋体" w:eastAsia="宋体" w:cs="宋体"/>
          <w:spacing w:val="7"/>
          <w:sz w:val="21"/>
          <w:szCs w:val="21"/>
        </w:rPr>
        <w:t>摘抄有关后续表当期累计数和上年同期数，摘</w:t>
      </w:r>
      <w:r>
        <w:rPr>
          <w:rFonts w:ascii="宋体" w:hAnsi="宋体" w:eastAsia="宋体" w:cs="宋体"/>
          <w:sz w:val="21"/>
          <w:szCs w:val="21"/>
        </w:rPr>
        <w:t xml:space="preserve"> </w:t>
      </w:r>
      <w:r>
        <w:rPr>
          <w:rFonts w:ascii="宋体" w:hAnsi="宋体" w:eastAsia="宋体" w:cs="宋体"/>
          <w:spacing w:val="-1"/>
          <w:sz w:val="21"/>
          <w:szCs w:val="21"/>
        </w:rPr>
        <w:t>抄期满后退出一套表调查单位库，单位无需重新</w:t>
      </w:r>
      <w:r>
        <w:rPr>
          <w:rFonts w:ascii="宋体" w:hAnsi="宋体" w:eastAsia="宋体" w:cs="宋体"/>
          <w:spacing w:val="-2"/>
          <w:sz w:val="21"/>
          <w:szCs w:val="21"/>
        </w:rPr>
        <w:t xml:space="preserve">申报。其中，工业、批发和零售业、住宿和餐饮业、服 </w:t>
      </w:r>
      <w:r>
        <w:rPr>
          <w:rFonts w:ascii="宋体" w:hAnsi="宋体" w:eastAsia="宋体" w:cs="宋体"/>
          <w:spacing w:val="3"/>
          <w:sz w:val="21"/>
          <w:szCs w:val="21"/>
        </w:rPr>
        <w:t>务业单位在次年年报时停止摘抄数据并退库，建筑业、房地产开发经营业、其他有5000万元及以上</w:t>
      </w:r>
      <w:r>
        <w:rPr>
          <w:rFonts w:ascii="宋体" w:hAnsi="宋体" w:eastAsia="宋体" w:cs="宋体"/>
          <w:spacing w:val="2"/>
          <w:sz w:val="21"/>
          <w:szCs w:val="21"/>
        </w:rPr>
        <w:t xml:space="preserve">在 </w:t>
      </w:r>
      <w:r>
        <w:rPr>
          <w:rFonts w:ascii="宋体" w:hAnsi="宋体" w:eastAsia="宋体" w:cs="宋体"/>
          <w:spacing w:val="5"/>
          <w:sz w:val="21"/>
          <w:szCs w:val="21"/>
        </w:rPr>
        <w:t xml:space="preserve">建项目法人单位在次年2月定报时停止摘抄数据并退库。如停业(歇业)退出单位在退出一套表调查单 </w:t>
      </w:r>
      <w:r>
        <w:rPr>
          <w:rFonts w:ascii="宋体" w:hAnsi="宋体" w:eastAsia="宋体" w:cs="宋体"/>
          <w:spacing w:val="-4"/>
          <w:sz w:val="21"/>
          <w:szCs w:val="21"/>
        </w:rPr>
        <w:t>位库前恢复正常运营，需按要求重新申报。经审核通过的注销或吊销退出单位</w:t>
      </w:r>
      <w:r>
        <w:rPr>
          <w:rFonts w:ascii="宋体" w:hAnsi="宋体" w:eastAsia="宋体" w:cs="宋体"/>
          <w:spacing w:val="-5"/>
          <w:sz w:val="21"/>
          <w:szCs w:val="21"/>
        </w:rPr>
        <w:t>不再属于一套表调查单位，</w:t>
      </w:r>
    </w:p>
    <w:p w14:paraId="1B49FB86">
      <w:pPr>
        <w:spacing w:before="1" w:line="219" w:lineRule="auto"/>
        <w:ind w:left="4"/>
        <w:rPr>
          <w:rFonts w:ascii="宋体" w:hAnsi="宋体" w:eastAsia="宋体" w:cs="宋体"/>
          <w:sz w:val="21"/>
          <w:szCs w:val="21"/>
        </w:rPr>
      </w:pPr>
      <w:r>
        <w:rPr>
          <w:rFonts w:ascii="宋体" w:hAnsi="宋体" w:eastAsia="宋体" w:cs="宋体"/>
          <w:spacing w:val="6"/>
          <w:sz w:val="21"/>
          <w:szCs w:val="21"/>
        </w:rPr>
        <w:t>停业(歇业)退出单位摘抄期满后不再属于一套表调查单位。</w:t>
      </w:r>
    </w:p>
    <w:p w14:paraId="25969C07">
      <w:pPr>
        <w:spacing w:before="220" w:line="387" w:lineRule="exact"/>
        <w:ind w:left="424"/>
        <w:rPr>
          <w:rFonts w:ascii="宋体" w:hAnsi="宋体" w:eastAsia="宋体" w:cs="宋体"/>
          <w:sz w:val="21"/>
          <w:szCs w:val="21"/>
        </w:rPr>
      </w:pPr>
      <w:r>
        <w:rPr>
          <w:rFonts w:ascii="宋体" w:hAnsi="宋体" w:eastAsia="宋体" w:cs="宋体"/>
          <w:spacing w:val="-1"/>
          <w:position w:val="13"/>
          <w:sz w:val="21"/>
          <w:szCs w:val="21"/>
        </w:rPr>
        <w:t>4.找不到人的调查单位，由直管统计机构在调查单位数据上报截止日期之</w:t>
      </w:r>
      <w:r>
        <w:rPr>
          <w:rFonts w:ascii="宋体" w:hAnsi="宋体" w:eastAsia="宋体" w:cs="宋体"/>
          <w:spacing w:val="-2"/>
          <w:position w:val="13"/>
          <w:sz w:val="21"/>
          <w:szCs w:val="21"/>
        </w:rPr>
        <w:t>后，及时摸清具体原因，</w:t>
      </w:r>
    </w:p>
    <w:p w14:paraId="08DB232D">
      <w:pPr>
        <w:spacing w:before="1" w:line="216" w:lineRule="auto"/>
        <w:ind w:left="4"/>
        <w:rPr>
          <w:rFonts w:ascii="宋体" w:hAnsi="宋体" w:eastAsia="宋体" w:cs="宋体"/>
          <w:sz w:val="21"/>
          <w:szCs w:val="21"/>
        </w:rPr>
      </w:pPr>
      <w:r>
        <w:rPr>
          <w:rFonts w:ascii="宋体" w:hAnsi="宋体" w:eastAsia="宋体" w:cs="宋体"/>
          <w:spacing w:val="6"/>
          <w:sz w:val="21"/>
          <w:szCs w:val="21"/>
        </w:rPr>
        <w:t>在联网直报平台对这部分调查单位设置相应标识(当年关闭、当年破产、停业歇业、其他等),系统自</w:t>
      </w:r>
    </w:p>
    <w:p w14:paraId="5AA92262">
      <w:pPr>
        <w:spacing w:line="216" w:lineRule="auto"/>
        <w:rPr>
          <w:rFonts w:ascii="宋体" w:hAnsi="宋体" w:eastAsia="宋体" w:cs="宋体"/>
          <w:sz w:val="21"/>
          <w:szCs w:val="21"/>
        </w:rPr>
        <w:sectPr>
          <w:headerReference r:id="rId5" w:type="default"/>
          <w:pgSz w:w="11910" w:h="16840"/>
          <w:pgMar w:top="1049" w:right="1053" w:bottom="0" w:left="1245" w:header="876" w:footer="0" w:gutter="0"/>
          <w:cols w:space="720" w:num="1"/>
        </w:sectPr>
      </w:pPr>
    </w:p>
    <w:p w14:paraId="5E5BD83E">
      <w:pPr>
        <w:pStyle w:val="2"/>
        <w:spacing w:line="398" w:lineRule="auto"/>
      </w:pPr>
    </w:p>
    <w:p w14:paraId="70299F9C">
      <w:pPr>
        <w:spacing w:before="68" w:line="419" w:lineRule="exact"/>
        <w:rPr>
          <w:rFonts w:ascii="宋体" w:hAnsi="宋体" w:eastAsia="宋体" w:cs="宋体"/>
          <w:sz w:val="21"/>
          <w:szCs w:val="21"/>
        </w:rPr>
      </w:pPr>
      <w:r>
        <w:rPr>
          <w:rFonts w:ascii="宋体" w:hAnsi="宋体" w:eastAsia="宋体" w:cs="宋体"/>
          <w:spacing w:val="7"/>
          <w:position w:val="15"/>
          <w:sz w:val="21"/>
          <w:szCs w:val="21"/>
        </w:rPr>
        <w:t>动提取并复制上月(季)数据(年报按照一定规则自动提取同年1-12月定报数据)更新调查单位当前报</w:t>
      </w:r>
    </w:p>
    <w:p w14:paraId="18949668">
      <w:pPr>
        <w:spacing w:before="1" w:line="217" w:lineRule="auto"/>
        <w:rPr>
          <w:rFonts w:ascii="宋体" w:hAnsi="宋体" w:eastAsia="宋体" w:cs="宋体"/>
          <w:sz w:val="21"/>
          <w:szCs w:val="21"/>
        </w:rPr>
      </w:pPr>
      <w:r>
        <w:rPr>
          <w:rFonts w:ascii="宋体" w:hAnsi="宋体" w:eastAsia="宋体" w:cs="宋体"/>
          <w:spacing w:val="-6"/>
          <w:sz w:val="21"/>
          <w:szCs w:val="21"/>
        </w:rPr>
        <w:t>告期“累计”类指标。</w:t>
      </w:r>
    </w:p>
    <w:p w14:paraId="2C03AEB4">
      <w:pPr>
        <w:spacing w:before="155" w:line="342" w:lineRule="auto"/>
        <w:ind w:right="4" w:firstLine="440"/>
        <w:jc w:val="both"/>
        <w:rPr>
          <w:rFonts w:ascii="宋体" w:hAnsi="宋体" w:eastAsia="宋体" w:cs="宋体"/>
          <w:sz w:val="21"/>
          <w:szCs w:val="21"/>
        </w:rPr>
      </w:pPr>
      <w:r>
        <w:rPr>
          <w:rFonts w:ascii="宋体" w:hAnsi="宋体" w:eastAsia="宋体" w:cs="宋体"/>
          <w:sz w:val="21"/>
          <w:szCs w:val="21"/>
        </w:rPr>
        <w:t>5. “能源平衡表(实物量)” (P303-1 表</w:t>
      </w:r>
      <w:r>
        <w:rPr>
          <w:rFonts w:ascii="宋体" w:hAnsi="宋体" w:eastAsia="宋体" w:cs="宋体"/>
          <w:spacing w:val="-15"/>
          <w:sz w:val="21"/>
          <w:szCs w:val="21"/>
        </w:rPr>
        <w:t xml:space="preserve"> </w:t>
      </w:r>
      <w:r>
        <w:rPr>
          <w:rFonts w:ascii="宋体" w:hAnsi="宋体" w:eastAsia="宋体" w:cs="宋体"/>
          <w:sz w:val="21"/>
          <w:szCs w:val="21"/>
        </w:rPr>
        <w:t>) 、</w:t>
      </w:r>
      <w:r>
        <w:rPr>
          <w:rFonts w:ascii="宋体" w:hAnsi="宋体" w:eastAsia="宋体" w:cs="宋体"/>
          <w:spacing w:val="-30"/>
          <w:sz w:val="21"/>
          <w:szCs w:val="21"/>
        </w:rPr>
        <w:t xml:space="preserve"> </w:t>
      </w:r>
      <w:r>
        <w:rPr>
          <w:rFonts w:ascii="宋体" w:hAnsi="宋体" w:eastAsia="宋体" w:cs="宋体"/>
          <w:sz w:val="21"/>
          <w:szCs w:val="21"/>
        </w:rPr>
        <w:t>“能源平衡表(标准量)”</w:t>
      </w:r>
      <w:r>
        <w:rPr>
          <w:rFonts w:ascii="宋体" w:hAnsi="宋体" w:eastAsia="宋体" w:cs="宋体"/>
          <w:spacing w:val="-27"/>
          <w:sz w:val="21"/>
          <w:szCs w:val="21"/>
        </w:rPr>
        <w:t xml:space="preserve"> </w:t>
      </w:r>
      <w:r>
        <w:rPr>
          <w:rFonts w:ascii="宋体" w:hAnsi="宋体" w:eastAsia="宋体" w:cs="宋体"/>
          <w:sz w:val="21"/>
          <w:szCs w:val="21"/>
        </w:rPr>
        <w:t>(P303-4 表</w:t>
      </w:r>
      <w:r>
        <w:rPr>
          <w:rFonts w:ascii="宋体" w:hAnsi="宋体" w:eastAsia="宋体" w:cs="宋体"/>
          <w:spacing w:val="-32"/>
          <w:sz w:val="21"/>
          <w:szCs w:val="21"/>
        </w:rPr>
        <w:t xml:space="preserve"> </w:t>
      </w:r>
      <w:r>
        <w:rPr>
          <w:rFonts w:ascii="宋体" w:hAnsi="宋体" w:eastAsia="宋体" w:cs="宋体"/>
          <w:sz w:val="21"/>
          <w:szCs w:val="21"/>
        </w:rPr>
        <w:t>)</w:t>
      </w:r>
      <w:r>
        <w:rPr>
          <w:rFonts w:ascii="宋体" w:hAnsi="宋体" w:eastAsia="宋体" w:cs="宋体"/>
          <w:spacing w:val="-18"/>
          <w:sz w:val="21"/>
          <w:szCs w:val="21"/>
        </w:rPr>
        <w:t xml:space="preserve"> </w:t>
      </w:r>
      <w:r>
        <w:rPr>
          <w:rFonts w:ascii="宋体" w:hAnsi="宋体" w:eastAsia="宋体" w:cs="宋体"/>
          <w:sz w:val="21"/>
          <w:szCs w:val="21"/>
        </w:rPr>
        <w:t>、</w:t>
      </w:r>
      <w:r>
        <w:rPr>
          <w:rFonts w:ascii="宋体" w:hAnsi="宋体" w:eastAsia="宋体" w:cs="宋体"/>
          <w:spacing w:val="-63"/>
          <w:sz w:val="21"/>
          <w:szCs w:val="21"/>
        </w:rPr>
        <w:t xml:space="preserve"> </w:t>
      </w:r>
      <w:r>
        <w:rPr>
          <w:rFonts w:ascii="宋体" w:hAnsi="宋体" w:eastAsia="宋体" w:cs="宋体"/>
          <w:sz w:val="21"/>
          <w:szCs w:val="21"/>
        </w:rPr>
        <w:t xml:space="preserve">“地区 </w:t>
      </w:r>
      <w:r>
        <w:rPr>
          <w:rFonts w:ascii="宋体" w:hAnsi="宋体" w:eastAsia="宋体" w:cs="宋体"/>
          <w:spacing w:val="-1"/>
          <w:sz w:val="21"/>
          <w:szCs w:val="21"/>
        </w:rPr>
        <w:t>能源消费与单位</w:t>
      </w:r>
      <w:r>
        <w:rPr>
          <w:rFonts w:ascii="Times New Roman" w:hAnsi="Times New Roman" w:eastAsia="Times New Roman" w:cs="Times New Roman"/>
          <w:spacing w:val="-1"/>
          <w:sz w:val="21"/>
          <w:szCs w:val="21"/>
        </w:rPr>
        <w:t>GDP</w:t>
      </w:r>
      <w:r>
        <w:rPr>
          <w:rFonts w:ascii="宋体" w:hAnsi="宋体" w:eastAsia="宋体" w:cs="宋体"/>
          <w:spacing w:val="-1"/>
          <w:sz w:val="21"/>
          <w:szCs w:val="21"/>
        </w:rPr>
        <w:t>能耗”(P406 表)、“季度地区能源消</w:t>
      </w:r>
      <w:r>
        <w:rPr>
          <w:rFonts w:ascii="宋体" w:hAnsi="宋体" w:eastAsia="宋体" w:cs="宋体"/>
          <w:spacing w:val="-2"/>
          <w:sz w:val="21"/>
          <w:szCs w:val="21"/>
        </w:rPr>
        <w:t>费总量”核算方案中的“服务业*”是指《国</w:t>
      </w:r>
      <w:r>
        <w:rPr>
          <w:rFonts w:ascii="宋体" w:hAnsi="宋体" w:eastAsia="宋体" w:cs="宋体"/>
          <w:sz w:val="21"/>
          <w:szCs w:val="21"/>
        </w:rPr>
        <w:t xml:space="preserve"> </w:t>
      </w:r>
      <w:r>
        <w:rPr>
          <w:rFonts w:ascii="宋体" w:hAnsi="宋体" w:eastAsia="宋体" w:cs="宋体"/>
          <w:spacing w:val="-2"/>
          <w:sz w:val="21"/>
          <w:szCs w:val="21"/>
        </w:rPr>
        <w:t>民经济行业分类》</w:t>
      </w:r>
      <w:r>
        <w:rPr>
          <w:rFonts w:ascii="宋体" w:hAnsi="宋体" w:eastAsia="宋体" w:cs="宋体"/>
          <w:spacing w:val="104"/>
          <w:sz w:val="21"/>
          <w:szCs w:val="21"/>
        </w:rPr>
        <w:t xml:space="preserve"> </w:t>
      </w:r>
      <w:r>
        <w:rPr>
          <w:rFonts w:ascii="宋体" w:hAnsi="宋体" w:eastAsia="宋体" w:cs="宋体"/>
          <w:spacing w:val="-2"/>
          <w:sz w:val="21"/>
          <w:szCs w:val="21"/>
        </w:rPr>
        <w:t>(GB/T4754-2017)  目录中的门类</w:t>
      </w:r>
      <w:r>
        <w:rPr>
          <w:rFonts w:ascii="Times New Roman" w:hAnsi="Times New Roman" w:eastAsia="Times New Roman" w:cs="Times New Roman"/>
          <w:spacing w:val="-2"/>
          <w:sz w:val="21"/>
          <w:szCs w:val="21"/>
        </w:rPr>
        <w:t xml:space="preserve">F </w:t>
      </w:r>
      <w:r>
        <w:rPr>
          <w:rFonts w:ascii="宋体" w:hAnsi="宋体" w:eastAsia="宋体" w:cs="宋体"/>
          <w:spacing w:val="-2"/>
          <w:sz w:val="21"/>
          <w:szCs w:val="21"/>
        </w:rPr>
        <w:t>批发和零售业至</w:t>
      </w:r>
      <w:r>
        <w:rPr>
          <w:rFonts w:ascii="Times New Roman" w:hAnsi="Times New Roman" w:eastAsia="Times New Roman" w:cs="Times New Roman"/>
          <w:spacing w:val="-2"/>
          <w:sz w:val="21"/>
          <w:szCs w:val="21"/>
        </w:rPr>
        <w:t xml:space="preserve">T </w:t>
      </w:r>
      <w:r>
        <w:rPr>
          <w:rFonts w:ascii="宋体" w:hAnsi="宋体" w:eastAsia="宋体" w:cs="宋体"/>
          <w:spacing w:val="-2"/>
          <w:sz w:val="21"/>
          <w:szCs w:val="21"/>
        </w:rPr>
        <w:t>国际组织，不包括行业大类05</w:t>
      </w:r>
    </w:p>
    <w:p w14:paraId="072192AA">
      <w:pPr>
        <w:spacing w:line="218" w:lineRule="auto"/>
        <w:rPr>
          <w:rFonts w:ascii="宋体" w:hAnsi="宋体" w:eastAsia="宋体" w:cs="宋体"/>
          <w:sz w:val="21"/>
          <w:szCs w:val="21"/>
        </w:rPr>
      </w:pPr>
      <w:r>
        <w:rPr>
          <w:rFonts w:ascii="宋体" w:hAnsi="宋体" w:eastAsia="宋体" w:cs="宋体"/>
          <w:spacing w:val="1"/>
          <w:sz w:val="21"/>
          <w:szCs w:val="21"/>
        </w:rPr>
        <w:t>农、林、牧、渔专业及辅助性活动、11开采专业及辅助性活动、43金属制品、机械和设备修理</w:t>
      </w:r>
      <w:r>
        <w:rPr>
          <w:rFonts w:ascii="宋体" w:hAnsi="宋体" w:eastAsia="宋体" w:cs="宋体"/>
          <w:sz w:val="21"/>
          <w:szCs w:val="21"/>
        </w:rPr>
        <w:t>业。</w:t>
      </w:r>
    </w:p>
    <w:p w14:paraId="2A5C7369">
      <w:pPr>
        <w:spacing w:line="218" w:lineRule="auto"/>
        <w:rPr>
          <w:rFonts w:ascii="宋体" w:hAnsi="宋体" w:eastAsia="宋体" w:cs="宋体"/>
          <w:sz w:val="21"/>
          <w:szCs w:val="21"/>
        </w:rPr>
        <w:sectPr>
          <w:headerReference r:id="rId6" w:type="default"/>
          <w:pgSz w:w="11910" w:h="16840"/>
          <w:pgMar w:top="1069" w:right="1274" w:bottom="0" w:left="1239" w:header="848" w:footer="0" w:gutter="0"/>
          <w:cols w:space="720" w:num="1"/>
        </w:sectPr>
      </w:pPr>
    </w:p>
    <w:p w14:paraId="3E1D2113">
      <w:pPr>
        <w:spacing w:before="338" w:line="194" w:lineRule="auto"/>
        <w:ind w:left="3534"/>
        <w:outlineLvl w:val="0"/>
        <w:rPr>
          <w:rFonts w:ascii="宋体" w:hAnsi="宋体" w:eastAsia="宋体" w:cs="宋体"/>
          <w:sz w:val="32"/>
          <w:szCs w:val="32"/>
        </w:rPr>
      </w:pPr>
      <w:bookmarkStart w:id="1" w:name="bookmark5"/>
      <w:bookmarkEnd w:id="1"/>
      <w:bookmarkStart w:id="2" w:name="bookmark3"/>
      <w:bookmarkEnd w:id="2"/>
      <w:bookmarkStart w:id="3" w:name="bookmark4"/>
      <w:bookmarkEnd w:id="3"/>
      <w:r>
        <w:rPr>
          <w:rFonts w:ascii="宋体" w:hAnsi="宋体" w:eastAsia="宋体" w:cs="宋体"/>
          <w:b/>
          <w:bCs/>
          <w:spacing w:val="-3"/>
          <w:sz w:val="32"/>
          <w:szCs w:val="32"/>
        </w:rPr>
        <w:t>二、报表目录</w:t>
      </w:r>
    </w:p>
    <w:tbl>
      <w:tblPr>
        <w:tblStyle w:val="5"/>
        <w:tblW w:w="9390"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0"/>
        <w:gridCol w:w="1660"/>
        <w:gridCol w:w="660"/>
        <w:gridCol w:w="1970"/>
        <w:gridCol w:w="860"/>
        <w:gridCol w:w="1730"/>
        <w:gridCol w:w="1700"/>
      </w:tblGrid>
      <w:tr w14:paraId="4523B5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810" w:type="dxa"/>
            <w:tcBorders>
              <w:left w:val="nil"/>
            </w:tcBorders>
            <w:vAlign w:val="top"/>
          </w:tcPr>
          <w:p w14:paraId="68AF28A4">
            <w:pPr>
              <w:pStyle w:val="6"/>
              <w:spacing w:before="253" w:line="221" w:lineRule="auto"/>
              <w:ind w:left="220"/>
            </w:pPr>
            <w:r>
              <w:rPr>
                <w:spacing w:val="-2"/>
              </w:rPr>
              <w:t>表号</w:t>
            </w:r>
          </w:p>
        </w:tc>
        <w:tc>
          <w:tcPr>
            <w:tcW w:w="1660" w:type="dxa"/>
            <w:vAlign w:val="top"/>
          </w:tcPr>
          <w:p w14:paraId="01CE91F7">
            <w:pPr>
              <w:pStyle w:val="6"/>
              <w:spacing w:before="253" w:line="221" w:lineRule="auto"/>
              <w:ind w:left="655"/>
            </w:pPr>
            <w:r>
              <w:rPr>
                <w:spacing w:val="11"/>
              </w:rPr>
              <w:t>表名</w:t>
            </w:r>
          </w:p>
        </w:tc>
        <w:tc>
          <w:tcPr>
            <w:tcW w:w="660" w:type="dxa"/>
            <w:vAlign w:val="top"/>
          </w:tcPr>
          <w:p w14:paraId="55AB77EE">
            <w:pPr>
              <w:pStyle w:val="6"/>
              <w:spacing w:before="150" w:line="238" w:lineRule="auto"/>
              <w:ind w:left="145"/>
            </w:pPr>
            <w:r>
              <w:rPr>
                <w:spacing w:val="-2"/>
              </w:rPr>
              <w:t>报告</w:t>
            </w:r>
          </w:p>
          <w:p w14:paraId="3D943244">
            <w:pPr>
              <w:pStyle w:val="6"/>
              <w:spacing w:line="220" w:lineRule="auto"/>
              <w:ind w:left="145"/>
            </w:pPr>
            <w:r>
              <w:rPr>
                <w:spacing w:val="7"/>
              </w:rPr>
              <w:t>期别</w:t>
            </w:r>
          </w:p>
        </w:tc>
        <w:tc>
          <w:tcPr>
            <w:tcW w:w="1970" w:type="dxa"/>
            <w:vAlign w:val="top"/>
          </w:tcPr>
          <w:p w14:paraId="01B271D7">
            <w:pPr>
              <w:pStyle w:val="6"/>
              <w:spacing w:before="253" w:line="220" w:lineRule="auto"/>
              <w:ind w:left="624"/>
            </w:pPr>
            <w:r>
              <w:rPr>
                <w:spacing w:val="4"/>
              </w:rPr>
              <w:t>统计范围</w:t>
            </w:r>
          </w:p>
        </w:tc>
        <w:tc>
          <w:tcPr>
            <w:tcW w:w="860" w:type="dxa"/>
            <w:vAlign w:val="top"/>
          </w:tcPr>
          <w:p w14:paraId="4BD70D62">
            <w:pPr>
              <w:pStyle w:val="6"/>
              <w:spacing w:before="252" w:line="219" w:lineRule="auto"/>
              <w:ind w:left="75"/>
            </w:pPr>
            <w:r>
              <w:rPr>
                <w:spacing w:val="-2"/>
              </w:rPr>
              <w:t>报送单位</w:t>
            </w:r>
          </w:p>
        </w:tc>
        <w:tc>
          <w:tcPr>
            <w:tcW w:w="1730" w:type="dxa"/>
            <w:vAlign w:val="top"/>
          </w:tcPr>
          <w:p w14:paraId="7BEBBE95">
            <w:pPr>
              <w:pStyle w:val="6"/>
              <w:spacing w:before="42" w:line="441" w:lineRule="exact"/>
              <w:ind w:left="495"/>
            </w:pPr>
            <w:r>
              <w:rPr>
                <w:spacing w:val="4"/>
                <w:position w:val="20"/>
              </w:rPr>
              <w:t>报送时间</w:t>
            </w:r>
          </w:p>
          <w:p w14:paraId="32526D26">
            <w:pPr>
              <w:pStyle w:val="6"/>
              <w:spacing w:line="191" w:lineRule="auto"/>
              <w:ind w:left="495"/>
            </w:pPr>
            <w:r>
              <w:rPr>
                <w:spacing w:val="-5"/>
              </w:rPr>
              <w:t>及</w:t>
            </w:r>
            <w:r>
              <w:rPr>
                <w:spacing w:val="14"/>
              </w:rPr>
              <w:t xml:space="preserve"> </w:t>
            </w:r>
            <w:r>
              <w:rPr>
                <w:spacing w:val="-5"/>
              </w:rPr>
              <w:t>方</w:t>
            </w:r>
            <w:r>
              <w:rPr>
                <w:spacing w:val="17"/>
              </w:rPr>
              <w:t xml:space="preserve"> </w:t>
            </w:r>
            <w:r>
              <w:rPr>
                <w:spacing w:val="-5"/>
              </w:rPr>
              <w:t>式</w:t>
            </w:r>
          </w:p>
        </w:tc>
        <w:tc>
          <w:tcPr>
            <w:tcW w:w="1700" w:type="dxa"/>
            <w:tcBorders>
              <w:right w:val="nil"/>
            </w:tcBorders>
            <w:vAlign w:val="top"/>
          </w:tcPr>
          <w:p w14:paraId="1FEB89BA">
            <w:pPr>
              <w:pStyle w:val="6"/>
              <w:spacing w:before="172" w:line="226" w:lineRule="auto"/>
              <w:ind w:left="485"/>
            </w:pPr>
            <w:r>
              <w:rPr>
                <w:spacing w:val="-3"/>
              </w:rPr>
              <w:t>市级验收</w:t>
            </w:r>
          </w:p>
          <w:p w14:paraId="163AD1B2">
            <w:pPr>
              <w:pStyle w:val="6"/>
              <w:spacing w:line="220" w:lineRule="auto"/>
              <w:ind w:left="485"/>
            </w:pPr>
            <w:r>
              <w:rPr>
                <w:spacing w:val="4"/>
              </w:rPr>
              <w:t>截止时间</w:t>
            </w:r>
          </w:p>
        </w:tc>
      </w:tr>
    </w:tbl>
    <w:p w14:paraId="1474C548">
      <w:pPr>
        <w:spacing w:before="81" w:line="206" w:lineRule="auto"/>
        <w:ind w:left="130"/>
        <w:rPr>
          <w:rFonts w:ascii="宋体" w:hAnsi="宋体" w:eastAsia="宋体" w:cs="宋体"/>
          <w:sz w:val="16"/>
          <w:szCs w:val="16"/>
        </w:rPr>
      </w:pPr>
      <w:r>
        <w:rPr>
          <w:rFonts w:ascii="宋体" w:hAnsi="宋体" w:eastAsia="宋体" w:cs="宋体"/>
          <w:sz w:val="16"/>
          <w:szCs w:val="16"/>
        </w:rPr>
        <w:t>(一)基层定报表式</w:t>
      </w:r>
    </w:p>
    <w:tbl>
      <w:tblPr>
        <w:tblStyle w:val="5"/>
        <w:tblW w:w="9407"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1658"/>
        <w:gridCol w:w="659"/>
        <w:gridCol w:w="1968"/>
        <w:gridCol w:w="859"/>
        <w:gridCol w:w="1728"/>
        <w:gridCol w:w="1721"/>
      </w:tblGrid>
      <w:tr w14:paraId="31291A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24" w:hRule="atLeast"/>
        </w:trPr>
        <w:tc>
          <w:tcPr>
            <w:tcW w:w="814" w:type="dxa"/>
            <w:vAlign w:val="top"/>
          </w:tcPr>
          <w:p w14:paraId="7AAD4613">
            <w:pPr>
              <w:spacing w:line="280" w:lineRule="auto"/>
              <w:rPr>
                <w:rFonts w:ascii="Arial"/>
                <w:sz w:val="21"/>
              </w:rPr>
            </w:pPr>
          </w:p>
          <w:p w14:paraId="6C3CC7F4">
            <w:pPr>
              <w:spacing w:line="281" w:lineRule="auto"/>
              <w:rPr>
                <w:rFonts w:ascii="Arial"/>
                <w:sz w:val="21"/>
              </w:rPr>
            </w:pPr>
          </w:p>
          <w:p w14:paraId="7C0D2FAE">
            <w:pPr>
              <w:pStyle w:val="6"/>
              <w:spacing w:before="59" w:line="221" w:lineRule="auto"/>
              <w:ind w:left="15"/>
            </w:pPr>
            <w:r>
              <w:rPr>
                <w:spacing w:val="-2"/>
              </w:rPr>
              <w:t>205-1表</w:t>
            </w:r>
          </w:p>
        </w:tc>
        <w:tc>
          <w:tcPr>
            <w:tcW w:w="1658" w:type="dxa"/>
            <w:vAlign w:val="top"/>
          </w:tcPr>
          <w:p w14:paraId="7B65D5A8">
            <w:pPr>
              <w:spacing w:line="469" w:lineRule="auto"/>
              <w:rPr>
                <w:rFonts w:ascii="Arial"/>
                <w:sz w:val="21"/>
              </w:rPr>
            </w:pPr>
          </w:p>
          <w:p w14:paraId="66B97D3B">
            <w:pPr>
              <w:pStyle w:val="6"/>
              <w:spacing w:before="59" w:line="223" w:lineRule="auto"/>
              <w:ind w:left="31" w:right="1" w:firstLine="10"/>
            </w:pPr>
            <w:r>
              <w:rPr>
                <w:spacing w:val="-2"/>
              </w:rPr>
              <w:t>能源购进、消费与库</w:t>
            </w:r>
            <w:r>
              <w:rPr>
                <w:spacing w:val="2"/>
              </w:rPr>
              <w:t xml:space="preserve"> </w:t>
            </w:r>
            <w:r>
              <w:t>存</w:t>
            </w:r>
          </w:p>
        </w:tc>
        <w:tc>
          <w:tcPr>
            <w:tcW w:w="659" w:type="dxa"/>
            <w:vAlign w:val="top"/>
          </w:tcPr>
          <w:p w14:paraId="4C8CB2BB">
            <w:pPr>
              <w:spacing w:line="280" w:lineRule="auto"/>
              <w:rPr>
                <w:rFonts w:ascii="Arial"/>
                <w:sz w:val="21"/>
              </w:rPr>
            </w:pPr>
          </w:p>
          <w:p w14:paraId="4B5230D3">
            <w:pPr>
              <w:spacing w:line="280" w:lineRule="auto"/>
              <w:rPr>
                <w:rFonts w:ascii="Arial"/>
                <w:sz w:val="21"/>
              </w:rPr>
            </w:pPr>
          </w:p>
          <w:p w14:paraId="462D404B">
            <w:pPr>
              <w:pStyle w:val="6"/>
              <w:spacing w:before="59" w:line="219" w:lineRule="auto"/>
              <w:ind w:left="143"/>
            </w:pPr>
            <w:r>
              <w:rPr>
                <w:spacing w:val="-3"/>
              </w:rPr>
              <w:t>月报</w:t>
            </w:r>
          </w:p>
        </w:tc>
        <w:tc>
          <w:tcPr>
            <w:tcW w:w="1968" w:type="dxa"/>
            <w:vAlign w:val="top"/>
          </w:tcPr>
          <w:p w14:paraId="3B598697">
            <w:pPr>
              <w:spacing w:line="469" w:lineRule="auto"/>
              <w:rPr>
                <w:rFonts w:ascii="Arial"/>
                <w:sz w:val="21"/>
              </w:rPr>
            </w:pPr>
          </w:p>
          <w:p w14:paraId="23AED5C0">
            <w:pPr>
              <w:pStyle w:val="6"/>
              <w:spacing w:before="59" w:line="234" w:lineRule="auto"/>
              <w:ind w:left="34" w:right="90" w:firstLine="40"/>
              <w:rPr>
                <w:rFonts w:hint="eastAsia" w:eastAsia="宋体"/>
                <w:lang w:eastAsia="zh-CN"/>
              </w:rPr>
            </w:pPr>
            <w:r>
              <w:rPr>
                <w:spacing w:val="-1"/>
              </w:rPr>
              <w:t>辖区内规模以上工业法</w:t>
            </w:r>
            <w:r>
              <w:rPr>
                <w:spacing w:val="2"/>
              </w:rPr>
              <w:t xml:space="preserve"> </w:t>
            </w:r>
            <w:r>
              <w:rPr>
                <w:spacing w:val="-2"/>
              </w:rPr>
              <w:t>人单位</w:t>
            </w:r>
            <w:r>
              <w:rPr>
                <w:rFonts w:hint="eastAsia"/>
                <w:spacing w:val="-2"/>
                <w:lang w:eastAsia="zh-CN"/>
              </w:rPr>
              <w:t>和规模以上工业个体经营户</w:t>
            </w:r>
          </w:p>
        </w:tc>
        <w:tc>
          <w:tcPr>
            <w:tcW w:w="859" w:type="dxa"/>
            <w:vAlign w:val="top"/>
          </w:tcPr>
          <w:p w14:paraId="520D5E65">
            <w:pPr>
              <w:spacing w:line="280" w:lineRule="auto"/>
              <w:rPr>
                <w:rFonts w:ascii="Arial"/>
                <w:sz w:val="21"/>
              </w:rPr>
            </w:pPr>
          </w:p>
          <w:p w14:paraId="771A0045">
            <w:pPr>
              <w:spacing w:line="281" w:lineRule="auto"/>
              <w:rPr>
                <w:rFonts w:ascii="Arial"/>
                <w:sz w:val="21"/>
              </w:rPr>
            </w:pPr>
          </w:p>
          <w:p w14:paraId="263C262A">
            <w:pPr>
              <w:pStyle w:val="6"/>
              <w:spacing w:before="58" w:line="220" w:lineRule="auto"/>
              <w:ind w:left="66"/>
            </w:pPr>
            <w:r>
              <w:rPr>
                <w:spacing w:val="-2"/>
              </w:rPr>
              <w:t>法人单位</w:t>
            </w:r>
          </w:p>
        </w:tc>
        <w:tc>
          <w:tcPr>
            <w:tcW w:w="1728" w:type="dxa"/>
            <w:vAlign w:val="top"/>
          </w:tcPr>
          <w:p w14:paraId="1FE597F5">
            <w:pPr>
              <w:pStyle w:val="6"/>
              <w:spacing w:before="97" w:line="225" w:lineRule="auto"/>
              <w:ind w:left="17" w:right="26"/>
            </w:pPr>
            <w:r>
              <w:rPr>
                <w:spacing w:val="-3"/>
              </w:rPr>
              <w:t>2、5、6、7、8、10、</w:t>
            </w:r>
            <w:r>
              <w:rPr>
                <w:spacing w:val="2"/>
              </w:rPr>
              <w:t xml:space="preserve"> </w:t>
            </w:r>
            <w:r>
              <w:rPr>
                <w:spacing w:val="6"/>
              </w:rPr>
              <w:t xml:space="preserve">11月月后7日，3月  月后8日，4、12月  </w:t>
            </w:r>
            <w:r>
              <w:rPr>
                <w:spacing w:val="5"/>
              </w:rPr>
              <w:t>月后9日</w:t>
            </w:r>
            <w:r>
              <w:rPr>
                <w:rFonts w:hint="eastAsia"/>
                <w:spacing w:val="5"/>
                <w:lang w:val="en-US" w:eastAsia="zh-CN"/>
              </w:rPr>
              <w:t>12:00前</w:t>
            </w:r>
            <w:r>
              <w:rPr>
                <w:spacing w:val="5"/>
              </w:rPr>
              <w:t>，9月月后</w:t>
            </w:r>
            <w:r>
              <w:rPr>
                <w:rFonts w:hint="eastAsia"/>
                <w:spacing w:val="5"/>
                <w:lang w:val="en-US" w:eastAsia="zh-CN"/>
              </w:rPr>
              <w:t>11</w:t>
            </w:r>
            <w:r>
              <w:rPr>
                <w:spacing w:val="4"/>
              </w:rPr>
              <w:t>日1</w:t>
            </w:r>
            <w:r>
              <w:rPr>
                <w:rFonts w:hint="eastAsia"/>
                <w:spacing w:val="4"/>
                <w:lang w:val="en-US" w:eastAsia="zh-CN"/>
              </w:rPr>
              <w:t>8</w:t>
            </w:r>
            <w:r>
              <w:rPr>
                <w:spacing w:val="4"/>
              </w:rPr>
              <w:t>:00前网上填</w:t>
            </w:r>
            <w:r>
              <w:t>报</w:t>
            </w:r>
          </w:p>
        </w:tc>
        <w:tc>
          <w:tcPr>
            <w:tcW w:w="1721" w:type="dxa"/>
            <w:vAlign w:val="top"/>
          </w:tcPr>
          <w:p w14:paraId="7EA0C040">
            <w:pPr>
              <w:pStyle w:val="6"/>
              <w:spacing w:before="182" w:line="239" w:lineRule="auto"/>
              <w:ind w:left="29" w:right="95" w:hanging="10"/>
            </w:pPr>
            <w:r>
              <w:rPr>
                <w:spacing w:val="3"/>
              </w:rPr>
              <w:t>6、8、10、11月</w:t>
            </w:r>
            <w:r>
              <w:rPr>
                <w:spacing w:val="1"/>
              </w:rPr>
              <w:t>月后</w:t>
            </w:r>
            <w:r>
              <w:rPr>
                <w:rFonts w:hint="eastAsia"/>
                <w:spacing w:val="1"/>
                <w:lang w:val="en-US" w:eastAsia="zh-CN"/>
              </w:rPr>
              <w:t>9</w:t>
            </w:r>
            <w:r>
              <w:rPr>
                <w:spacing w:val="1"/>
              </w:rPr>
              <w:t>日，2、3、5</w:t>
            </w:r>
            <w:r>
              <w:rPr>
                <w:rFonts w:hint="eastAsia"/>
                <w:spacing w:val="1"/>
                <w:lang w:eastAsia="zh-CN"/>
              </w:rPr>
              <w:t>、</w:t>
            </w:r>
            <w:r>
              <w:rPr>
                <w:rFonts w:hint="eastAsia"/>
                <w:spacing w:val="1"/>
                <w:lang w:val="en-US" w:eastAsia="zh-CN"/>
              </w:rPr>
              <w:t>7</w:t>
            </w:r>
            <w:r>
              <w:t xml:space="preserve"> </w:t>
            </w:r>
            <w:r>
              <w:rPr>
                <w:spacing w:val="3"/>
              </w:rPr>
              <w:t>月月后</w:t>
            </w:r>
            <w:r>
              <w:rPr>
                <w:rFonts w:hint="eastAsia"/>
                <w:spacing w:val="3"/>
                <w:lang w:val="en-US" w:eastAsia="zh-CN"/>
              </w:rPr>
              <w:t>10</w:t>
            </w:r>
            <w:r>
              <w:rPr>
                <w:spacing w:val="3"/>
              </w:rPr>
              <w:t>日，4</w:t>
            </w:r>
            <w:r>
              <w:rPr>
                <w:spacing w:val="5"/>
              </w:rPr>
              <w:t>月月后1</w:t>
            </w:r>
            <w:r>
              <w:rPr>
                <w:rFonts w:hint="eastAsia"/>
                <w:spacing w:val="5"/>
                <w:lang w:val="en-US" w:eastAsia="zh-CN"/>
              </w:rPr>
              <w:t>1</w:t>
            </w:r>
            <w:r>
              <w:rPr>
                <w:spacing w:val="5"/>
              </w:rPr>
              <w:t>日，</w:t>
            </w:r>
            <w:r>
              <w:rPr>
                <w:rFonts w:hint="eastAsia"/>
                <w:spacing w:val="5"/>
                <w:lang w:val="en-US" w:eastAsia="zh-CN"/>
              </w:rPr>
              <w:t>12月月后12日，</w:t>
            </w:r>
            <w:r>
              <w:rPr>
                <w:spacing w:val="5"/>
              </w:rPr>
              <w:t>9月月</w:t>
            </w:r>
            <w:r>
              <w:rPr>
                <w:spacing w:val="1"/>
              </w:rPr>
              <w:t>后</w:t>
            </w:r>
            <w:r>
              <w:rPr>
                <w:rFonts w:hint="eastAsia"/>
                <w:spacing w:val="1"/>
                <w:lang w:val="en-US" w:eastAsia="zh-CN"/>
              </w:rPr>
              <w:t>13</w:t>
            </w:r>
            <w:r>
              <w:rPr>
                <w:spacing w:val="1"/>
              </w:rPr>
              <w:t>日12:00</w:t>
            </w:r>
          </w:p>
        </w:tc>
      </w:tr>
      <w:tr w14:paraId="20F9FE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814" w:type="dxa"/>
            <w:vAlign w:val="top"/>
          </w:tcPr>
          <w:p w14:paraId="0F4C019C">
            <w:pPr>
              <w:pStyle w:val="6"/>
              <w:spacing w:before="269" w:line="221" w:lineRule="auto"/>
              <w:ind w:left="15"/>
            </w:pPr>
            <w:r>
              <w:rPr>
                <w:spacing w:val="-2"/>
              </w:rPr>
              <w:t>205-2表</w:t>
            </w:r>
          </w:p>
        </w:tc>
        <w:tc>
          <w:tcPr>
            <w:tcW w:w="1658" w:type="dxa"/>
            <w:vAlign w:val="top"/>
          </w:tcPr>
          <w:p w14:paraId="338824A1">
            <w:pPr>
              <w:pStyle w:val="6"/>
              <w:spacing w:before="188" w:line="217" w:lineRule="auto"/>
              <w:ind w:left="31" w:right="167" w:hanging="10"/>
            </w:pPr>
            <w:r>
              <w:rPr>
                <w:spacing w:val="2"/>
              </w:rPr>
              <w:t xml:space="preserve">能源加工转换与回 </w:t>
            </w:r>
            <w:r>
              <w:rPr>
                <w:spacing w:val="7"/>
              </w:rPr>
              <w:t>收利用</w:t>
            </w:r>
          </w:p>
        </w:tc>
        <w:tc>
          <w:tcPr>
            <w:tcW w:w="659" w:type="dxa"/>
            <w:vAlign w:val="top"/>
          </w:tcPr>
          <w:p w14:paraId="6F643370">
            <w:pPr>
              <w:pStyle w:val="6"/>
              <w:spacing w:before="268" w:line="219" w:lineRule="auto"/>
              <w:ind w:left="143"/>
            </w:pPr>
            <w:r>
              <w:rPr>
                <w:spacing w:val="-3"/>
              </w:rPr>
              <w:t>月报</w:t>
            </w:r>
          </w:p>
        </w:tc>
        <w:tc>
          <w:tcPr>
            <w:tcW w:w="1968" w:type="dxa"/>
            <w:vAlign w:val="top"/>
          </w:tcPr>
          <w:p w14:paraId="3F064FB3">
            <w:pPr>
              <w:pStyle w:val="6"/>
              <w:spacing w:before="56" w:line="223" w:lineRule="auto"/>
              <w:ind w:left="34" w:right="90" w:firstLine="40"/>
              <w:jc w:val="both"/>
            </w:pPr>
            <w:r>
              <w:rPr>
                <w:spacing w:val="-1"/>
              </w:rPr>
              <w:t>辖区内有能源加工转换</w:t>
            </w:r>
            <w:r>
              <w:rPr>
                <w:spacing w:val="2"/>
              </w:rPr>
              <w:t xml:space="preserve"> </w:t>
            </w:r>
            <w:r>
              <w:rPr>
                <w:spacing w:val="3"/>
              </w:rPr>
              <w:t>或回收利用活动的规模</w:t>
            </w:r>
            <w:r>
              <w:t xml:space="preserve"> 以上工业法人单位</w:t>
            </w:r>
            <w:r>
              <w:rPr>
                <w:rFonts w:hint="eastAsia"/>
                <w:spacing w:val="-2"/>
                <w:lang w:eastAsia="zh-CN"/>
              </w:rPr>
              <w:t>和规模以上工业个体经营户</w:t>
            </w:r>
          </w:p>
        </w:tc>
        <w:tc>
          <w:tcPr>
            <w:tcW w:w="859" w:type="dxa"/>
            <w:vAlign w:val="top"/>
          </w:tcPr>
          <w:p w14:paraId="792518C0">
            <w:pPr>
              <w:pStyle w:val="6"/>
              <w:spacing w:before="270" w:line="221" w:lineRule="auto"/>
              <w:ind w:left="246"/>
            </w:pPr>
            <w:r>
              <w:rPr>
                <w:spacing w:val="3"/>
              </w:rPr>
              <w:t>同上</w:t>
            </w:r>
          </w:p>
        </w:tc>
        <w:tc>
          <w:tcPr>
            <w:tcW w:w="1728" w:type="dxa"/>
            <w:vAlign w:val="top"/>
          </w:tcPr>
          <w:p w14:paraId="5AABD5E0">
            <w:pPr>
              <w:pStyle w:val="6"/>
              <w:spacing w:before="270" w:line="221" w:lineRule="auto"/>
              <w:ind w:left="697"/>
            </w:pPr>
            <w:r>
              <w:rPr>
                <w:spacing w:val="3"/>
              </w:rPr>
              <w:t>同上</w:t>
            </w:r>
          </w:p>
        </w:tc>
        <w:tc>
          <w:tcPr>
            <w:tcW w:w="1721" w:type="dxa"/>
            <w:vAlign w:val="top"/>
          </w:tcPr>
          <w:p w14:paraId="1E2662B2">
            <w:pPr>
              <w:pStyle w:val="6"/>
              <w:spacing w:before="270" w:line="221" w:lineRule="auto"/>
              <w:ind w:left="688"/>
            </w:pPr>
            <w:r>
              <w:rPr>
                <w:spacing w:val="3"/>
              </w:rPr>
              <w:t>同上</w:t>
            </w:r>
          </w:p>
        </w:tc>
      </w:tr>
      <w:tr w14:paraId="55CB1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814" w:type="dxa"/>
            <w:vAlign w:val="top"/>
          </w:tcPr>
          <w:p w14:paraId="5860CAE0">
            <w:pPr>
              <w:spacing w:line="339" w:lineRule="auto"/>
              <w:rPr>
                <w:rFonts w:ascii="Arial"/>
                <w:sz w:val="21"/>
              </w:rPr>
            </w:pPr>
          </w:p>
          <w:p w14:paraId="3D3E46CA">
            <w:pPr>
              <w:pStyle w:val="6"/>
              <w:spacing w:before="59" w:line="221" w:lineRule="auto"/>
              <w:ind w:left="15"/>
            </w:pPr>
            <w:r>
              <w:rPr>
                <w:spacing w:val="-2"/>
              </w:rPr>
              <w:t>205-3表</w:t>
            </w:r>
          </w:p>
        </w:tc>
        <w:tc>
          <w:tcPr>
            <w:tcW w:w="1658" w:type="dxa"/>
            <w:vAlign w:val="top"/>
          </w:tcPr>
          <w:p w14:paraId="2A9C21C8">
            <w:pPr>
              <w:pStyle w:val="6"/>
              <w:spacing w:before="190" w:line="227" w:lineRule="auto"/>
              <w:ind w:left="31" w:right="175" w:firstLine="10"/>
              <w:jc w:val="both"/>
            </w:pPr>
            <w:r>
              <w:rPr>
                <w:spacing w:val="-2"/>
              </w:rPr>
              <w:t>主要耗能工业企业</w:t>
            </w:r>
            <w:r>
              <w:rPr>
                <w:spacing w:val="6"/>
              </w:rPr>
              <w:t xml:space="preserve"> </w:t>
            </w:r>
            <w:r>
              <w:t xml:space="preserve">单位产品能源消费 </w:t>
            </w:r>
            <w:r>
              <w:rPr>
                <w:spacing w:val="-2"/>
              </w:rPr>
              <w:t>情况</w:t>
            </w:r>
          </w:p>
        </w:tc>
        <w:tc>
          <w:tcPr>
            <w:tcW w:w="659" w:type="dxa"/>
            <w:vAlign w:val="top"/>
          </w:tcPr>
          <w:p w14:paraId="1E30C5B5">
            <w:pPr>
              <w:spacing w:line="338" w:lineRule="auto"/>
              <w:rPr>
                <w:rFonts w:ascii="Arial"/>
                <w:sz w:val="21"/>
              </w:rPr>
            </w:pPr>
          </w:p>
          <w:p w14:paraId="605DCD4A">
            <w:pPr>
              <w:pStyle w:val="6"/>
              <w:spacing w:before="59" w:line="219" w:lineRule="auto"/>
              <w:ind w:left="53"/>
            </w:pPr>
            <w:r>
              <w:rPr>
                <w:spacing w:val="-3"/>
              </w:rPr>
              <w:t>半年报</w:t>
            </w:r>
          </w:p>
        </w:tc>
        <w:tc>
          <w:tcPr>
            <w:tcW w:w="1968" w:type="dxa"/>
            <w:vAlign w:val="top"/>
          </w:tcPr>
          <w:p w14:paraId="2339FAF0">
            <w:pPr>
              <w:pStyle w:val="6"/>
              <w:spacing w:before="68" w:line="234" w:lineRule="auto"/>
              <w:ind w:left="74" w:right="76"/>
              <w:jc w:val="both"/>
            </w:pPr>
            <w:r>
              <w:rPr>
                <w:spacing w:val="-1"/>
              </w:rPr>
              <w:t>辖区内年综合能源消费</w:t>
            </w:r>
            <w:r>
              <w:rPr>
                <w:spacing w:val="2"/>
              </w:rPr>
              <w:t xml:space="preserve"> </w:t>
            </w:r>
            <w:r>
              <w:rPr>
                <w:spacing w:val="4"/>
              </w:rPr>
              <w:t>量1万吨标准煤及以上</w:t>
            </w:r>
            <w:r>
              <w:rPr>
                <w:spacing w:val="1"/>
              </w:rPr>
              <w:t xml:space="preserve"> </w:t>
            </w:r>
            <w:r>
              <w:t>的规模以上工业法人单</w:t>
            </w:r>
          </w:p>
          <w:p w14:paraId="665ADD2E">
            <w:pPr>
              <w:pStyle w:val="6"/>
              <w:spacing w:before="8" w:line="203" w:lineRule="auto"/>
              <w:ind w:left="24"/>
            </w:pPr>
            <w:r>
              <w:t>位</w:t>
            </w:r>
            <w:r>
              <w:rPr>
                <w:rFonts w:hint="eastAsia"/>
                <w:spacing w:val="-2"/>
                <w:lang w:eastAsia="zh-CN"/>
              </w:rPr>
              <w:t>和规模以上工业个体经营户</w:t>
            </w:r>
          </w:p>
        </w:tc>
        <w:tc>
          <w:tcPr>
            <w:tcW w:w="859" w:type="dxa"/>
            <w:vAlign w:val="top"/>
          </w:tcPr>
          <w:p w14:paraId="55921224">
            <w:pPr>
              <w:spacing w:line="341" w:lineRule="auto"/>
              <w:rPr>
                <w:rFonts w:ascii="Arial"/>
                <w:sz w:val="21"/>
              </w:rPr>
            </w:pPr>
          </w:p>
          <w:p w14:paraId="1543E321">
            <w:pPr>
              <w:pStyle w:val="6"/>
              <w:spacing w:before="58" w:line="221" w:lineRule="auto"/>
              <w:ind w:left="246"/>
            </w:pPr>
            <w:r>
              <w:rPr>
                <w:spacing w:val="3"/>
              </w:rPr>
              <w:t>同上</w:t>
            </w:r>
          </w:p>
        </w:tc>
        <w:tc>
          <w:tcPr>
            <w:tcW w:w="1728" w:type="dxa"/>
            <w:vAlign w:val="top"/>
          </w:tcPr>
          <w:p w14:paraId="30B394D7">
            <w:pPr>
              <w:pStyle w:val="6"/>
              <w:spacing w:before="188" w:line="234" w:lineRule="auto"/>
              <w:ind w:left="47" w:firstLine="29"/>
            </w:pPr>
            <w:r>
              <w:rPr>
                <w:spacing w:val="-1"/>
              </w:rPr>
              <w:t>上半年7月10日、下</w:t>
            </w:r>
            <w:r>
              <w:t xml:space="preserve">  </w:t>
            </w:r>
            <w:r>
              <w:rPr>
                <w:spacing w:val="-17"/>
              </w:rPr>
              <w:t>半</w:t>
            </w:r>
            <w:r>
              <w:rPr>
                <w:spacing w:val="-31"/>
              </w:rPr>
              <w:t xml:space="preserve"> </w:t>
            </w:r>
            <w:r>
              <w:rPr>
                <w:spacing w:val="-17"/>
              </w:rPr>
              <w:t>年</w:t>
            </w:r>
            <w:r>
              <w:rPr>
                <w:spacing w:val="-34"/>
              </w:rPr>
              <w:t xml:space="preserve"> </w:t>
            </w:r>
            <w:r>
              <w:rPr>
                <w:spacing w:val="-17"/>
              </w:rPr>
              <w:t>次</w:t>
            </w:r>
            <w:r>
              <w:rPr>
                <w:spacing w:val="-39"/>
              </w:rPr>
              <w:t xml:space="preserve"> </w:t>
            </w:r>
            <w:r>
              <w:rPr>
                <w:spacing w:val="-17"/>
              </w:rPr>
              <w:t>年</w:t>
            </w:r>
            <w:r>
              <w:rPr>
                <w:spacing w:val="-27"/>
              </w:rPr>
              <w:t xml:space="preserve"> </w:t>
            </w:r>
            <w:r>
              <w:rPr>
                <w:spacing w:val="-17"/>
              </w:rPr>
              <w:t>1</w:t>
            </w:r>
            <w:r>
              <w:rPr>
                <w:spacing w:val="-35"/>
              </w:rPr>
              <w:t xml:space="preserve"> </w:t>
            </w:r>
            <w:r>
              <w:rPr>
                <w:spacing w:val="-17"/>
              </w:rPr>
              <w:t>月</w:t>
            </w:r>
            <w:r>
              <w:rPr>
                <w:spacing w:val="-26"/>
              </w:rPr>
              <w:t xml:space="preserve"> </w:t>
            </w:r>
            <w:r>
              <w:rPr>
                <w:spacing w:val="-17"/>
              </w:rPr>
              <w:t>1</w:t>
            </w:r>
            <w:r>
              <w:rPr>
                <w:spacing w:val="-39"/>
              </w:rPr>
              <w:t xml:space="preserve"> </w:t>
            </w:r>
            <w:r>
              <w:rPr>
                <w:spacing w:val="-17"/>
              </w:rPr>
              <w:t>0 日</w:t>
            </w:r>
            <w:r>
              <w:t xml:space="preserve"> 12:00前网上填报</w:t>
            </w:r>
          </w:p>
        </w:tc>
        <w:tc>
          <w:tcPr>
            <w:tcW w:w="1721" w:type="dxa"/>
            <w:vAlign w:val="top"/>
          </w:tcPr>
          <w:p w14:paraId="5F90CECC">
            <w:pPr>
              <w:pStyle w:val="6"/>
              <w:spacing w:before="218" w:line="214" w:lineRule="auto"/>
              <w:ind w:left="19" w:firstLine="29"/>
            </w:pPr>
            <w:r>
              <w:t xml:space="preserve">上半年7月11日、下  </w:t>
            </w:r>
            <w:r>
              <w:rPr>
                <w:spacing w:val="-14"/>
              </w:rPr>
              <w:t>半</w:t>
            </w:r>
            <w:r>
              <w:rPr>
                <w:spacing w:val="-39"/>
              </w:rPr>
              <w:t xml:space="preserve"> </w:t>
            </w:r>
            <w:r>
              <w:rPr>
                <w:spacing w:val="-14"/>
              </w:rPr>
              <w:t>年</w:t>
            </w:r>
            <w:r>
              <w:rPr>
                <w:spacing w:val="-35"/>
              </w:rPr>
              <w:t xml:space="preserve"> </w:t>
            </w:r>
            <w:r>
              <w:rPr>
                <w:spacing w:val="-14"/>
              </w:rPr>
              <w:t>次</w:t>
            </w:r>
            <w:r>
              <w:rPr>
                <w:spacing w:val="-39"/>
              </w:rPr>
              <w:t xml:space="preserve"> </w:t>
            </w:r>
            <w:r>
              <w:rPr>
                <w:spacing w:val="-14"/>
              </w:rPr>
              <w:t>年</w:t>
            </w:r>
            <w:r>
              <w:rPr>
                <w:spacing w:val="-26"/>
              </w:rPr>
              <w:t xml:space="preserve"> </w:t>
            </w:r>
            <w:r>
              <w:rPr>
                <w:spacing w:val="-14"/>
              </w:rPr>
              <w:t>1</w:t>
            </w:r>
            <w:r>
              <w:rPr>
                <w:spacing w:val="-35"/>
              </w:rPr>
              <w:t xml:space="preserve"> </w:t>
            </w:r>
            <w:r>
              <w:rPr>
                <w:spacing w:val="-14"/>
              </w:rPr>
              <w:t>月</w:t>
            </w:r>
            <w:r>
              <w:rPr>
                <w:spacing w:val="-26"/>
              </w:rPr>
              <w:t xml:space="preserve"> </w:t>
            </w:r>
            <w:r>
              <w:rPr>
                <w:spacing w:val="-14"/>
              </w:rPr>
              <w:t>1</w:t>
            </w:r>
            <w:r>
              <w:rPr>
                <w:spacing w:val="-40"/>
              </w:rPr>
              <w:t xml:space="preserve"> </w:t>
            </w:r>
            <w:r>
              <w:rPr>
                <w:spacing w:val="-14"/>
              </w:rPr>
              <w:t>4 日</w:t>
            </w:r>
            <w:r>
              <w:t xml:space="preserve"> </w:t>
            </w:r>
            <w:r>
              <w:rPr>
                <w:spacing w:val="-4"/>
              </w:rPr>
              <w:t>12:00</w:t>
            </w:r>
          </w:p>
        </w:tc>
      </w:tr>
      <w:tr w14:paraId="395331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814" w:type="dxa"/>
            <w:vAlign w:val="top"/>
          </w:tcPr>
          <w:p w14:paraId="4CDB221D">
            <w:pPr>
              <w:pStyle w:val="6"/>
              <w:spacing w:before="261" w:line="221" w:lineRule="auto"/>
              <w:ind w:left="15"/>
            </w:pPr>
            <w:r>
              <w:rPr>
                <w:spacing w:val="-2"/>
              </w:rPr>
              <w:t>205-4表</w:t>
            </w:r>
          </w:p>
        </w:tc>
        <w:tc>
          <w:tcPr>
            <w:tcW w:w="1658" w:type="dxa"/>
            <w:vAlign w:val="top"/>
          </w:tcPr>
          <w:p w14:paraId="0EE1112C">
            <w:pPr>
              <w:pStyle w:val="6"/>
              <w:spacing w:before="260" w:line="219" w:lineRule="auto"/>
              <w:ind w:left="31"/>
            </w:pPr>
            <w:r>
              <w:rPr>
                <w:spacing w:val="-2"/>
              </w:rPr>
              <w:t>工业企业用水情况</w:t>
            </w:r>
          </w:p>
        </w:tc>
        <w:tc>
          <w:tcPr>
            <w:tcW w:w="659" w:type="dxa"/>
            <w:vAlign w:val="top"/>
          </w:tcPr>
          <w:p w14:paraId="5946CC86">
            <w:pPr>
              <w:pStyle w:val="6"/>
              <w:spacing w:before="260" w:line="219" w:lineRule="auto"/>
              <w:ind w:left="53"/>
            </w:pPr>
            <w:r>
              <w:rPr>
                <w:spacing w:val="-3"/>
              </w:rPr>
              <w:t>半年报</w:t>
            </w:r>
          </w:p>
        </w:tc>
        <w:tc>
          <w:tcPr>
            <w:tcW w:w="1968" w:type="dxa"/>
            <w:vAlign w:val="top"/>
          </w:tcPr>
          <w:p w14:paraId="4A8CACF1">
            <w:pPr>
              <w:pStyle w:val="6"/>
              <w:spacing w:before="170" w:line="223" w:lineRule="auto"/>
              <w:ind w:left="24" w:right="90" w:firstLine="50"/>
            </w:pPr>
            <w:r>
              <w:rPr>
                <w:spacing w:val="-1"/>
              </w:rPr>
              <w:t>辖区内规模以上工业法</w:t>
            </w:r>
            <w:r>
              <w:rPr>
                <w:spacing w:val="2"/>
              </w:rPr>
              <w:t xml:space="preserve"> </w:t>
            </w:r>
            <w:r>
              <w:rPr>
                <w:spacing w:val="-2"/>
              </w:rPr>
              <w:t>人单位</w:t>
            </w:r>
            <w:r>
              <w:rPr>
                <w:rFonts w:hint="eastAsia"/>
                <w:spacing w:val="-2"/>
                <w:lang w:eastAsia="zh-CN"/>
              </w:rPr>
              <w:t>和规模以上工业个体经营户</w:t>
            </w:r>
          </w:p>
        </w:tc>
        <w:tc>
          <w:tcPr>
            <w:tcW w:w="859" w:type="dxa"/>
            <w:vAlign w:val="top"/>
          </w:tcPr>
          <w:p w14:paraId="22F0A696">
            <w:pPr>
              <w:pStyle w:val="6"/>
              <w:spacing w:before="262" w:line="221" w:lineRule="auto"/>
              <w:ind w:left="246"/>
            </w:pPr>
            <w:r>
              <w:rPr>
                <w:spacing w:val="3"/>
              </w:rPr>
              <w:t>同上</w:t>
            </w:r>
          </w:p>
        </w:tc>
        <w:tc>
          <w:tcPr>
            <w:tcW w:w="1728" w:type="dxa"/>
            <w:vAlign w:val="top"/>
          </w:tcPr>
          <w:p w14:paraId="58BA6ED7">
            <w:pPr>
              <w:pStyle w:val="6"/>
              <w:spacing w:before="50" w:line="215" w:lineRule="auto"/>
              <w:ind w:left="37" w:firstLine="39"/>
            </w:pPr>
            <w:r>
              <w:t xml:space="preserve">上半年7月10日、下  </w:t>
            </w:r>
            <w:r>
              <w:rPr>
                <w:spacing w:val="-14"/>
              </w:rPr>
              <w:t>半</w:t>
            </w:r>
            <w:r>
              <w:rPr>
                <w:spacing w:val="-38"/>
              </w:rPr>
              <w:t xml:space="preserve"> </w:t>
            </w:r>
            <w:r>
              <w:rPr>
                <w:spacing w:val="-14"/>
              </w:rPr>
              <w:t>年</w:t>
            </w:r>
            <w:r>
              <w:rPr>
                <w:spacing w:val="-37"/>
              </w:rPr>
              <w:t xml:space="preserve"> </w:t>
            </w:r>
            <w:r>
              <w:rPr>
                <w:spacing w:val="-14"/>
              </w:rPr>
              <w:t>次</w:t>
            </w:r>
            <w:r>
              <w:rPr>
                <w:spacing w:val="-41"/>
              </w:rPr>
              <w:t xml:space="preserve"> </w:t>
            </w:r>
            <w:r>
              <w:rPr>
                <w:spacing w:val="-14"/>
              </w:rPr>
              <w:t>年</w:t>
            </w:r>
            <w:r>
              <w:rPr>
                <w:spacing w:val="-28"/>
              </w:rPr>
              <w:t xml:space="preserve"> </w:t>
            </w:r>
            <w:r>
              <w:rPr>
                <w:spacing w:val="-14"/>
              </w:rPr>
              <w:t>1</w:t>
            </w:r>
            <w:r>
              <w:rPr>
                <w:spacing w:val="-38"/>
              </w:rPr>
              <w:t xml:space="preserve"> </w:t>
            </w:r>
            <w:r>
              <w:rPr>
                <w:spacing w:val="-14"/>
              </w:rPr>
              <w:t>月</w:t>
            </w:r>
            <w:r>
              <w:rPr>
                <w:spacing w:val="-28"/>
              </w:rPr>
              <w:t xml:space="preserve"> </w:t>
            </w:r>
            <w:r>
              <w:rPr>
                <w:spacing w:val="-14"/>
              </w:rPr>
              <w:t>1</w:t>
            </w:r>
            <w:r>
              <w:rPr>
                <w:spacing w:val="-41"/>
              </w:rPr>
              <w:t xml:space="preserve"> </w:t>
            </w:r>
            <w:r>
              <w:rPr>
                <w:spacing w:val="-14"/>
              </w:rPr>
              <w:t>0 日</w:t>
            </w:r>
            <w:r>
              <w:t xml:space="preserve"> </w:t>
            </w:r>
            <w:r>
              <w:rPr>
                <w:spacing w:val="-1"/>
              </w:rPr>
              <w:t>12:00前网上填报</w:t>
            </w:r>
          </w:p>
        </w:tc>
        <w:tc>
          <w:tcPr>
            <w:tcW w:w="1721" w:type="dxa"/>
            <w:vAlign w:val="top"/>
          </w:tcPr>
          <w:p w14:paraId="10B659A1">
            <w:pPr>
              <w:pStyle w:val="6"/>
              <w:spacing w:before="91" w:line="201" w:lineRule="auto"/>
              <w:ind w:left="19" w:firstLine="30"/>
            </w:pPr>
            <w:r>
              <w:rPr>
                <w:spacing w:val="1"/>
              </w:rPr>
              <w:t>上半年7月15日、下</w:t>
            </w:r>
            <w:r>
              <w:t xml:space="preserve">  </w:t>
            </w:r>
            <w:r>
              <w:rPr>
                <w:spacing w:val="-13"/>
              </w:rPr>
              <w:t>半</w:t>
            </w:r>
            <w:r>
              <w:rPr>
                <w:spacing w:val="-41"/>
              </w:rPr>
              <w:t xml:space="preserve"> </w:t>
            </w:r>
            <w:r>
              <w:rPr>
                <w:spacing w:val="-13"/>
              </w:rPr>
              <w:t>年</w:t>
            </w:r>
            <w:r>
              <w:rPr>
                <w:spacing w:val="-37"/>
              </w:rPr>
              <w:t xml:space="preserve"> </w:t>
            </w:r>
            <w:r>
              <w:rPr>
                <w:spacing w:val="-13"/>
              </w:rPr>
              <w:t>次</w:t>
            </w:r>
            <w:r>
              <w:rPr>
                <w:spacing w:val="-40"/>
              </w:rPr>
              <w:t xml:space="preserve"> </w:t>
            </w:r>
            <w:r>
              <w:rPr>
                <w:spacing w:val="-13"/>
              </w:rPr>
              <w:t>年</w:t>
            </w:r>
            <w:r>
              <w:rPr>
                <w:spacing w:val="-28"/>
              </w:rPr>
              <w:t xml:space="preserve"> </w:t>
            </w:r>
            <w:r>
              <w:rPr>
                <w:spacing w:val="-13"/>
              </w:rPr>
              <w:t>1</w:t>
            </w:r>
            <w:r>
              <w:rPr>
                <w:spacing w:val="-38"/>
              </w:rPr>
              <w:t xml:space="preserve"> </w:t>
            </w:r>
            <w:r>
              <w:rPr>
                <w:spacing w:val="-13"/>
              </w:rPr>
              <w:t>月</w:t>
            </w:r>
            <w:r>
              <w:rPr>
                <w:spacing w:val="-28"/>
              </w:rPr>
              <w:t xml:space="preserve"> </w:t>
            </w:r>
            <w:r>
              <w:rPr>
                <w:spacing w:val="-13"/>
              </w:rPr>
              <w:t>1</w:t>
            </w:r>
            <w:r>
              <w:rPr>
                <w:spacing w:val="-38"/>
              </w:rPr>
              <w:t xml:space="preserve"> </w:t>
            </w:r>
            <w:r>
              <w:rPr>
                <w:spacing w:val="-13"/>
              </w:rPr>
              <w:t>5 日</w:t>
            </w:r>
            <w:r>
              <w:t xml:space="preserve"> </w:t>
            </w:r>
            <w:r>
              <w:rPr>
                <w:spacing w:val="-4"/>
              </w:rPr>
              <w:t>12:00</w:t>
            </w:r>
          </w:p>
        </w:tc>
      </w:tr>
      <w:tr w14:paraId="0FB31F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8" w:hRule="atLeast"/>
        </w:trPr>
        <w:tc>
          <w:tcPr>
            <w:tcW w:w="814" w:type="dxa"/>
            <w:vAlign w:val="top"/>
          </w:tcPr>
          <w:p w14:paraId="4D152327">
            <w:pPr>
              <w:spacing w:line="272" w:lineRule="auto"/>
              <w:rPr>
                <w:rFonts w:ascii="Arial"/>
                <w:sz w:val="21"/>
              </w:rPr>
            </w:pPr>
          </w:p>
          <w:p w14:paraId="5839C4A8">
            <w:pPr>
              <w:spacing w:line="273" w:lineRule="auto"/>
              <w:rPr>
                <w:rFonts w:ascii="Arial"/>
                <w:sz w:val="21"/>
              </w:rPr>
            </w:pPr>
          </w:p>
          <w:p w14:paraId="02B9F2A7">
            <w:pPr>
              <w:spacing w:line="273" w:lineRule="auto"/>
              <w:rPr>
                <w:rFonts w:ascii="Arial"/>
                <w:sz w:val="21"/>
              </w:rPr>
            </w:pPr>
          </w:p>
          <w:p w14:paraId="6C3089F7">
            <w:pPr>
              <w:pStyle w:val="6"/>
              <w:spacing w:before="59" w:line="221" w:lineRule="auto"/>
              <w:ind w:left="15"/>
            </w:pPr>
            <w:r>
              <w:rPr>
                <w:spacing w:val="-2"/>
              </w:rPr>
              <w:t>205-5表</w:t>
            </w:r>
          </w:p>
        </w:tc>
        <w:tc>
          <w:tcPr>
            <w:tcW w:w="1658" w:type="dxa"/>
            <w:vAlign w:val="top"/>
          </w:tcPr>
          <w:p w14:paraId="0F550321">
            <w:pPr>
              <w:spacing w:line="358" w:lineRule="auto"/>
              <w:rPr>
                <w:rFonts w:ascii="Arial"/>
                <w:sz w:val="21"/>
              </w:rPr>
            </w:pPr>
          </w:p>
          <w:p w14:paraId="05053314">
            <w:pPr>
              <w:spacing w:line="359" w:lineRule="auto"/>
              <w:rPr>
                <w:rFonts w:ascii="Arial"/>
                <w:sz w:val="21"/>
              </w:rPr>
            </w:pPr>
          </w:p>
          <w:p w14:paraId="4E7018A3">
            <w:pPr>
              <w:pStyle w:val="6"/>
              <w:spacing w:before="59" w:line="244" w:lineRule="auto"/>
              <w:ind w:left="31" w:right="186"/>
            </w:pPr>
            <w:r>
              <w:rPr>
                <w:spacing w:val="-2"/>
              </w:rPr>
              <w:t>非工业重点耗能单</w:t>
            </w:r>
            <w:r>
              <w:rPr>
                <w:spacing w:val="5"/>
              </w:rPr>
              <w:t xml:space="preserve"> </w:t>
            </w:r>
            <w:r>
              <w:rPr>
                <w:spacing w:val="-1"/>
              </w:rPr>
              <w:t>位能源消费情况</w:t>
            </w:r>
          </w:p>
        </w:tc>
        <w:tc>
          <w:tcPr>
            <w:tcW w:w="659" w:type="dxa"/>
            <w:vAlign w:val="top"/>
          </w:tcPr>
          <w:p w14:paraId="30E0E5B6">
            <w:pPr>
              <w:spacing w:line="272" w:lineRule="auto"/>
              <w:rPr>
                <w:rFonts w:ascii="Arial"/>
                <w:sz w:val="21"/>
              </w:rPr>
            </w:pPr>
          </w:p>
          <w:p w14:paraId="40A55946">
            <w:pPr>
              <w:spacing w:line="273" w:lineRule="auto"/>
              <w:rPr>
                <w:rFonts w:ascii="Arial"/>
                <w:sz w:val="21"/>
              </w:rPr>
            </w:pPr>
          </w:p>
          <w:p w14:paraId="3A8E64D1">
            <w:pPr>
              <w:spacing w:line="273" w:lineRule="auto"/>
              <w:rPr>
                <w:rFonts w:ascii="Arial"/>
                <w:sz w:val="21"/>
              </w:rPr>
            </w:pPr>
          </w:p>
          <w:p w14:paraId="5094B68E">
            <w:pPr>
              <w:pStyle w:val="6"/>
              <w:spacing w:before="58" w:line="219" w:lineRule="auto"/>
              <w:ind w:left="143"/>
            </w:pPr>
            <w:r>
              <w:rPr>
                <w:spacing w:val="-2"/>
              </w:rPr>
              <w:t>季报</w:t>
            </w:r>
          </w:p>
        </w:tc>
        <w:tc>
          <w:tcPr>
            <w:tcW w:w="1968" w:type="dxa"/>
            <w:vAlign w:val="top"/>
          </w:tcPr>
          <w:p w14:paraId="7147EE40">
            <w:pPr>
              <w:pStyle w:val="6"/>
              <w:spacing w:before="80" w:line="219" w:lineRule="auto"/>
              <w:ind w:left="74"/>
            </w:pPr>
            <w:r>
              <w:rPr>
                <w:spacing w:val="-1"/>
              </w:rPr>
              <w:t>辖区内年综合能源消费</w:t>
            </w:r>
          </w:p>
          <w:p w14:paraId="44294913">
            <w:pPr>
              <w:pStyle w:val="6"/>
              <w:spacing w:before="9" w:line="238" w:lineRule="auto"/>
              <w:ind w:left="14" w:firstLine="109"/>
            </w:pPr>
            <w:r>
              <w:rPr>
                <w:spacing w:val="-3"/>
              </w:rPr>
              <w:t xml:space="preserve">量1万吨标准煤及以上  </w:t>
            </w:r>
            <w:r>
              <w:rPr>
                <w:spacing w:val="-4"/>
              </w:rPr>
              <w:t>的有资质的建筑业、限额</w:t>
            </w:r>
            <w:r>
              <w:rPr>
                <w:spacing w:val="6"/>
              </w:rPr>
              <w:t xml:space="preserve"> </w:t>
            </w:r>
            <w:r>
              <w:rPr>
                <w:spacing w:val="-4"/>
              </w:rPr>
              <w:t>以上批发和零售业、限额</w:t>
            </w:r>
            <w:r>
              <w:rPr>
                <w:spacing w:val="1"/>
              </w:rPr>
              <w:t xml:space="preserve"> </w:t>
            </w:r>
            <w:r>
              <w:rPr>
                <w:spacing w:val="-4"/>
              </w:rPr>
              <w:t>以上住宿和餐饮业、有开</w:t>
            </w:r>
            <w:r>
              <w:rPr>
                <w:spacing w:val="1"/>
              </w:rPr>
              <w:t xml:space="preserve"> </w:t>
            </w:r>
            <w:r>
              <w:rPr>
                <w:spacing w:val="3"/>
              </w:rPr>
              <w:t>发经营活动的房地产开</w:t>
            </w:r>
            <w:r>
              <w:rPr>
                <w:spacing w:val="2"/>
              </w:rPr>
              <w:t xml:space="preserve">  </w:t>
            </w:r>
            <w:r>
              <w:rPr>
                <w:spacing w:val="3"/>
              </w:rPr>
              <w:t>发经营业和规模以上服</w:t>
            </w:r>
            <w:r>
              <w:rPr>
                <w:spacing w:val="2"/>
              </w:rPr>
              <w:t xml:space="preserve">  </w:t>
            </w:r>
            <w:r>
              <w:rPr>
                <w:spacing w:val="-1"/>
              </w:rPr>
              <w:t>务业法人单位</w:t>
            </w:r>
          </w:p>
        </w:tc>
        <w:tc>
          <w:tcPr>
            <w:tcW w:w="859" w:type="dxa"/>
            <w:vAlign w:val="top"/>
          </w:tcPr>
          <w:p w14:paraId="696735B2">
            <w:pPr>
              <w:spacing w:line="273" w:lineRule="auto"/>
              <w:rPr>
                <w:rFonts w:ascii="Arial"/>
                <w:sz w:val="21"/>
              </w:rPr>
            </w:pPr>
          </w:p>
          <w:p w14:paraId="1E04040C">
            <w:pPr>
              <w:spacing w:line="273" w:lineRule="auto"/>
              <w:rPr>
                <w:rFonts w:ascii="Arial"/>
                <w:sz w:val="21"/>
              </w:rPr>
            </w:pPr>
          </w:p>
          <w:p w14:paraId="746621F9">
            <w:pPr>
              <w:spacing w:line="274" w:lineRule="auto"/>
              <w:rPr>
                <w:rFonts w:ascii="Arial"/>
                <w:sz w:val="21"/>
              </w:rPr>
            </w:pPr>
          </w:p>
          <w:p w14:paraId="299F2F86">
            <w:pPr>
              <w:pStyle w:val="6"/>
              <w:spacing w:before="58" w:line="221" w:lineRule="auto"/>
              <w:ind w:left="246"/>
            </w:pPr>
            <w:r>
              <w:rPr>
                <w:spacing w:val="3"/>
              </w:rPr>
              <w:t>同上</w:t>
            </w:r>
          </w:p>
        </w:tc>
        <w:tc>
          <w:tcPr>
            <w:tcW w:w="1728" w:type="dxa"/>
            <w:vAlign w:val="top"/>
          </w:tcPr>
          <w:p w14:paraId="1927F374">
            <w:pPr>
              <w:spacing w:line="359" w:lineRule="auto"/>
              <w:rPr>
                <w:rFonts w:ascii="Arial"/>
                <w:sz w:val="21"/>
              </w:rPr>
            </w:pPr>
          </w:p>
          <w:p w14:paraId="4582BAFD">
            <w:pPr>
              <w:spacing w:line="359" w:lineRule="auto"/>
              <w:rPr>
                <w:rFonts w:ascii="Arial"/>
                <w:sz w:val="21"/>
              </w:rPr>
            </w:pPr>
          </w:p>
          <w:p w14:paraId="6A68DBC5">
            <w:pPr>
              <w:pStyle w:val="6"/>
              <w:spacing w:before="58" w:line="238" w:lineRule="auto"/>
              <w:ind w:left="67" w:right="113" w:hanging="10"/>
            </w:pPr>
            <w:r>
              <w:rPr>
                <w:spacing w:val="1"/>
              </w:rPr>
              <w:t>季后10日12:00前网</w:t>
            </w:r>
            <w:r>
              <w:rPr>
                <w:spacing w:val="4"/>
              </w:rPr>
              <w:t xml:space="preserve"> </w:t>
            </w:r>
            <w:r>
              <w:rPr>
                <w:spacing w:val="-2"/>
              </w:rPr>
              <w:t>上填报</w:t>
            </w:r>
          </w:p>
        </w:tc>
        <w:tc>
          <w:tcPr>
            <w:tcW w:w="1721" w:type="dxa"/>
            <w:vAlign w:val="top"/>
          </w:tcPr>
          <w:p w14:paraId="17C3B05D">
            <w:pPr>
              <w:spacing w:line="313" w:lineRule="auto"/>
              <w:rPr>
                <w:rFonts w:ascii="Arial"/>
                <w:sz w:val="21"/>
              </w:rPr>
            </w:pPr>
          </w:p>
          <w:p w14:paraId="2639E20C">
            <w:pPr>
              <w:spacing w:line="314" w:lineRule="auto"/>
              <w:rPr>
                <w:rFonts w:ascii="Arial"/>
                <w:sz w:val="21"/>
              </w:rPr>
            </w:pPr>
          </w:p>
          <w:p w14:paraId="634A01BB">
            <w:pPr>
              <w:pStyle w:val="6"/>
              <w:spacing w:before="58" w:line="221" w:lineRule="auto"/>
              <w:ind w:left="19" w:firstLine="105"/>
              <w:jc w:val="both"/>
            </w:pPr>
            <w:r>
              <w:rPr>
                <w:spacing w:val="-20"/>
              </w:rPr>
              <w:t>一、二季度季后11日，</w:t>
            </w:r>
            <w:r>
              <w:rPr>
                <w:spacing w:val="5"/>
              </w:rPr>
              <w:t xml:space="preserve"> </w:t>
            </w:r>
            <w:r>
              <w:rPr>
                <w:spacing w:val="-2"/>
              </w:rPr>
              <w:t>三、四季度季后14日</w:t>
            </w:r>
            <w:r>
              <w:rPr>
                <w:spacing w:val="3"/>
              </w:rPr>
              <w:t xml:space="preserve">  </w:t>
            </w:r>
            <w:r>
              <w:rPr>
                <w:spacing w:val="-6"/>
              </w:rPr>
              <w:t>12:00</w:t>
            </w:r>
          </w:p>
        </w:tc>
      </w:tr>
      <w:tr w14:paraId="67ADDE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69" w:hRule="atLeast"/>
        </w:trPr>
        <w:tc>
          <w:tcPr>
            <w:tcW w:w="814" w:type="dxa"/>
            <w:vAlign w:val="top"/>
          </w:tcPr>
          <w:p w14:paraId="077B6EA6">
            <w:pPr>
              <w:spacing w:line="345" w:lineRule="auto"/>
              <w:rPr>
                <w:rFonts w:ascii="Arial"/>
                <w:sz w:val="21"/>
              </w:rPr>
            </w:pPr>
          </w:p>
          <w:p w14:paraId="3D78DC10">
            <w:pPr>
              <w:spacing w:line="346" w:lineRule="auto"/>
              <w:rPr>
                <w:rFonts w:ascii="Arial"/>
                <w:sz w:val="21"/>
              </w:rPr>
            </w:pPr>
          </w:p>
          <w:p w14:paraId="68535BAB">
            <w:pPr>
              <w:pStyle w:val="6"/>
              <w:spacing w:before="59" w:line="221" w:lineRule="auto"/>
              <w:ind w:left="15"/>
            </w:pPr>
            <w:r>
              <w:rPr>
                <w:spacing w:val="-2"/>
              </w:rPr>
              <w:t>205-6表</w:t>
            </w:r>
          </w:p>
        </w:tc>
        <w:tc>
          <w:tcPr>
            <w:tcW w:w="1658" w:type="dxa"/>
            <w:vAlign w:val="top"/>
          </w:tcPr>
          <w:p w14:paraId="3F4CEE84">
            <w:pPr>
              <w:spacing w:line="300" w:lineRule="auto"/>
              <w:rPr>
                <w:rFonts w:ascii="Arial"/>
                <w:sz w:val="21"/>
              </w:rPr>
            </w:pPr>
          </w:p>
          <w:p w14:paraId="67F01945">
            <w:pPr>
              <w:spacing w:line="301" w:lineRule="auto"/>
              <w:rPr>
                <w:rFonts w:ascii="Arial"/>
                <w:sz w:val="21"/>
              </w:rPr>
            </w:pPr>
          </w:p>
          <w:p w14:paraId="060C9069">
            <w:pPr>
              <w:pStyle w:val="6"/>
              <w:spacing w:before="59" w:line="222" w:lineRule="auto"/>
              <w:ind w:left="30" w:hanging="9"/>
            </w:pPr>
            <w:r>
              <w:t>能源生产、销售与库</w:t>
            </w:r>
            <w:r>
              <w:rPr>
                <w:spacing w:val="5"/>
              </w:rPr>
              <w:t xml:space="preserve"> </w:t>
            </w:r>
            <w:r>
              <w:t>存</w:t>
            </w:r>
          </w:p>
        </w:tc>
        <w:tc>
          <w:tcPr>
            <w:tcW w:w="659" w:type="dxa"/>
            <w:vAlign w:val="top"/>
          </w:tcPr>
          <w:p w14:paraId="72DBA688">
            <w:pPr>
              <w:spacing w:line="345" w:lineRule="auto"/>
              <w:rPr>
                <w:rFonts w:ascii="Arial"/>
                <w:sz w:val="21"/>
              </w:rPr>
            </w:pPr>
          </w:p>
          <w:p w14:paraId="7C23231B">
            <w:pPr>
              <w:spacing w:line="345" w:lineRule="auto"/>
              <w:rPr>
                <w:rFonts w:ascii="Arial"/>
                <w:sz w:val="21"/>
              </w:rPr>
            </w:pPr>
          </w:p>
          <w:p w14:paraId="062A7481">
            <w:pPr>
              <w:pStyle w:val="6"/>
              <w:spacing w:before="59" w:line="219" w:lineRule="auto"/>
              <w:ind w:left="143"/>
            </w:pPr>
            <w:r>
              <w:rPr>
                <w:spacing w:val="-3"/>
              </w:rPr>
              <w:t>月报</w:t>
            </w:r>
          </w:p>
        </w:tc>
        <w:tc>
          <w:tcPr>
            <w:tcW w:w="1968" w:type="dxa"/>
            <w:vAlign w:val="top"/>
          </w:tcPr>
          <w:p w14:paraId="188DCFDB">
            <w:pPr>
              <w:pStyle w:val="6"/>
              <w:spacing w:before="55" w:line="235" w:lineRule="auto"/>
              <w:ind w:left="14"/>
            </w:pPr>
            <w:r>
              <w:rPr>
                <w:spacing w:val="-5"/>
              </w:rPr>
              <w:t>辖区内规模以上工业、有</w:t>
            </w:r>
            <w:r>
              <w:rPr>
                <w:spacing w:val="1"/>
              </w:rPr>
              <w:t xml:space="preserve"> </w:t>
            </w:r>
            <w:r>
              <w:rPr>
                <w:spacing w:val="-4"/>
              </w:rPr>
              <w:t>资质的建筑业、限额以上</w:t>
            </w:r>
            <w:r>
              <w:rPr>
                <w:spacing w:val="6"/>
              </w:rPr>
              <w:t xml:space="preserve"> </w:t>
            </w:r>
            <w:r>
              <w:rPr>
                <w:spacing w:val="-5"/>
              </w:rPr>
              <w:t>批发和零售业、限额以上</w:t>
            </w:r>
            <w:r>
              <w:t xml:space="preserve"> </w:t>
            </w:r>
            <w:r>
              <w:rPr>
                <w:spacing w:val="-5"/>
              </w:rPr>
              <w:t>住宿和餐饮业、有开发经</w:t>
            </w:r>
            <w:r>
              <w:t xml:space="preserve"> </w:t>
            </w:r>
            <w:r>
              <w:rPr>
                <w:spacing w:val="4"/>
              </w:rPr>
              <w:t>营活动的房地产开发经</w:t>
            </w:r>
            <w:r>
              <w:rPr>
                <w:spacing w:val="3"/>
              </w:rPr>
              <w:t xml:space="preserve">  </w:t>
            </w:r>
            <w:r>
              <w:rPr>
                <w:spacing w:val="2"/>
              </w:rPr>
              <w:t>营业和规模以上服务业</w:t>
            </w:r>
            <w:r>
              <w:rPr>
                <w:spacing w:val="3"/>
              </w:rPr>
              <w:t xml:space="preserve">  </w:t>
            </w:r>
            <w:r>
              <w:rPr>
                <w:spacing w:val="-1"/>
              </w:rPr>
              <w:t>等重点法人单位</w:t>
            </w:r>
            <w:r>
              <w:rPr>
                <w:rFonts w:hint="eastAsia"/>
                <w:spacing w:val="-2"/>
                <w:lang w:eastAsia="zh-CN"/>
              </w:rPr>
              <w:t>和规模以上工业个体经营户</w:t>
            </w:r>
          </w:p>
        </w:tc>
        <w:tc>
          <w:tcPr>
            <w:tcW w:w="859" w:type="dxa"/>
            <w:vAlign w:val="top"/>
          </w:tcPr>
          <w:p w14:paraId="3D0D2B56">
            <w:pPr>
              <w:spacing w:line="346" w:lineRule="auto"/>
              <w:rPr>
                <w:rFonts w:ascii="Arial"/>
                <w:sz w:val="21"/>
              </w:rPr>
            </w:pPr>
          </w:p>
          <w:p w14:paraId="0E780B04">
            <w:pPr>
              <w:spacing w:line="347" w:lineRule="auto"/>
              <w:rPr>
                <w:rFonts w:ascii="Arial"/>
                <w:sz w:val="21"/>
              </w:rPr>
            </w:pPr>
          </w:p>
          <w:p w14:paraId="1C7CE816">
            <w:pPr>
              <w:pStyle w:val="6"/>
              <w:spacing w:before="58" w:line="221" w:lineRule="auto"/>
              <w:ind w:left="246"/>
            </w:pPr>
            <w:r>
              <w:rPr>
                <w:spacing w:val="3"/>
              </w:rPr>
              <w:t>同上</w:t>
            </w:r>
          </w:p>
        </w:tc>
        <w:tc>
          <w:tcPr>
            <w:tcW w:w="1728" w:type="dxa"/>
            <w:vAlign w:val="top"/>
          </w:tcPr>
          <w:p w14:paraId="0CED16A2">
            <w:pPr>
              <w:pStyle w:val="6"/>
              <w:spacing w:before="227" w:line="229" w:lineRule="auto"/>
              <w:ind w:left="17" w:right="6" w:firstLine="20"/>
            </w:pPr>
            <w:r>
              <w:rPr>
                <w:spacing w:val="-3"/>
              </w:rPr>
              <w:t>2、5、6、7、8、10、</w:t>
            </w:r>
            <w:r>
              <w:rPr>
                <w:spacing w:val="2"/>
              </w:rPr>
              <w:t xml:space="preserve"> </w:t>
            </w:r>
            <w:r>
              <w:rPr>
                <w:spacing w:val="6"/>
              </w:rPr>
              <w:t xml:space="preserve">11月月后7日，3月  月后8日，4、12月  </w:t>
            </w:r>
            <w:r>
              <w:rPr>
                <w:spacing w:val="5"/>
              </w:rPr>
              <w:t>月后9日</w:t>
            </w:r>
            <w:r>
              <w:rPr>
                <w:rFonts w:hint="eastAsia"/>
                <w:spacing w:val="5"/>
                <w:lang w:val="en-US" w:eastAsia="zh-CN"/>
              </w:rPr>
              <w:t>12:00前</w:t>
            </w:r>
            <w:r>
              <w:rPr>
                <w:spacing w:val="5"/>
              </w:rPr>
              <w:t>，9月月后</w:t>
            </w:r>
            <w:r>
              <w:rPr>
                <w:rFonts w:hint="eastAsia"/>
                <w:spacing w:val="5"/>
                <w:lang w:val="en-US" w:eastAsia="zh-CN"/>
              </w:rPr>
              <w:t>11</w:t>
            </w:r>
            <w:r>
              <w:rPr>
                <w:spacing w:val="4"/>
              </w:rPr>
              <w:t>日1</w:t>
            </w:r>
            <w:r>
              <w:rPr>
                <w:rFonts w:hint="eastAsia"/>
                <w:spacing w:val="4"/>
                <w:lang w:val="en-US" w:eastAsia="zh-CN"/>
              </w:rPr>
              <w:t>8</w:t>
            </w:r>
            <w:r>
              <w:rPr>
                <w:spacing w:val="4"/>
              </w:rPr>
              <w:t>:00前网上填</w:t>
            </w:r>
            <w:r>
              <w:t>报</w:t>
            </w:r>
          </w:p>
        </w:tc>
        <w:tc>
          <w:tcPr>
            <w:tcW w:w="1721" w:type="dxa"/>
            <w:vAlign w:val="top"/>
          </w:tcPr>
          <w:p w14:paraId="2AA43D12">
            <w:pPr>
              <w:spacing w:line="253" w:lineRule="auto"/>
              <w:rPr>
                <w:rFonts w:ascii="Arial"/>
                <w:sz w:val="21"/>
              </w:rPr>
            </w:pPr>
          </w:p>
          <w:p w14:paraId="34416473">
            <w:pPr>
              <w:pStyle w:val="6"/>
              <w:spacing w:before="59" w:line="241" w:lineRule="auto"/>
              <w:ind w:left="49" w:right="95" w:hanging="30"/>
            </w:pPr>
            <w:r>
              <w:rPr>
                <w:spacing w:val="3"/>
              </w:rPr>
              <w:t>6、8、10、11月</w:t>
            </w:r>
            <w:r>
              <w:rPr>
                <w:spacing w:val="1"/>
              </w:rPr>
              <w:t>月后</w:t>
            </w:r>
            <w:r>
              <w:rPr>
                <w:rFonts w:hint="eastAsia"/>
                <w:spacing w:val="1"/>
                <w:lang w:val="en-US" w:eastAsia="zh-CN"/>
              </w:rPr>
              <w:t>9</w:t>
            </w:r>
            <w:r>
              <w:rPr>
                <w:spacing w:val="1"/>
              </w:rPr>
              <w:t>日，2、3、5</w:t>
            </w:r>
            <w:r>
              <w:rPr>
                <w:rFonts w:hint="eastAsia"/>
                <w:spacing w:val="1"/>
                <w:lang w:eastAsia="zh-CN"/>
              </w:rPr>
              <w:t>、</w:t>
            </w:r>
            <w:r>
              <w:rPr>
                <w:rFonts w:hint="eastAsia"/>
                <w:spacing w:val="1"/>
                <w:lang w:val="en-US" w:eastAsia="zh-CN"/>
              </w:rPr>
              <w:t>7</w:t>
            </w:r>
            <w:r>
              <w:t xml:space="preserve"> </w:t>
            </w:r>
            <w:r>
              <w:rPr>
                <w:spacing w:val="3"/>
              </w:rPr>
              <w:t>月月后</w:t>
            </w:r>
            <w:r>
              <w:rPr>
                <w:rFonts w:hint="eastAsia"/>
                <w:spacing w:val="3"/>
                <w:lang w:val="en-US" w:eastAsia="zh-CN"/>
              </w:rPr>
              <w:t>10</w:t>
            </w:r>
            <w:r>
              <w:rPr>
                <w:spacing w:val="3"/>
              </w:rPr>
              <w:t>日，4</w:t>
            </w:r>
            <w:r>
              <w:rPr>
                <w:spacing w:val="5"/>
              </w:rPr>
              <w:t>月月后1</w:t>
            </w:r>
            <w:r>
              <w:rPr>
                <w:rFonts w:hint="eastAsia"/>
                <w:spacing w:val="5"/>
                <w:lang w:val="en-US" w:eastAsia="zh-CN"/>
              </w:rPr>
              <w:t>1</w:t>
            </w:r>
            <w:r>
              <w:rPr>
                <w:spacing w:val="5"/>
              </w:rPr>
              <w:t>日，</w:t>
            </w:r>
            <w:r>
              <w:rPr>
                <w:rFonts w:hint="eastAsia"/>
                <w:spacing w:val="5"/>
                <w:lang w:val="en-US" w:eastAsia="zh-CN"/>
              </w:rPr>
              <w:t>12月月后12日，</w:t>
            </w:r>
            <w:r>
              <w:rPr>
                <w:spacing w:val="5"/>
              </w:rPr>
              <w:t>9月月</w:t>
            </w:r>
            <w:r>
              <w:rPr>
                <w:spacing w:val="1"/>
              </w:rPr>
              <w:t>后</w:t>
            </w:r>
            <w:r>
              <w:rPr>
                <w:rFonts w:hint="eastAsia"/>
                <w:spacing w:val="1"/>
                <w:lang w:val="en-US" w:eastAsia="zh-CN"/>
              </w:rPr>
              <w:t>13</w:t>
            </w:r>
            <w:r>
              <w:rPr>
                <w:spacing w:val="1"/>
              </w:rPr>
              <w:t>日12:00</w:t>
            </w:r>
          </w:p>
        </w:tc>
      </w:tr>
      <w:tr w14:paraId="24D9AF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68" w:hRule="atLeast"/>
        </w:trPr>
        <w:tc>
          <w:tcPr>
            <w:tcW w:w="814" w:type="dxa"/>
            <w:vAlign w:val="top"/>
          </w:tcPr>
          <w:p w14:paraId="5426BB53">
            <w:pPr>
              <w:spacing w:line="346" w:lineRule="auto"/>
              <w:rPr>
                <w:rFonts w:ascii="Arial"/>
                <w:sz w:val="21"/>
              </w:rPr>
            </w:pPr>
          </w:p>
          <w:p w14:paraId="4A864FE1">
            <w:pPr>
              <w:spacing w:line="346" w:lineRule="auto"/>
              <w:rPr>
                <w:rFonts w:ascii="Arial"/>
                <w:sz w:val="21"/>
              </w:rPr>
            </w:pPr>
          </w:p>
          <w:p w14:paraId="49A420BA">
            <w:pPr>
              <w:pStyle w:val="6"/>
              <w:spacing w:before="59" w:line="221" w:lineRule="auto"/>
              <w:ind w:left="15"/>
            </w:pPr>
            <w:r>
              <w:rPr>
                <w:spacing w:val="-2"/>
              </w:rPr>
              <w:t>205-7表</w:t>
            </w:r>
          </w:p>
        </w:tc>
        <w:tc>
          <w:tcPr>
            <w:tcW w:w="1658" w:type="dxa"/>
            <w:vAlign w:val="top"/>
          </w:tcPr>
          <w:p w14:paraId="292B77BD">
            <w:pPr>
              <w:spacing w:line="296" w:lineRule="auto"/>
              <w:rPr>
                <w:rFonts w:ascii="Arial"/>
                <w:sz w:val="21"/>
              </w:rPr>
            </w:pPr>
          </w:p>
          <w:p w14:paraId="20B5C6FF">
            <w:pPr>
              <w:spacing w:line="296" w:lineRule="auto"/>
              <w:rPr>
                <w:rFonts w:ascii="Arial"/>
                <w:sz w:val="21"/>
              </w:rPr>
            </w:pPr>
          </w:p>
          <w:p w14:paraId="610787AA">
            <w:pPr>
              <w:pStyle w:val="6"/>
              <w:spacing w:before="59" w:line="228" w:lineRule="auto"/>
              <w:ind w:left="31" w:right="173" w:hanging="10"/>
            </w:pPr>
            <w:r>
              <w:rPr>
                <w:spacing w:val="1"/>
              </w:rPr>
              <w:t>重点能源商品经销</w:t>
            </w:r>
            <w:r>
              <w:rPr>
                <w:spacing w:val="4"/>
              </w:rPr>
              <w:t xml:space="preserve"> </w:t>
            </w:r>
            <w:r>
              <w:rPr>
                <w:spacing w:val="-2"/>
              </w:rPr>
              <w:t>情况</w:t>
            </w:r>
          </w:p>
        </w:tc>
        <w:tc>
          <w:tcPr>
            <w:tcW w:w="659" w:type="dxa"/>
            <w:vAlign w:val="top"/>
          </w:tcPr>
          <w:p w14:paraId="2F70E28F">
            <w:pPr>
              <w:spacing w:line="345" w:lineRule="auto"/>
              <w:rPr>
                <w:rFonts w:ascii="Arial"/>
                <w:sz w:val="21"/>
              </w:rPr>
            </w:pPr>
          </w:p>
          <w:p w14:paraId="29EF0FFC">
            <w:pPr>
              <w:spacing w:line="346" w:lineRule="auto"/>
              <w:rPr>
                <w:rFonts w:ascii="Arial"/>
                <w:sz w:val="21"/>
              </w:rPr>
            </w:pPr>
          </w:p>
          <w:p w14:paraId="643172EE">
            <w:pPr>
              <w:pStyle w:val="6"/>
              <w:spacing w:before="59" w:line="219" w:lineRule="auto"/>
              <w:ind w:left="143"/>
            </w:pPr>
            <w:r>
              <w:rPr>
                <w:spacing w:val="-3"/>
              </w:rPr>
              <w:t>月报</w:t>
            </w:r>
          </w:p>
        </w:tc>
        <w:tc>
          <w:tcPr>
            <w:tcW w:w="1968" w:type="dxa"/>
            <w:vAlign w:val="top"/>
          </w:tcPr>
          <w:p w14:paraId="659EE2E6">
            <w:pPr>
              <w:pStyle w:val="6"/>
              <w:spacing w:before="60" w:line="234" w:lineRule="auto"/>
              <w:ind w:left="14"/>
              <w:jc w:val="both"/>
            </w:pPr>
            <w:r>
              <w:rPr>
                <w:spacing w:val="-4"/>
              </w:rPr>
              <w:t>辖区内有资质的建筑业、</w:t>
            </w:r>
            <w:r>
              <w:rPr>
                <w:spacing w:val="6"/>
              </w:rPr>
              <w:t xml:space="preserve"> </w:t>
            </w:r>
            <w:r>
              <w:rPr>
                <w:spacing w:val="-4"/>
              </w:rPr>
              <w:t>限额以上批发和零售业、</w:t>
            </w:r>
            <w:r>
              <w:rPr>
                <w:spacing w:val="6"/>
              </w:rPr>
              <w:t xml:space="preserve"> </w:t>
            </w:r>
            <w:r>
              <w:rPr>
                <w:spacing w:val="-4"/>
              </w:rPr>
              <w:t>限额以上住宿和餐饮业、</w:t>
            </w:r>
            <w:r>
              <w:rPr>
                <w:spacing w:val="6"/>
              </w:rPr>
              <w:t xml:space="preserve"> </w:t>
            </w:r>
            <w:r>
              <w:rPr>
                <w:spacing w:val="-3"/>
              </w:rPr>
              <w:t>有开发经营活动的房地</w:t>
            </w:r>
            <w:r>
              <w:t xml:space="preserve">   </w:t>
            </w:r>
            <w:r>
              <w:rPr>
                <w:spacing w:val="-2"/>
              </w:rPr>
              <w:t xml:space="preserve">产开发经营业和规模以  </w:t>
            </w:r>
            <w:r>
              <w:rPr>
                <w:spacing w:val="-3"/>
              </w:rPr>
              <w:t>上服务业等重点法人单</w:t>
            </w:r>
            <w:r>
              <w:t xml:space="preserve">   位</w:t>
            </w:r>
          </w:p>
        </w:tc>
        <w:tc>
          <w:tcPr>
            <w:tcW w:w="859" w:type="dxa"/>
            <w:vAlign w:val="top"/>
          </w:tcPr>
          <w:p w14:paraId="0EAA9210">
            <w:pPr>
              <w:spacing w:line="347" w:lineRule="auto"/>
              <w:rPr>
                <w:rFonts w:ascii="Arial"/>
                <w:sz w:val="21"/>
              </w:rPr>
            </w:pPr>
          </w:p>
          <w:p w14:paraId="4B853D59">
            <w:pPr>
              <w:spacing w:line="347" w:lineRule="auto"/>
              <w:rPr>
                <w:rFonts w:ascii="Arial"/>
                <w:sz w:val="21"/>
              </w:rPr>
            </w:pPr>
          </w:p>
          <w:p w14:paraId="6603DCAA">
            <w:pPr>
              <w:pStyle w:val="6"/>
              <w:spacing w:before="58" w:line="221" w:lineRule="auto"/>
              <w:ind w:left="246"/>
            </w:pPr>
            <w:r>
              <w:rPr>
                <w:spacing w:val="3"/>
              </w:rPr>
              <w:t>同上</w:t>
            </w:r>
          </w:p>
        </w:tc>
        <w:tc>
          <w:tcPr>
            <w:tcW w:w="1728" w:type="dxa"/>
            <w:vAlign w:val="top"/>
          </w:tcPr>
          <w:p w14:paraId="6270839B">
            <w:pPr>
              <w:spacing w:line="347" w:lineRule="auto"/>
              <w:rPr>
                <w:rFonts w:ascii="Arial"/>
                <w:sz w:val="21"/>
              </w:rPr>
            </w:pPr>
          </w:p>
          <w:p w14:paraId="568E7D4F">
            <w:pPr>
              <w:spacing w:line="347" w:lineRule="auto"/>
              <w:rPr>
                <w:rFonts w:ascii="Arial"/>
                <w:sz w:val="21"/>
              </w:rPr>
            </w:pPr>
          </w:p>
          <w:p w14:paraId="2F240D5E">
            <w:pPr>
              <w:pStyle w:val="6"/>
              <w:spacing w:before="58" w:line="221" w:lineRule="auto"/>
              <w:ind w:left="697"/>
            </w:pPr>
            <w:r>
              <w:rPr>
                <w:spacing w:val="3"/>
              </w:rPr>
              <w:t>同上</w:t>
            </w:r>
          </w:p>
        </w:tc>
        <w:tc>
          <w:tcPr>
            <w:tcW w:w="1721" w:type="dxa"/>
            <w:vAlign w:val="top"/>
          </w:tcPr>
          <w:p w14:paraId="7451F54D">
            <w:pPr>
              <w:spacing w:line="347" w:lineRule="auto"/>
              <w:rPr>
                <w:rFonts w:ascii="Arial"/>
                <w:sz w:val="21"/>
              </w:rPr>
            </w:pPr>
          </w:p>
          <w:p w14:paraId="632387CB">
            <w:pPr>
              <w:spacing w:line="347" w:lineRule="auto"/>
              <w:rPr>
                <w:rFonts w:ascii="Arial"/>
                <w:sz w:val="21"/>
              </w:rPr>
            </w:pPr>
          </w:p>
          <w:p w14:paraId="76EB36CE">
            <w:pPr>
              <w:pStyle w:val="6"/>
              <w:spacing w:before="58" w:line="221" w:lineRule="auto"/>
              <w:ind w:left="688"/>
            </w:pPr>
            <w:r>
              <w:rPr>
                <w:spacing w:val="3"/>
              </w:rPr>
              <w:t>同上</w:t>
            </w:r>
          </w:p>
        </w:tc>
      </w:tr>
      <w:tr w14:paraId="5D437E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4" w:hRule="atLeast"/>
        </w:trPr>
        <w:tc>
          <w:tcPr>
            <w:tcW w:w="814" w:type="dxa"/>
            <w:vAlign w:val="top"/>
          </w:tcPr>
          <w:p w14:paraId="203B626E">
            <w:pPr>
              <w:spacing w:line="352" w:lineRule="auto"/>
              <w:rPr>
                <w:rFonts w:ascii="Arial"/>
                <w:sz w:val="21"/>
              </w:rPr>
            </w:pPr>
          </w:p>
          <w:p w14:paraId="4D8899F3">
            <w:pPr>
              <w:spacing w:line="352" w:lineRule="auto"/>
              <w:rPr>
                <w:rFonts w:ascii="Arial"/>
                <w:sz w:val="21"/>
              </w:rPr>
            </w:pPr>
          </w:p>
          <w:p w14:paraId="01112875">
            <w:pPr>
              <w:pStyle w:val="6"/>
              <w:spacing w:before="59" w:line="221" w:lineRule="auto"/>
              <w:ind w:left="15"/>
            </w:pPr>
            <w:r>
              <w:rPr>
                <w:spacing w:val="-1"/>
              </w:rPr>
              <w:t>P206表</w:t>
            </w:r>
          </w:p>
        </w:tc>
        <w:tc>
          <w:tcPr>
            <w:tcW w:w="1658" w:type="dxa"/>
            <w:vAlign w:val="top"/>
          </w:tcPr>
          <w:p w14:paraId="0909D5CB">
            <w:pPr>
              <w:spacing w:line="302" w:lineRule="auto"/>
              <w:rPr>
                <w:rFonts w:ascii="Arial"/>
                <w:sz w:val="21"/>
              </w:rPr>
            </w:pPr>
          </w:p>
          <w:p w14:paraId="51982740">
            <w:pPr>
              <w:spacing w:line="303" w:lineRule="auto"/>
              <w:rPr>
                <w:rFonts w:ascii="Arial"/>
                <w:sz w:val="21"/>
              </w:rPr>
            </w:pPr>
          </w:p>
          <w:p w14:paraId="0A0065BF">
            <w:pPr>
              <w:pStyle w:val="6"/>
              <w:spacing w:before="59" w:line="237" w:lineRule="auto"/>
              <w:ind w:left="31" w:right="159" w:firstLine="10"/>
            </w:pPr>
            <w:r>
              <w:t>四下企业主要能源</w:t>
            </w:r>
            <w:r>
              <w:rPr>
                <w:spacing w:val="6"/>
              </w:rPr>
              <w:t xml:space="preserve"> </w:t>
            </w:r>
            <w:r>
              <w:rPr>
                <w:spacing w:val="-2"/>
              </w:rPr>
              <w:t>产品产量</w:t>
            </w:r>
          </w:p>
        </w:tc>
        <w:tc>
          <w:tcPr>
            <w:tcW w:w="659" w:type="dxa"/>
            <w:vAlign w:val="top"/>
          </w:tcPr>
          <w:p w14:paraId="1897A340">
            <w:pPr>
              <w:spacing w:line="351" w:lineRule="auto"/>
              <w:rPr>
                <w:rFonts w:ascii="Arial"/>
                <w:sz w:val="21"/>
              </w:rPr>
            </w:pPr>
          </w:p>
          <w:p w14:paraId="115C1399">
            <w:pPr>
              <w:spacing w:line="352" w:lineRule="auto"/>
              <w:rPr>
                <w:rFonts w:ascii="Arial"/>
                <w:sz w:val="21"/>
              </w:rPr>
            </w:pPr>
          </w:p>
          <w:p w14:paraId="375407CE">
            <w:pPr>
              <w:pStyle w:val="6"/>
              <w:spacing w:before="59" w:line="219" w:lineRule="auto"/>
              <w:ind w:left="53"/>
            </w:pPr>
            <w:r>
              <w:rPr>
                <w:spacing w:val="-3"/>
              </w:rPr>
              <w:t>半年报</w:t>
            </w:r>
          </w:p>
        </w:tc>
        <w:tc>
          <w:tcPr>
            <w:tcW w:w="1968" w:type="dxa"/>
            <w:vAlign w:val="top"/>
          </w:tcPr>
          <w:p w14:paraId="287F105F">
            <w:pPr>
              <w:pStyle w:val="6"/>
              <w:spacing w:before="66" w:line="237" w:lineRule="auto"/>
              <w:ind w:left="14"/>
            </w:pPr>
            <w:r>
              <w:rPr>
                <w:spacing w:val="-4"/>
              </w:rPr>
              <w:t>辖区内有原煤、天然气和</w:t>
            </w:r>
            <w:r>
              <w:rPr>
                <w:spacing w:val="6"/>
              </w:rPr>
              <w:t xml:space="preserve"> </w:t>
            </w:r>
            <w:r>
              <w:rPr>
                <w:spacing w:val="2"/>
              </w:rPr>
              <w:t>火电生产的规模以下工</w:t>
            </w:r>
            <w:r>
              <w:rPr>
                <w:spacing w:val="1"/>
              </w:rPr>
              <w:t xml:space="preserve">  </w:t>
            </w:r>
            <w:r>
              <w:rPr>
                <w:spacing w:val="-6"/>
              </w:rPr>
              <w:t>业、资质外的建筑业、限</w:t>
            </w:r>
            <w:r>
              <w:rPr>
                <w:spacing w:val="5"/>
              </w:rPr>
              <w:t xml:space="preserve"> </w:t>
            </w:r>
            <w:r>
              <w:rPr>
                <w:spacing w:val="-6"/>
              </w:rPr>
              <w:t>额以下批发和零售业、限</w:t>
            </w:r>
            <w:r>
              <w:rPr>
                <w:spacing w:val="5"/>
              </w:rPr>
              <w:t xml:space="preserve"> </w:t>
            </w:r>
            <w:r>
              <w:rPr>
                <w:spacing w:val="4"/>
              </w:rPr>
              <w:t>额以下住宿和餐饮业和</w:t>
            </w:r>
            <w:r>
              <w:rPr>
                <w:spacing w:val="2"/>
              </w:rPr>
              <w:t xml:space="preserve">  </w:t>
            </w:r>
            <w:r>
              <w:rPr>
                <w:spacing w:val="4"/>
              </w:rPr>
              <w:t>规模以下服务业等重点</w:t>
            </w:r>
            <w:r>
              <w:rPr>
                <w:spacing w:val="3"/>
              </w:rPr>
              <w:t xml:space="preserve">  </w:t>
            </w:r>
            <w:r>
              <w:rPr>
                <w:spacing w:val="-2"/>
              </w:rPr>
              <w:t>法人单位</w:t>
            </w:r>
          </w:p>
        </w:tc>
        <w:tc>
          <w:tcPr>
            <w:tcW w:w="859" w:type="dxa"/>
            <w:vAlign w:val="top"/>
          </w:tcPr>
          <w:p w14:paraId="7B12EEB4">
            <w:pPr>
              <w:spacing w:line="353" w:lineRule="auto"/>
              <w:rPr>
                <w:rFonts w:ascii="Arial"/>
                <w:sz w:val="21"/>
              </w:rPr>
            </w:pPr>
          </w:p>
          <w:p w14:paraId="0D62DA0C">
            <w:pPr>
              <w:spacing w:line="353" w:lineRule="auto"/>
              <w:rPr>
                <w:rFonts w:ascii="Arial"/>
                <w:sz w:val="21"/>
              </w:rPr>
            </w:pPr>
          </w:p>
          <w:p w14:paraId="3F15F6C4">
            <w:pPr>
              <w:pStyle w:val="6"/>
              <w:spacing w:before="58" w:line="221" w:lineRule="auto"/>
              <w:ind w:left="246"/>
            </w:pPr>
            <w:r>
              <w:rPr>
                <w:spacing w:val="3"/>
              </w:rPr>
              <w:t>同上</w:t>
            </w:r>
          </w:p>
        </w:tc>
        <w:tc>
          <w:tcPr>
            <w:tcW w:w="1728" w:type="dxa"/>
            <w:vAlign w:val="top"/>
          </w:tcPr>
          <w:p w14:paraId="759A5C59">
            <w:pPr>
              <w:spacing w:line="242" w:lineRule="auto"/>
              <w:rPr>
                <w:rFonts w:ascii="Arial"/>
                <w:sz w:val="21"/>
              </w:rPr>
            </w:pPr>
          </w:p>
          <w:p w14:paraId="1F3DE693">
            <w:pPr>
              <w:spacing w:line="242" w:lineRule="auto"/>
              <w:rPr>
                <w:rFonts w:ascii="Arial"/>
                <w:sz w:val="21"/>
              </w:rPr>
            </w:pPr>
          </w:p>
          <w:p w14:paraId="048F440A">
            <w:pPr>
              <w:pStyle w:val="6"/>
              <w:spacing w:before="58" w:line="238" w:lineRule="auto"/>
              <w:ind w:left="37" w:right="29" w:firstLine="40"/>
            </w:pPr>
            <w:r>
              <w:rPr>
                <w:spacing w:val="-1"/>
              </w:rPr>
              <w:t>上半年免报，下半年</w:t>
            </w:r>
            <w:r>
              <w:t xml:space="preserve"> 次年1月12日12:00</w:t>
            </w:r>
          </w:p>
          <w:p w14:paraId="35E0AC02">
            <w:pPr>
              <w:pStyle w:val="6"/>
              <w:spacing w:before="26" w:line="219" w:lineRule="auto"/>
              <w:ind w:left="57"/>
            </w:pPr>
            <w:r>
              <w:rPr>
                <w:spacing w:val="-2"/>
              </w:rPr>
              <w:t>前网上填报</w:t>
            </w:r>
          </w:p>
        </w:tc>
        <w:tc>
          <w:tcPr>
            <w:tcW w:w="1721" w:type="dxa"/>
            <w:vAlign w:val="top"/>
          </w:tcPr>
          <w:p w14:paraId="4C132EF5">
            <w:pPr>
              <w:rPr>
                <w:rFonts w:ascii="Arial"/>
                <w:sz w:val="21"/>
              </w:rPr>
            </w:pPr>
          </w:p>
        </w:tc>
      </w:tr>
    </w:tbl>
    <w:p w14:paraId="5590A505">
      <w:pPr>
        <w:pStyle w:val="2"/>
      </w:pPr>
    </w:p>
    <w:p w14:paraId="3DA56D34">
      <w:pPr>
        <w:sectPr>
          <w:headerReference r:id="rId7" w:type="default"/>
          <w:pgSz w:w="11910" w:h="16840"/>
          <w:pgMar w:top="1109" w:right="1247" w:bottom="0" w:left="1239" w:header="877" w:footer="0" w:gutter="0"/>
          <w:cols w:space="720" w:num="1"/>
        </w:sectPr>
      </w:pPr>
    </w:p>
    <w:p w14:paraId="5360DAF5">
      <w:pPr>
        <w:spacing w:before="57"/>
      </w:pPr>
    </w:p>
    <w:p w14:paraId="5E2B0DEC">
      <w:pPr>
        <w:spacing w:before="57"/>
      </w:pPr>
    </w:p>
    <w:tbl>
      <w:tblPr>
        <w:tblStyle w:val="5"/>
        <w:tblW w:w="949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9"/>
        <w:gridCol w:w="1510"/>
        <w:gridCol w:w="690"/>
        <w:gridCol w:w="2640"/>
        <w:gridCol w:w="1860"/>
        <w:gridCol w:w="1890"/>
      </w:tblGrid>
      <w:tr w14:paraId="5F702F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909" w:type="dxa"/>
            <w:tcBorders>
              <w:left w:val="nil"/>
            </w:tcBorders>
            <w:vAlign w:val="top"/>
          </w:tcPr>
          <w:p w14:paraId="74900E77">
            <w:pPr>
              <w:pStyle w:val="6"/>
              <w:spacing w:before="263" w:line="221" w:lineRule="auto"/>
              <w:ind w:left="269"/>
            </w:pPr>
            <w:r>
              <w:rPr>
                <w:spacing w:val="-2"/>
              </w:rPr>
              <w:t>表号</w:t>
            </w:r>
          </w:p>
        </w:tc>
        <w:tc>
          <w:tcPr>
            <w:tcW w:w="1510" w:type="dxa"/>
            <w:vAlign w:val="top"/>
          </w:tcPr>
          <w:p w14:paraId="7A59AD80">
            <w:pPr>
              <w:pStyle w:val="6"/>
              <w:spacing w:before="263" w:line="221" w:lineRule="auto"/>
              <w:ind w:left="565"/>
            </w:pPr>
            <w:r>
              <w:rPr>
                <w:spacing w:val="11"/>
              </w:rPr>
              <w:t>表名</w:t>
            </w:r>
          </w:p>
        </w:tc>
        <w:tc>
          <w:tcPr>
            <w:tcW w:w="690" w:type="dxa"/>
            <w:vAlign w:val="top"/>
          </w:tcPr>
          <w:p w14:paraId="5190B62A">
            <w:pPr>
              <w:pStyle w:val="6"/>
              <w:spacing w:before="151" w:line="217" w:lineRule="auto"/>
              <w:ind w:left="155"/>
            </w:pPr>
            <w:r>
              <w:rPr>
                <w:spacing w:val="-2"/>
              </w:rPr>
              <w:t>报告</w:t>
            </w:r>
          </w:p>
          <w:p w14:paraId="542B0892">
            <w:pPr>
              <w:pStyle w:val="6"/>
              <w:spacing w:line="220" w:lineRule="auto"/>
              <w:ind w:left="155"/>
            </w:pPr>
            <w:r>
              <w:rPr>
                <w:spacing w:val="7"/>
              </w:rPr>
              <w:t>期别</w:t>
            </w:r>
          </w:p>
        </w:tc>
        <w:tc>
          <w:tcPr>
            <w:tcW w:w="2640" w:type="dxa"/>
            <w:vAlign w:val="top"/>
          </w:tcPr>
          <w:p w14:paraId="17AEA093">
            <w:pPr>
              <w:pStyle w:val="6"/>
              <w:spacing w:before="263" w:line="220" w:lineRule="auto"/>
              <w:ind w:left="965"/>
            </w:pPr>
            <w:r>
              <w:rPr>
                <w:spacing w:val="4"/>
              </w:rPr>
              <w:t>统计范围</w:t>
            </w:r>
          </w:p>
        </w:tc>
        <w:tc>
          <w:tcPr>
            <w:tcW w:w="1860" w:type="dxa"/>
            <w:vAlign w:val="top"/>
          </w:tcPr>
          <w:p w14:paraId="656B2A79">
            <w:pPr>
              <w:pStyle w:val="6"/>
              <w:spacing w:before="262" w:line="219" w:lineRule="auto"/>
              <w:ind w:left="585"/>
            </w:pPr>
            <w:r>
              <w:rPr>
                <w:spacing w:val="-2"/>
              </w:rPr>
              <w:t>报送单位</w:t>
            </w:r>
          </w:p>
        </w:tc>
        <w:tc>
          <w:tcPr>
            <w:tcW w:w="1890" w:type="dxa"/>
            <w:tcBorders>
              <w:right w:val="nil"/>
            </w:tcBorders>
            <w:vAlign w:val="top"/>
          </w:tcPr>
          <w:p w14:paraId="4E209909">
            <w:pPr>
              <w:pStyle w:val="6"/>
              <w:spacing w:before="171" w:line="207" w:lineRule="auto"/>
              <w:ind w:left="575"/>
            </w:pPr>
            <w:r>
              <w:rPr>
                <w:spacing w:val="4"/>
              </w:rPr>
              <w:t>报送时间</w:t>
            </w:r>
          </w:p>
          <w:p w14:paraId="1816B167">
            <w:pPr>
              <w:pStyle w:val="6"/>
              <w:spacing w:line="220" w:lineRule="auto"/>
              <w:ind w:left="575"/>
            </w:pPr>
            <w:r>
              <w:rPr>
                <w:spacing w:val="-5"/>
              </w:rPr>
              <w:t>及</w:t>
            </w:r>
            <w:r>
              <w:rPr>
                <w:spacing w:val="14"/>
              </w:rPr>
              <w:t xml:space="preserve"> </w:t>
            </w:r>
            <w:r>
              <w:rPr>
                <w:spacing w:val="-5"/>
              </w:rPr>
              <w:t>方</w:t>
            </w:r>
            <w:r>
              <w:rPr>
                <w:spacing w:val="17"/>
              </w:rPr>
              <w:t xml:space="preserve"> </w:t>
            </w:r>
            <w:r>
              <w:rPr>
                <w:spacing w:val="-5"/>
              </w:rPr>
              <w:t>式</w:t>
            </w:r>
          </w:p>
        </w:tc>
      </w:tr>
    </w:tbl>
    <w:p w14:paraId="1E86D3AB">
      <w:pPr>
        <w:spacing w:before="172" w:line="219" w:lineRule="auto"/>
        <w:ind w:left="134"/>
        <w:rPr>
          <w:rFonts w:ascii="宋体" w:hAnsi="宋体" w:eastAsia="宋体" w:cs="宋体"/>
          <w:sz w:val="18"/>
          <w:szCs w:val="18"/>
        </w:rPr>
      </w:pPr>
      <w:r>
        <w:rPr>
          <w:rFonts w:ascii="宋体" w:hAnsi="宋体" w:eastAsia="宋体" w:cs="宋体"/>
          <w:sz w:val="18"/>
          <w:szCs w:val="18"/>
        </w:rPr>
        <w:t>(二)综合年报表式</w:t>
      </w:r>
    </w:p>
    <w:p w14:paraId="22C7DB6D">
      <w:pPr>
        <w:spacing w:line="103" w:lineRule="exact"/>
      </w:pPr>
    </w:p>
    <w:tbl>
      <w:tblPr>
        <w:tblStyle w:val="5"/>
        <w:tblW w:w="949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9"/>
        <w:gridCol w:w="1510"/>
        <w:gridCol w:w="690"/>
        <w:gridCol w:w="2640"/>
        <w:gridCol w:w="1860"/>
        <w:gridCol w:w="1890"/>
      </w:tblGrid>
      <w:tr w14:paraId="46BEE4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909" w:type="dxa"/>
            <w:tcBorders>
              <w:left w:val="nil"/>
            </w:tcBorders>
            <w:vAlign w:val="top"/>
          </w:tcPr>
          <w:p w14:paraId="23E2B3AC">
            <w:pPr>
              <w:pStyle w:val="6"/>
              <w:spacing w:before="183" w:line="221" w:lineRule="auto"/>
              <w:ind w:left="19"/>
            </w:pPr>
            <w:r>
              <w:rPr>
                <w:spacing w:val="-1"/>
              </w:rPr>
              <w:t>P303-1表</w:t>
            </w:r>
          </w:p>
        </w:tc>
        <w:tc>
          <w:tcPr>
            <w:tcW w:w="1510" w:type="dxa"/>
            <w:vAlign w:val="top"/>
          </w:tcPr>
          <w:p w14:paraId="5A8428DA">
            <w:pPr>
              <w:pStyle w:val="6"/>
              <w:spacing w:before="83" w:line="224" w:lineRule="auto"/>
              <w:ind w:left="35" w:right="104"/>
            </w:pPr>
            <w:r>
              <w:rPr>
                <w:spacing w:val="1"/>
              </w:rPr>
              <w:t>能源平衡表(实物</w:t>
            </w:r>
            <w:r>
              <w:t xml:space="preserve"> </w:t>
            </w:r>
            <w:r>
              <w:rPr>
                <w:spacing w:val="-4"/>
              </w:rPr>
              <w:t>量</w:t>
            </w:r>
            <w:r>
              <w:rPr>
                <w:spacing w:val="-36"/>
              </w:rPr>
              <w:t xml:space="preserve"> </w:t>
            </w:r>
            <w:r>
              <w:rPr>
                <w:spacing w:val="-4"/>
              </w:rPr>
              <w:t>)</w:t>
            </w:r>
          </w:p>
        </w:tc>
        <w:tc>
          <w:tcPr>
            <w:tcW w:w="690" w:type="dxa"/>
            <w:vAlign w:val="top"/>
          </w:tcPr>
          <w:p w14:paraId="7206525F">
            <w:pPr>
              <w:pStyle w:val="6"/>
              <w:spacing w:before="182" w:line="219" w:lineRule="auto"/>
              <w:ind w:left="155"/>
            </w:pPr>
            <w:r>
              <w:rPr>
                <w:spacing w:val="-2"/>
              </w:rPr>
              <w:t>年报</w:t>
            </w:r>
          </w:p>
        </w:tc>
        <w:tc>
          <w:tcPr>
            <w:tcW w:w="2640" w:type="dxa"/>
            <w:vAlign w:val="top"/>
          </w:tcPr>
          <w:p w14:paraId="2D874DF1">
            <w:pPr>
              <w:pStyle w:val="6"/>
              <w:spacing w:before="90" w:line="220" w:lineRule="auto"/>
              <w:ind w:left="25" w:right="60" w:firstLine="30"/>
            </w:pPr>
            <w:r>
              <w:rPr>
                <w:spacing w:val="-1"/>
              </w:rPr>
              <w:t>辖区内除军队系统以外的全部能</w:t>
            </w:r>
            <w:r>
              <w:rPr>
                <w:spacing w:val="6"/>
              </w:rPr>
              <w:t xml:space="preserve"> </w:t>
            </w:r>
            <w:r>
              <w:rPr>
                <w:spacing w:val="-1"/>
              </w:rPr>
              <w:t>源生产和消费活动</w:t>
            </w:r>
          </w:p>
        </w:tc>
        <w:tc>
          <w:tcPr>
            <w:tcW w:w="1860" w:type="dxa"/>
            <w:vAlign w:val="top"/>
          </w:tcPr>
          <w:p w14:paraId="381AD9D1">
            <w:pPr>
              <w:pStyle w:val="6"/>
              <w:spacing w:before="92" w:line="219" w:lineRule="auto"/>
              <w:ind w:left="45" w:right="13"/>
            </w:pPr>
            <w:r>
              <w:rPr>
                <w:spacing w:val="-1"/>
              </w:rPr>
              <w:t>各设区市和平潭综合实</w:t>
            </w:r>
            <w:r>
              <w:t xml:space="preserve"> </w:t>
            </w:r>
            <w:r>
              <w:rPr>
                <w:spacing w:val="3"/>
              </w:rPr>
              <w:t>验区统计局</w:t>
            </w:r>
          </w:p>
        </w:tc>
        <w:tc>
          <w:tcPr>
            <w:tcW w:w="1890" w:type="dxa"/>
            <w:tcBorders>
              <w:right w:val="nil"/>
            </w:tcBorders>
            <w:vAlign w:val="top"/>
          </w:tcPr>
          <w:p w14:paraId="09AF4A7F">
            <w:pPr>
              <w:pStyle w:val="6"/>
              <w:spacing w:before="81" w:line="225" w:lineRule="auto"/>
              <w:ind w:left="35" w:right="80" w:firstLine="50"/>
            </w:pPr>
            <w:r>
              <w:t>次年5月19日前；电子</w:t>
            </w:r>
            <w:r>
              <w:rPr>
                <w:spacing w:val="7"/>
              </w:rPr>
              <w:t xml:space="preserve"> </w:t>
            </w:r>
            <w:r>
              <w:rPr>
                <w:spacing w:val="3"/>
              </w:rPr>
              <w:t>邮件</w:t>
            </w:r>
          </w:p>
        </w:tc>
      </w:tr>
      <w:tr w14:paraId="422396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909" w:type="dxa"/>
            <w:tcBorders>
              <w:left w:val="nil"/>
            </w:tcBorders>
            <w:vAlign w:val="top"/>
          </w:tcPr>
          <w:p w14:paraId="1FCE4865">
            <w:pPr>
              <w:pStyle w:val="6"/>
              <w:spacing w:before="163" w:line="221" w:lineRule="auto"/>
              <w:ind w:left="19"/>
            </w:pPr>
            <w:r>
              <w:rPr>
                <w:spacing w:val="-1"/>
              </w:rPr>
              <w:t>P303-4表</w:t>
            </w:r>
          </w:p>
        </w:tc>
        <w:tc>
          <w:tcPr>
            <w:tcW w:w="1510" w:type="dxa"/>
            <w:vAlign w:val="top"/>
          </w:tcPr>
          <w:p w14:paraId="2A9754F6">
            <w:pPr>
              <w:pStyle w:val="6"/>
              <w:spacing w:before="92" w:line="204" w:lineRule="auto"/>
              <w:ind w:left="35" w:right="105"/>
            </w:pPr>
            <w:r>
              <w:rPr>
                <w:spacing w:val="1"/>
              </w:rPr>
              <w:t>能源平衡表(标准</w:t>
            </w:r>
            <w:r>
              <w:t xml:space="preserve"> </w:t>
            </w:r>
            <w:r>
              <w:rPr>
                <w:spacing w:val="-4"/>
              </w:rPr>
              <w:t>量</w:t>
            </w:r>
            <w:r>
              <w:rPr>
                <w:spacing w:val="-36"/>
              </w:rPr>
              <w:t xml:space="preserve"> </w:t>
            </w:r>
            <w:r>
              <w:rPr>
                <w:spacing w:val="-4"/>
              </w:rPr>
              <w:t>)</w:t>
            </w:r>
          </w:p>
        </w:tc>
        <w:tc>
          <w:tcPr>
            <w:tcW w:w="690" w:type="dxa"/>
            <w:vAlign w:val="top"/>
          </w:tcPr>
          <w:p w14:paraId="53DAD745">
            <w:pPr>
              <w:pStyle w:val="6"/>
              <w:spacing w:before="162" w:line="219" w:lineRule="auto"/>
              <w:ind w:left="155"/>
            </w:pPr>
            <w:r>
              <w:rPr>
                <w:spacing w:val="-2"/>
              </w:rPr>
              <w:t>年报</w:t>
            </w:r>
          </w:p>
        </w:tc>
        <w:tc>
          <w:tcPr>
            <w:tcW w:w="2640" w:type="dxa"/>
            <w:vAlign w:val="top"/>
          </w:tcPr>
          <w:p w14:paraId="409A7E02">
            <w:pPr>
              <w:pStyle w:val="6"/>
              <w:spacing w:before="164" w:line="221" w:lineRule="auto"/>
              <w:ind w:left="1135"/>
            </w:pPr>
            <w:r>
              <w:rPr>
                <w:spacing w:val="3"/>
              </w:rPr>
              <w:t>同上</w:t>
            </w:r>
          </w:p>
        </w:tc>
        <w:tc>
          <w:tcPr>
            <w:tcW w:w="1860" w:type="dxa"/>
            <w:vAlign w:val="top"/>
          </w:tcPr>
          <w:p w14:paraId="4FF72BEE">
            <w:pPr>
              <w:pStyle w:val="6"/>
              <w:spacing w:before="164" w:line="221" w:lineRule="auto"/>
              <w:ind w:left="785"/>
            </w:pPr>
            <w:r>
              <w:rPr>
                <w:spacing w:val="3"/>
              </w:rPr>
              <w:t>同上</w:t>
            </w:r>
          </w:p>
        </w:tc>
        <w:tc>
          <w:tcPr>
            <w:tcW w:w="1890" w:type="dxa"/>
            <w:tcBorders>
              <w:right w:val="nil"/>
            </w:tcBorders>
            <w:vAlign w:val="top"/>
          </w:tcPr>
          <w:p w14:paraId="2F991E87">
            <w:pPr>
              <w:pStyle w:val="6"/>
              <w:spacing w:before="164" w:line="221" w:lineRule="auto"/>
              <w:ind w:left="755"/>
            </w:pPr>
            <w:r>
              <w:rPr>
                <w:spacing w:val="3"/>
              </w:rPr>
              <w:t>同上</w:t>
            </w:r>
          </w:p>
        </w:tc>
      </w:tr>
    </w:tbl>
    <w:p w14:paraId="52894923">
      <w:pPr>
        <w:spacing w:before="172" w:line="219" w:lineRule="auto"/>
        <w:ind w:left="134"/>
        <w:rPr>
          <w:rFonts w:ascii="宋体" w:hAnsi="宋体" w:eastAsia="宋体" w:cs="宋体"/>
          <w:sz w:val="18"/>
          <w:szCs w:val="18"/>
        </w:rPr>
      </w:pPr>
      <w:r>
        <w:rPr>
          <w:rFonts w:ascii="宋体" w:hAnsi="宋体" w:eastAsia="宋体" w:cs="宋体"/>
          <w:sz w:val="18"/>
          <w:szCs w:val="18"/>
        </w:rPr>
        <w:t>(三)综合定报表式</w:t>
      </w:r>
    </w:p>
    <w:p w14:paraId="6AACF6AD">
      <w:pPr>
        <w:spacing w:line="104" w:lineRule="exact"/>
      </w:pPr>
    </w:p>
    <w:tbl>
      <w:tblPr>
        <w:tblStyle w:val="5"/>
        <w:tblW w:w="948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4"/>
        <w:gridCol w:w="1508"/>
        <w:gridCol w:w="689"/>
        <w:gridCol w:w="2637"/>
        <w:gridCol w:w="1858"/>
        <w:gridCol w:w="1883"/>
      </w:tblGrid>
      <w:tr w14:paraId="3C62C9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1" w:hRule="atLeast"/>
        </w:trPr>
        <w:tc>
          <w:tcPr>
            <w:tcW w:w="914" w:type="dxa"/>
            <w:vAlign w:val="top"/>
          </w:tcPr>
          <w:p w14:paraId="690FD653">
            <w:pPr>
              <w:pStyle w:val="6"/>
              <w:spacing w:before="273" w:line="221" w:lineRule="auto"/>
              <w:ind w:left="14"/>
            </w:pPr>
            <w:r>
              <w:rPr>
                <w:spacing w:val="-1"/>
              </w:rPr>
              <w:t>P406表</w:t>
            </w:r>
          </w:p>
        </w:tc>
        <w:tc>
          <w:tcPr>
            <w:tcW w:w="1508" w:type="dxa"/>
            <w:vAlign w:val="top"/>
          </w:tcPr>
          <w:p w14:paraId="42681106">
            <w:pPr>
              <w:pStyle w:val="6"/>
              <w:spacing w:before="183" w:line="232" w:lineRule="auto"/>
              <w:ind w:left="30" w:right="44" w:hanging="10"/>
            </w:pPr>
            <w:r>
              <w:rPr>
                <w:spacing w:val="-1"/>
              </w:rPr>
              <w:t>地区能源消费与单</w:t>
            </w:r>
            <w:r>
              <w:t xml:space="preserve"> </w:t>
            </w:r>
            <w:r>
              <w:rPr>
                <w:spacing w:val="-1"/>
              </w:rPr>
              <w:t>位GDP能耗</w:t>
            </w:r>
          </w:p>
        </w:tc>
        <w:tc>
          <w:tcPr>
            <w:tcW w:w="689" w:type="dxa"/>
            <w:vAlign w:val="top"/>
          </w:tcPr>
          <w:p w14:paraId="014D9113">
            <w:pPr>
              <w:pStyle w:val="6"/>
              <w:spacing w:before="272" w:line="219" w:lineRule="auto"/>
              <w:ind w:left="152"/>
            </w:pPr>
            <w:r>
              <w:rPr>
                <w:spacing w:val="-2"/>
              </w:rPr>
              <w:t>季报</w:t>
            </w:r>
          </w:p>
        </w:tc>
        <w:tc>
          <w:tcPr>
            <w:tcW w:w="2637" w:type="dxa"/>
            <w:vAlign w:val="top"/>
          </w:tcPr>
          <w:p w14:paraId="73FC7C61">
            <w:pPr>
              <w:pStyle w:val="6"/>
              <w:spacing w:before="272" w:line="220" w:lineRule="auto"/>
              <w:ind w:left="53"/>
            </w:pPr>
            <w:r>
              <w:rPr>
                <w:spacing w:val="1"/>
              </w:rPr>
              <w:t>与表中所列各指标统计范围相同</w:t>
            </w:r>
          </w:p>
        </w:tc>
        <w:tc>
          <w:tcPr>
            <w:tcW w:w="1858" w:type="dxa"/>
            <w:vAlign w:val="top"/>
          </w:tcPr>
          <w:p w14:paraId="560D9E14">
            <w:pPr>
              <w:pStyle w:val="6"/>
              <w:spacing w:before="272" w:line="219" w:lineRule="auto"/>
              <w:ind w:left="296"/>
            </w:pPr>
            <w:r>
              <w:rPr>
                <w:spacing w:val="2"/>
              </w:rPr>
              <w:t>各设区市统计局</w:t>
            </w:r>
          </w:p>
        </w:tc>
        <w:tc>
          <w:tcPr>
            <w:tcW w:w="1883" w:type="dxa"/>
            <w:vAlign w:val="top"/>
          </w:tcPr>
          <w:p w14:paraId="1CBEE4FE">
            <w:pPr>
              <w:pStyle w:val="6"/>
              <w:spacing w:before="272" w:line="219" w:lineRule="auto"/>
              <w:ind w:left="38"/>
              <w:rPr>
                <w:rFonts w:hint="eastAsia" w:eastAsia="宋体"/>
                <w:lang w:eastAsia="zh-CN"/>
              </w:rPr>
            </w:pPr>
            <w:r>
              <w:rPr>
                <w:spacing w:val="-1"/>
              </w:rPr>
              <w:t>季后23日前；</w:t>
            </w:r>
            <w:r>
              <w:rPr>
                <w:rFonts w:hint="eastAsia"/>
                <w:spacing w:val="-1"/>
                <w:lang w:eastAsia="zh-CN"/>
              </w:rPr>
              <w:t>文档云</w:t>
            </w:r>
          </w:p>
        </w:tc>
      </w:tr>
      <w:tr w14:paraId="0ACD30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8" w:hRule="atLeast"/>
        </w:trPr>
        <w:tc>
          <w:tcPr>
            <w:tcW w:w="914" w:type="dxa"/>
            <w:vAlign w:val="top"/>
          </w:tcPr>
          <w:p w14:paraId="420983E7">
            <w:pPr>
              <w:spacing w:line="451" w:lineRule="auto"/>
              <w:rPr>
                <w:rFonts w:ascii="Arial"/>
                <w:sz w:val="21"/>
              </w:rPr>
            </w:pPr>
          </w:p>
          <w:p w14:paraId="0620691E">
            <w:pPr>
              <w:pStyle w:val="6"/>
              <w:spacing w:before="58" w:line="221" w:lineRule="auto"/>
              <w:ind w:left="14"/>
            </w:pPr>
            <w:r>
              <w:rPr>
                <w:spacing w:val="-1"/>
              </w:rPr>
              <w:t>P407表</w:t>
            </w:r>
          </w:p>
        </w:tc>
        <w:tc>
          <w:tcPr>
            <w:tcW w:w="1508" w:type="dxa"/>
            <w:vAlign w:val="top"/>
          </w:tcPr>
          <w:p w14:paraId="248CF8AB">
            <w:pPr>
              <w:spacing w:line="449" w:lineRule="auto"/>
              <w:rPr>
                <w:rFonts w:ascii="Arial"/>
                <w:sz w:val="21"/>
              </w:rPr>
            </w:pPr>
          </w:p>
          <w:p w14:paraId="58AD6412">
            <w:pPr>
              <w:pStyle w:val="6"/>
              <w:spacing w:before="58" w:line="219" w:lineRule="auto"/>
              <w:ind w:left="20"/>
            </w:pPr>
            <w:r>
              <w:rPr>
                <w:spacing w:val="-1"/>
              </w:rPr>
              <w:t>全社会用电量情况</w:t>
            </w:r>
          </w:p>
        </w:tc>
        <w:tc>
          <w:tcPr>
            <w:tcW w:w="689" w:type="dxa"/>
            <w:vAlign w:val="top"/>
          </w:tcPr>
          <w:p w14:paraId="2AEC6B41">
            <w:pPr>
              <w:spacing w:line="450" w:lineRule="auto"/>
              <w:rPr>
                <w:rFonts w:ascii="Arial"/>
                <w:sz w:val="21"/>
              </w:rPr>
            </w:pPr>
          </w:p>
          <w:p w14:paraId="535BBB7D">
            <w:pPr>
              <w:pStyle w:val="6"/>
              <w:spacing w:before="58" w:line="219" w:lineRule="auto"/>
              <w:ind w:left="152"/>
            </w:pPr>
            <w:r>
              <w:rPr>
                <w:spacing w:val="-3"/>
              </w:rPr>
              <w:t>月报</w:t>
            </w:r>
          </w:p>
        </w:tc>
        <w:tc>
          <w:tcPr>
            <w:tcW w:w="2637" w:type="dxa"/>
            <w:vAlign w:val="top"/>
          </w:tcPr>
          <w:p w14:paraId="32DF5DC9">
            <w:pPr>
              <w:spacing w:line="359" w:lineRule="auto"/>
              <w:rPr>
                <w:rFonts w:ascii="Arial"/>
                <w:sz w:val="21"/>
              </w:rPr>
            </w:pPr>
          </w:p>
          <w:p w14:paraId="2E663BCA">
            <w:pPr>
              <w:pStyle w:val="6"/>
              <w:spacing w:before="58" w:line="229" w:lineRule="auto"/>
              <w:ind w:left="23" w:right="59" w:firstLine="30"/>
            </w:pPr>
            <w:r>
              <w:rPr>
                <w:spacing w:val="-1"/>
              </w:rPr>
              <w:t>辖区内的电力消费单位和居民家</w:t>
            </w:r>
            <w:r>
              <w:rPr>
                <w:spacing w:val="6"/>
              </w:rPr>
              <w:t xml:space="preserve"> </w:t>
            </w:r>
            <w:r>
              <w:t>庭</w:t>
            </w:r>
          </w:p>
        </w:tc>
        <w:tc>
          <w:tcPr>
            <w:tcW w:w="1858" w:type="dxa"/>
            <w:vAlign w:val="top"/>
          </w:tcPr>
          <w:p w14:paraId="77968E7B">
            <w:pPr>
              <w:spacing w:line="359" w:lineRule="auto"/>
              <w:rPr>
                <w:rFonts w:ascii="Arial"/>
                <w:sz w:val="21"/>
              </w:rPr>
            </w:pPr>
          </w:p>
          <w:p w14:paraId="43E3C9EC">
            <w:pPr>
              <w:pStyle w:val="6"/>
              <w:spacing w:before="59" w:line="233" w:lineRule="auto"/>
              <w:ind w:left="386" w:right="356" w:firstLine="90"/>
            </w:pPr>
            <w:r>
              <w:rPr>
                <w:spacing w:val="3"/>
              </w:rPr>
              <w:t>国网福建省</w:t>
            </w:r>
            <w:r>
              <w:t xml:space="preserve">  </w:t>
            </w:r>
            <w:r>
              <w:rPr>
                <w:spacing w:val="4"/>
              </w:rPr>
              <w:t>电力有限公司</w:t>
            </w:r>
          </w:p>
        </w:tc>
        <w:tc>
          <w:tcPr>
            <w:tcW w:w="1883" w:type="dxa"/>
            <w:vAlign w:val="top"/>
          </w:tcPr>
          <w:p w14:paraId="3D05E335">
            <w:pPr>
              <w:pStyle w:val="6"/>
              <w:spacing w:before="79" w:line="224" w:lineRule="auto"/>
              <w:ind w:left="38" w:right="20"/>
              <w:jc w:val="both"/>
            </w:pPr>
            <w:r>
              <w:rPr>
                <w:spacing w:val="1"/>
              </w:rPr>
              <w:t>1、6、</w:t>
            </w:r>
            <w:r>
              <w:rPr>
                <w:rFonts w:hint="eastAsia"/>
                <w:spacing w:val="1"/>
                <w:lang w:val="en-US" w:eastAsia="zh-CN"/>
              </w:rPr>
              <w:t>8</w:t>
            </w:r>
            <w:r>
              <w:rPr>
                <w:spacing w:val="1"/>
              </w:rPr>
              <w:t>、10</w:t>
            </w:r>
            <w:r>
              <w:rPr>
                <w:rFonts w:hint="eastAsia"/>
                <w:spacing w:val="1"/>
                <w:lang w:eastAsia="zh-CN"/>
              </w:rPr>
              <w:t>、</w:t>
            </w:r>
            <w:r>
              <w:rPr>
                <w:rFonts w:hint="eastAsia"/>
                <w:spacing w:val="1"/>
                <w:lang w:val="en-US" w:eastAsia="zh-CN"/>
              </w:rPr>
              <w:t>11</w:t>
            </w:r>
            <w:r>
              <w:rPr>
                <w:spacing w:val="1"/>
              </w:rPr>
              <w:t>月月后</w:t>
            </w:r>
            <w:r>
              <w:t xml:space="preserve"> </w:t>
            </w:r>
            <w:r>
              <w:rPr>
                <w:rFonts w:hint="eastAsia"/>
                <w:lang w:val="en-US" w:eastAsia="zh-CN"/>
              </w:rPr>
              <w:t>8</w:t>
            </w:r>
            <w:r>
              <w:t>日，</w:t>
            </w:r>
            <w:r>
              <w:rPr>
                <w:rFonts w:hint="eastAsia"/>
                <w:lang w:val="en-US" w:eastAsia="zh-CN"/>
              </w:rPr>
              <w:t>2、</w:t>
            </w:r>
            <w:r>
              <w:t>3、</w:t>
            </w:r>
            <w:r>
              <w:rPr>
                <w:rFonts w:hint="eastAsia"/>
                <w:lang w:val="en-US" w:eastAsia="zh-CN"/>
              </w:rPr>
              <w:t>5</w:t>
            </w:r>
            <w:r>
              <w:t>、</w:t>
            </w:r>
            <w:r>
              <w:rPr>
                <w:rFonts w:hint="eastAsia"/>
                <w:lang w:val="en-US" w:eastAsia="zh-CN"/>
              </w:rPr>
              <w:t>7</w:t>
            </w:r>
            <w:r>
              <w:t>、</w:t>
            </w:r>
            <w:r>
              <w:rPr>
                <w:spacing w:val="4"/>
              </w:rPr>
              <w:t>月月后</w:t>
            </w:r>
            <w:r>
              <w:rPr>
                <w:rFonts w:hint="eastAsia"/>
                <w:spacing w:val="4"/>
                <w:lang w:val="en-US" w:eastAsia="zh-CN"/>
              </w:rPr>
              <w:t>9</w:t>
            </w:r>
            <w:r>
              <w:rPr>
                <w:spacing w:val="4"/>
              </w:rPr>
              <w:t>日，</w:t>
            </w:r>
            <w:r>
              <w:rPr>
                <w:rFonts w:hint="eastAsia"/>
                <w:spacing w:val="4"/>
                <w:lang w:val="en-US" w:eastAsia="zh-CN"/>
              </w:rPr>
              <w:t>4</w:t>
            </w:r>
            <w:r>
              <w:rPr>
                <w:spacing w:val="4"/>
              </w:rPr>
              <w:t>月月后</w:t>
            </w:r>
            <w:r>
              <w:rPr>
                <w:rFonts w:hint="eastAsia"/>
                <w:spacing w:val="4"/>
                <w:lang w:val="en-US" w:eastAsia="zh-CN"/>
              </w:rPr>
              <w:t>10</w:t>
            </w:r>
            <w:r>
              <w:t>日，</w:t>
            </w:r>
            <w:r>
              <w:rPr>
                <w:rFonts w:hint="eastAsia"/>
                <w:lang w:val="en-US" w:eastAsia="zh-CN"/>
              </w:rPr>
              <w:t>12</w:t>
            </w:r>
            <w:r>
              <w:t>月月后1</w:t>
            </w:r>
            <w:r>
              <w:rPr>
                <w:rFonts w:hint="eastAsia"/>
                <w:lang w:val="en-US" w:eastAsia="zh-CN"/>
              </w:rPr>
              <w:t>1</w:t>
            </w:r>
            <w:r>
              <w:t>日</w:t>
            </w:r>
            <w:r>
              <w:rPr>
                <w:rFonts w:hint="eastAsia"/>
                <w:lang w:eastAsia="zh-CN"/>
              </w:rPr>
              <w:t>、</w:t>
            </w:r>
            <w:r>
              <w:rPr>
                <w:rFonts w:hint="eastAsia"/>
                <w:lang w:val="en-US" w:eastAsia="zh-CN"/>
              </w:rPr>
              <w:t>9月月后12日</w:t>
            </w:r>
            <w:r>
              <w:t>12:00</w:t>
            </w:r>
            <w:r>
              <w:rPr>
                <w:spacing w:val="8"/>
              </w:rPr>
              <w:t xml:space="preserve"> </w:t>
            </w:r>
            <w:r>
              <w:t>前网上填报。</w:t>
            </w:r>
          </w:p>
        </w:tc>
      </w:tr>
    </w:tbl>
    <w:p w14:paraId="29C8E180">
      <w:pPr>
        <w:pStyle w:val="2"/>
      </w:pPr>
    </w:p>
    <w:p w14:paraId="73C9E161">
      <w:pPr>
        <w:sectPr>
          <w:headerReference r:id="rId8" w:type="default"/>
          <w:pgSz w:w="11910" w:h="16840"/>
          <w:pgMar w:top="1056" w:right="1200" w:bottom="0" w:left="1205" w:header="877" w:footer="0" w:gutter="0"/>
          <w:cols w:space="720" w:num="1"/>
        </w:sectPr>
      </w:pPr>
    </w:p>
    <w:p w14:paraId="251B6DC7">
      <w:pPr>
        <w:pStyle w:val="2"/>
        <w:spacing w:line="247" w:lineRule="auto"/>
      </w:pPr>
      <w:r>
        <w:drawing>
          <wp:anchor distT="0" distB="0" distL="0" distR="0" simplePos="0" relativeHeight="251659264" behindDoc="1" locked="0" layoutInCell="0" allowOverlap="1">
            <wp:simplePos x="0" y="0"/>
            <wp:positionH relativeFrom="page">
              <wp:posOffset>1460500</wp:posOffset>
            </wp:positionH>
            <wp:positionV relativeFrom="page">
              <wp:posOffset>5165725</wp:posOffset>
            </wp:positionV>
            <wp:extent cx="4857750" cy="27940"/>
            <wp:effectExtent l="0" t="0" r="0" b="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88"/>
                    <a:stretch>
                      <a:fillRect/>
                    </a:stretch>
                  </pic:blipFill>
                  <pic:spPr>
                    <a:xfrm>
                      <a:off x="0" y="0"/>
                      <a:ext cx="4857694" cy="28079"/>
                    </a:xfrm>
                    <a:prstGeom prst="rect">
                      <a:avLst/>
                    </a:prstGeom>
                  </pic:spPr>
                </pic:pic>
              </a:graphicData>
            </a:graphic>
          </wp:anchor>
        </w:drawing>
      </w:r>
    </w:p>
    <w:p w14:paraId="51FAAD68">
      <w:pPr>
        <w:pStyle w:val="2"/>
        <w:spacing w:line="247" w:lineRule="auto"/>
      </w:pPr>
    </w:p>
    <w:p w14:paraId="7D4268B7">
      <w:pPr>
        <w:spacing w:before="94" w:line="618" w:lineRule="exact"/>
        <w:ind w:left="3499"/>
        <w:rPr>
          <w:rFonts w:ascii="黑体" w:hAnsi="黑体" w:eastAsia="黑体" w:cs="黑体"/>
          <w:sz w:val="29"/>
          <w:szCs w:val="29"/>
        </w:rPr>
      </w:pPr>
      <w:r>
        <w:rPr>
          <w:rFonts w:ascii="黑体" w:hAnsi="黑体" w:eastAsia="黑体" w:cs="黑体"/>
          <w:spacing w:val="-21"/>
          <w:position w:val="24"/>
          <w:sz w:val="29"/>
          <w:szCs w:val="29"/>
        </w:rPr>
        <w:t>三、</w:t>
      </w:r>
      <w:r>
        <w:rPr>
          <w:rFonts w:ascii="黑体" w:hAnsi="黑体" w:eastAsia="黑体" w:cs="黑体"/>
          <w:spacing w:val="-34"/>
          <w:position w:val="24"/>
          <w:sz w:val="29"/>
          <w:szCs w:val="29"/>
        </w:rPr>
        <w:t xml:space="preserve"> </w:t>
      </w:r>
      <w:r>
        <w:rPr>
          <w:rFonts w:ascii="黑体" w:hAnsi="黑体" w:eastAsia="黑体" w:cs="黑体"/>
          <w:spacing w:val="-21"/>
          <w:position w:val="24"/>
          <w:sz w:val="29"/>
          <w:szCs w:val="29"/>
        </w:rPr>
        <w:t>调</w:t>
      </w:r>
      <w:r>
        <w:rPr>
          <w:rFonts w:ascii="黑体" w:hAnsi="黑体" w:eastAsia="黑体" w:cs="黑体"/>
          <w:spacing w:val="74"/>
          <w:position w:val="24"/>
          <w:sz w:val="29"/>
          <w:szCs w:val="29"/>
        </w:rPr>
        <w:t xml:space="preserve"> </w:t>
      </w:r>
      <w:r>
        <w:rPr>
          <w:rFonts w:ascii="黑体" w:hAnsi="黑体" w:eastAsia="黑体" w:cs="黑体"/>
          <w:spacing w:val="-21"/>
          <w:position w:val="24"/>
          <w:sz w:val="29"/>
          <w:szCs w:val="29"/>
        </w:rPr>
        <w:t>查</w:t>
      </w:r>
      <w:r>
        <w:rPr>
          <w:rFonts w:ascii="黑体" w:hAnsi="黑体" w:eastAsia="黑体" w:cs="黑体"/>
          <w:spacing w:val="76"/>
          <w:position w:val="24"/>
          <w:sz w:val="29"/>
          <w:szCs w:val="29"/>
        </w:rPr>
        <w:t xml:space="preserve"> </w:t>
      </w:r>
      <w:r>
        <w:rPr>
          <w:rFonts w:ascii="黑体" w:hAnsi="黑体" w:eastAsia="黑体" w:cs="黑体"/>
          <w:spacing w:val="-21"/>
          <w:position w:val="24"/>
          <w:sz w:val="29"/>
          <w:szCs w:val="29"/>
        </w:rPr>
        <w:t>表</w:t>
      </w:r>
      <w:r>
        <w:rPr>
          <w:rFonts w:ascii="黑体" w:hAnsi="黑体" w:eastAsia="黑体" w:cs="黑体"/>
          <w:spacing w:val="76"/>
          <w:position w:val="24"/>
          <w:sz w:val="29"/>
          <w:szCs w:val="29"/>
        </w:rPr>
        <w:t xml:space="preserve"> </w:t>
      </w:r>
      <w:r>
        <w:rPr>
          <w:rFonts w:ascii="黑体" w:hAnsi="黑体" w:eastAsia="黑体" w:cs="黑体"/>
          <w:spacing w:val="-21"/>
          <w:position w:val="24"/>
          <w:sz w:val="29"/>
          <w:szCs w:val="29"/>
        </w:rPr>
        <w:t>式</w:t>
      </w:r>
    </w:p>
    <w:p w14:paraId="5096C9C9">
      <w:pPr>
        <w:spacing w:before="1" w:line="220" w:lineRule="auto"/>
        <w:ind w:left="3499"/>
        <w:rPr>
          <w:rFonts w:ascii="黑体" w:hAnsi="黑体" w:eastAsia="黑体" w:cs="黑体"/>
          <w:sz w:val="29"/>
          <w:szCs w:val="29"/>
        </w:rPr>
      </w:pPr>
      <w:r>
        <w:rPr>
          <w:rFonts w:ascii="黑体" w:hAnsi="黑体" w:eastAsia="黑体" w:cs="黑体"/>
          <w:spacing w:val="3"/>
          <w:sz w:val="29"/>
          <w:szCs w:val="29"/>
        </w:rPr>
        <w:t>(一)基层定报表式</w:t>
      </w:r>
    </w:p>
    <w:p w14:paraId="0FAC268E">
      <w:pPr>
        <w:spacing w:before="6"/>
      </w:pPr>
    </w:p>
    <w:p w14:paraId="685735C6">
      <w:pPr>
        <w:spacing w:before="6"/>
      </w:pPr>
    </w:p>
    <w:p w14:paraId="72287C24">
      <w:pPr>
        <w:spacing w:before="6"/>
      </w:pPr>
    </w:p>
    <w:p w14:paraId="6C044D4A">
      <w:pPr>
        <w:sectPr>
          <w:headerReference r:id="rId9" w:type="default"/>
          <w:pgSz w:w="11910" w:h="16840"/>
          <w:pgMar w:top="1109" w:right="1189" w:bottom="0" w:left="1239" w:header="867" w:footer="0" w:gutter="0"/>
          <w:cols w:equalWidth="0" w:num="1">
            <w:col w:w="9481"/>
          </w:cols>
        </w:sectPr>
      </w:pPr>
    </w:p>
    <w:p w14:paraId="12731547">
      <w:pPr>
        <w:spacing w:before="58" w:line="219" w:lineRule="auto"/>
        <w:ind w:left="3144"/>
        <w:rPr>
          <w:rFonts w:ascii="宋体" w:hAnsi="宋体" w:eastAsia="宋体" w:cs="宋体"/>
          <w:sz w:val="29"/>
          <w:szCs w:val="29"/>
        </w:rPr>
      </w:pPr>
      <w:bookmarkStart w:id="4" w:name="bookmark7"/>
      <w:bookmarkEnd w:id="4"/>
      <w:r>
        <w:rPr>
          <w:rFonts w:ascii="宋体" w:hAnsi="宋体" w:eastAsia="宋体" w:cs="宋体"/>
          <w:b/>
          <w:bCs/>
          <w:spacing w:val="20"/>
          <w:sz w:val="29"/>
          <w:szCs w:val="29"/>
        </w:rPr>
        <w:t>能源购进、消费与库存</w:t>
      </w:r>
    </w:p>
    <w:p w14:paraId="6F2E5E9B">
      <w:pPr>
        <w:pStyle w:val="2"/>
        <w:spacing w:line="246" w:lineRule="auto"/>
      </w:pPr>
    </w:p>
    <w:p w14:paraId="745119A1">
      <w:pPr>
        <w:pStyle w:val="2"/>
        <w:spacing w:line="246" w:lineRule="auto"/>
      </w:pPr>
    </w:p>
    <w:p w14:paraId="2CAA7991">
      <w:pPr>
        <w:spacing w:before="59" w:line="219" w:lineRule="auto"/>
        <w:rPr>
          <w:rFonts w:ascii="宋体" w:hAnsi="宋体" w:eastAsia="宋体" w:cs="宋体"/>
          <w:sz w:val="18"/>
          <w:szCs w:val="18"/>
        </w:rPr>
      </w:pPr>
      <w:r>
        <w:rPr>
          <w:rFonts w:ascii="宋体" w:hAnsi="宋体" w:eastAsia="宋体" w:cs="宋体"/>
          <w:spacing w:val="-1"/>
          <w:sz w:val="18"/>
          <w:szCs w:val="18"/>
        </w:rPr>
        <w:t>统一社会信用代码□□□□□□□□□□□□□□□□□□</w:t>
      </w:r>
    </w:p>
    <w:p w14:paraId="2E8437BE">
      <w:pPr>
        <w:pStyle w:val="2"/>
        <w:spacing w:line="14" w:lineRule="auto"/>
        <w:rPr>
          <w:sz w:val="2"/>
        </w:rPr>
      </w:pPr>
      <w:r>
        <w:rPr>
          <w:sz w:val="2"/>
          <w:szCs w:val="2"/>
        </w:rPr>
        <w:br w:type="column"/>
      </w:r>
    </w:p>
    <w:p w14:paraId="788F3181">
      <w:pPr>
        <w:pStyle w:val="2"/>
        <w:spacing w:line="312" w:lineRule="auto"/>
      </w:pPr>
    </w:p>
    <w:p w14:paraId="2387D8D8">
      <w:pPr>
        <w:pStyle w:val="2"/>
        <w:spacing w:line="313" w:lineRule="auto"/>
      </w:pPr>
    </w:p>
    <w:p w14:paraId="1144B087">
      <w:pPr>
        <w:spacing w:before="58" w:line="221" w:lineRule="auto"/>
        <w:rPr>
          <w:rFonts w:ascii="宋体" w:hAnsi="宋体" w:eastAsia="宋体" w:cs="宋体"/>
          <w:sz w:val="18"/>
          <w:szCs w:val="18"/>
        </w:rPr>
      </w:pPr>
      <w:r>
        <w:rPr>
          <w:rFonts w:ascii="宋体" w:hAnsi="宋体" w:eastAsia="宋体" w:cs="宋体"/>
          <w:spacing w:val="-3"/>
          <w:sz w:val="18"/>
          <w:szCs w:val="18"/>
        </w:rPr>
        <w:t>表    号：2</w:t>
      </w:r>
      <w:r>
        <w:rPr>
          <w:rFonts w:ascii="宋体" w:hAnsi="宋体" w:eastAsia="宋体" w:cs="宋体"/>
          <w:spacing w:val="82"/>
          <w:w w:val="101"/>
          <w:sz w:val="18"/>
          <w:szCs w:val="18"/>
        </w:rPr>
        <w:t xml:space="preserve"> </w:t>
      </w:r>
      <w:r>
        <w:rPr>
          <w:rFonts w:ascii="宋体" w:hAnsi="宋体" w:eastAsia="宋体" w:cs="宋体"/>
          <w:spacing w:val="-3"/>
          <w:sz w:val="18"/>
          <w:szCs w:val="18"/>
        </w:rPr>
        <w:t>0</w:t>
      </w:r>
      <w:r>
        <w:rPr>
          <w:rFonts w:ascii="宋体" w:hAnsi="宋体" w:eastAsia="宋体" w:cs="宋体"/>
          <w:spacing w:val="4"/>
          <w:sz w:val="18"/>
          <w:szCs w:val="18"/>
        </w:rPr>
        <w:t xml:space="preserve">  </w:t>
      </w:r>
      <w:r>
        <w:rPr>
          <w:rFonts w:ascii="宋体" w:hAnsi="宋体" w:eastAsia="宋体" w:cs="宋体"/>
          <w:spacing w:val="-3"/>
          <w:sz w:val="18"/>
          <w:szCs w:val="18"/>
        </w:rPr>
        <w:t>5</w:t>
      </w:r>
      <w:r>
        <w:rPr>
          <w:rFonts w:ascii="宋体" w:hAnsi="宋体" w:eastAsia="宋体" w:cs="宋体"/>
          <w:spacing w:val="51"/>
          <w:sz w:val="18"/>
          <w:szCs w:val="18"/>
        </w:rPr>
        <w:t xml:space="preserve"> </w:t>
      </w:r>
      <w:r>
        <w:rPr>
          <w:rFonts w:ascii="宋体" w:hAnsi="宋体" w:eastAsia="宋体" w:cs="宋体"/>
          <w:spacing w:val="-3"/>
          <w:sz w:val="18"/>
          <w:szCs w:val="18"/>
        </w:rPr>
        <w:t>—</w:t>
      </w:r>
      <w:r>
        <w:rPr>
          <w:rFonts w:ascii="宋体" w:hAnsi="宋体" w:eastAsia="宋体" w:cs="宋体"/>
          <w:spacing w:val="55"/>
          <w:sz w:val="18"/>
          <w:szCs w:val="18"/>
        </w:rPr>
        <w:t xml:space="preserve"> </w:t>
      </w:r>
      <w:r>
        <w:rPr>
          <w:rFonts w:ascii="宋体" w:hAnsi="宋体" w:eastAsia="宋体" w:cs="宋体"/>
          <w:spacing w:val="-3"/>
          <w:sz w:val="18"/>
          <w:szCs w:val="18"/>
        </w:rPr>
        <w:t>1</w:t>
      </w:r>
      <w:r>
        <w:rPr>
          <w:rFonts w:ascii="宋体" w:hAnsi="宋体" w:eastAsia="宋体" w:cs="宋体"/>
          <w:spacing w:val="71"/>
          <w:sz w:val="18"/>
          <w:szCs w:val="18"/>
        </w:rPr>
        <w:t xml:space="preserve"> </w:t>
      </w:r>
      <w:r>
        <w:rPr>
          <w:rFonts w:ascii="宋体" w:hAnsi="宋体" w:eastAsia="宋体" w:cs="宋体"/>
          <w:spacing w:val="-3"/>
          <w:sz w:val="18"/>
          <w:szCs w:val="18"/>
        </w:rPr>
        <w:t>表</w:t>
      </w:r>
    </w:p>
    <w:p w14:paraId="27410641">
      <w:pPr>
        <w:spacing w:before="52" w:line="219" w:lineRule="auto"/>
        <w:rPr>
          <w:rFonts w:ascii="宋体" w:hAnsi="宋体" w:eastAsia="宋体" w:cs="宋体"/>
          <w:sz w:val="18"/>
          <w:szCs w:val="18"/>
        </w:rPr>
      </w:pPr>
      <w:r>
        <w:rPr>
          <w:rFonts w:ascii="宋体" w:hAnsi="宋体" w:eastAsia="宋体" w:cs="宋体"/>
          <w:sz w:val="18"/>
          <w:szCs w:val="18"/>
        </w:rPr>
        <w:t>制定机关：国</w:t>
      </w:r>
      <w:r>
        <w:rPr>
          <w:rFonts w:ascii="宋体" w:hAnsi="宋体" w:eastAsia="宋体" w:cs="宋体"/>
          <w:spacing w:val="14"/>
          <w:sz w:val="18"/>
          <w:szCs w:val="18"/>
        </w:rPr>
        <w:t xml:space="preserve">  </w:t>
      </w:r>
      <w:r>
        <w:rPr>
          <w:rFonts w:ascii="宋体" w:hAnsi="宋体" w:eastAsia="宋体" w:cs="宋体"/>
          <w:sz w:val="18"/>
          <w:szCs w:val="18"/>
        </w:rPr>
        <w:t>家</w:t>
      </w:r>
      <w:r>
        <w:rPr>
          <w:rFonts w:ascii="宋体" w:hAnsi="宋体" w:eastAsia="宋体" w:cs="宋体"/>
          <w:spacing w:val="27"/>
          <w:sz w:val="18"/>
          <w:szCs w:val="18"/>
        </w:rPr>
        <w:t xml:space="preserve"> </w:t>
      </w:r>
      <w:r>
        <w:rPr>
          <w:rFonts w:ascii="宋体" w:hAnsi="宋体" w:eastAsia="宋体" w:cs="宋体"/>
          <w:sz w:val="18"/>
          <w:szCs w:val="18"/>
        </w:rPr>
        <w:t>统</w:t>
      </w:r>
      <w:r>
        <w:rPr>
          <w:rFonts w:ascii="宋体" w:hAnsi="宋体" w:eastAsia="宋体" w:cs="宋体"/>
          <w:spacing w:val="21"/>
          <w:sz w:val="18"/>
          <w:szCs w:val="18"/>
        </w:rPr>
        <w:t xml:space="preserve"> </w:t>
      </w:r>
      <w:r>
        <w:rPr>
          <w:rFonts w:ascii="宋体" w:hAnsi="宋体" w:eastAsia="宋体" w:cs="宋体"/>
          <w:sz w:val="18"/>
          <w:szCs w:val="18"/>
        </w:rPr>
        <w:t>计</w:t>
      </w:r>
      <w:r>
        <w:rPr>
          <w:rFonts w:ascii="宋体" w:hAnsi="宋体" w:eastAsia="宋体" w:cs="宋体"/>
          <w:spacing w:val="52"/>
          <w:sz w:val="18"/>
          <w:szCs w:val="18"/>
        </w:rPr>
        <w:t xml:space="preserve"> </w:t>
      </w:r>
      <w:r>
        <w:rPr>
          <w:rFonts w:ascii="宋体" w:hAnsi="宋体" w:eastAsia="宋体" w:cs="宋体"/>
          <w:sz w:val="18"/>
          <w:szCs w:val="18"/>
        </w:rPr>
        <w:t>局</w:t>
      </w:r>
    </w:p>
    <w:p w14:paraId="74D47B70">
      <w:pPr>
        <w:spacing w:before="38" w:line="184" w:lineRule="auto"/>
        <w:rPr>
          <w:rFonts w:ascii="宋体" w:hAnsi="宋体" w:eastAsia="宋体" w:cs="宋体"/>
          <w:sz w:val="18"/>
          <w:szCs w:val="18"/>
        </w:rPr>
      </w:pPr>
      <w:r>
        <w:rPr>
          <w:rFonts w:ascii="宋体" w:hAnsi="宋体" w:eastAsia="宋体" w:cs="宋体"/>
          <w:spacing w:val="-7"/>
          <w:sz w:val="18"/>
          <w:szCs w:val="18"/>
        </w:rPr>
        <w:t>文    号：国统字〔202</w:t>
      </w:r>
      <w:r>
        <w:rPr>
          <w:rFonts w:hint="eastAsia" w:ascii="宋体" w:hAnsi="宋体" w:eastAsia="宋体" w:cs="宋体"/>
          <w:spacing w:val="-7"/>
          <w:sz w:val="18"/>
          <w:szCs w:val="18"/>
          <w:lang w:val="en-US" w:eastAsia="zh-CN"/>
        </w:rPr>
        <w:t>4</w:t>
      </w:r>
      <w:r>
        <w:rPr>
          <w:rFonts w:ascii="宋体" w:hAnsi="宋体" w:eastAsia="宋体" w:cs="宋体"/>
          <w:spacing w:val="-7"/>
          <w:sz w:val="18"/>
          <w:szCs w:val="18"/>
        </w:rPr>
        <w:t>〕</w:t>
      </w:r>
      <w:r>
        <w:rPr>
          <w:rFonts w:hint="eastAsia" w:ascii="宋体" w:hAnsi="宋体" w:eastAsia="宋体" w:cs="宋体"/>
          <w:spacing w:val="-7"/>
          <w:sz w:val="18"/>
          <w:szCs w:val="18"/>
          <w:lang w:val="en-US" w:eastAsia="zh-CN"/>
        </w:rPr>
        <w:t>77</w:t>
      </w:r>
      <w:r>
        <w:rPr>
          <w:rFonts w:ascii="宋体" w:hAnsi="宋体" w:eastAsia="宋体" w:cs="宋体"/>
          <w:spacing w:val="-7"/>
          <w:sz w:val="18"/>
          <w:szCs w:val="18"/>
        </w:rPr>
        <w:t>号</w:t>
      </w:r>
    </w:p>
    <w:p w14:paraId="0609D501">
      <w:pPr>
        <w:spacing w:line="184" w:lineRule="auto"/>
        <w:rPr>
          <w:rFonts w:ascii="宋体" w:hAnsi="宋体" w:eastAsia="宋体" w:cs="宋体"/>
          <w:sz w:val="18"/>
          <w:szCs w:val="18"/>
        </w:rPr>
        <w:sectPr>
          <w:type w:val="continuous"/>
          <w:pgSz w:w="11910" w:h="16840"/>
          <w:pgMar w:top="1109" w:right="1189" w:bottom="0" w:left="1239" w:header="867" w:footer="0" w:gutter="0"/>
          <w:cols w:equalWidth="0" w:num="2">
            <w:col w:w="6911" w:space="100"/>
            <w:col w:w="2470"/>
          </w:cols>
        </w:sectPr>
      </w:pPr>
    </w:p>
    <w:p w14:paraId="74944901">
      <w:pPr>
        <w:spacing w:line="61" w:lineRule="exact"/>
      </w:pPr>
    </w:p>
    <w:p w14:paraId="0DF3D5CC">
      <w:pPr>
        <w:spacing w:line="61" w:lineRule="exact"/>
        <w:sectPr>
          <w:type w:val="continuous"/>
          <w:pgSz w:w="11910" w:h="16840"/>
          <w:pgMar w:top="1109" w:right="1189" w:bottom="0" w:left="1239" w:header="867" w:footer="0" w:gutter="0"/>
          <w:cols w:equalWidth="0" w:num="1">
            <w:col w:w="9481"/>
          </w:cols>
        </w:sectPr>
      </w:pPr>
    </w:p>
    <w:p w14:paraId="1276D026">
      <w:pPr>
        <w:spacing w:before="41" w:line="166" w:lineRule="auto"/>
        <w:ind w:left="30"/>
        <w:rPr>
          <w:rFonts w:ascii="宋体" w:hAnsi="宋体" w:eastAsia="宋体" w:cs="宋体"/>
          <w:sz w:val="20"/>
          <w:szCs w:val="20"/>
        </w:rPr>
      </w:pPr>
      <w:r>
        <w:rPr>
          <w:rFonts w:ascii="宋体" w:hAnsi="宋体" w:eastAsia="宋体" w:cs="宋体"/>
          <w:spacing w:val="-7"/>
          <w:sz w:val="20"/>
          <w:szCs w:val="20"/>
        </w:rPr>
        <w:t xml:space="preserve">单位详细名称：                            </w:t>
      </w:r>
      <w:r>
        <w:rPr>
          <w:rFonts w:ascii="宋体" w:hAnsi="宋体" w:eastAsia="宋体" w:cs="宋体"/>
          <w:spacing w:val="-8"/>
          <w:sz w:val="20"/>
          <w:szCs w:val="20"/>
        </w:rPr>
        <w:t xml:space="preserve">  </w:t>
      </w:r>
      <w:r>
        <w:rPr>
          <w:rFonts w:ascii="宋体" w:hAnsi="宋体" w:eastAsia="宋体" w:cs="宋体"/>
          <w:spacing w:val="-8"/>
          <w:position w:val="-2"/>
          <w:sz w:val="20"/>
          <w:szCs w:val="20"/>
        </w:rPr>
        <w:t>20</w:t>
      </w:r>
    </w:p>
    <w:p w14:paraId="429F5C8B">
      <w:pPr>
        <w:pStyle w:val="2"/>
        <w:spacing w:line="14" w:lineRule="auto"/>
        <w:rPr>
          <w:sz w:val="2"/>
        </w:rPr>
      </w:pPr>
      <w:r>
        <w:rPr>
          <w:sz w:val="2"/>
          <w:szCs w:val="2"/>
        </w:rPr>
        <w:br w:type="column"/>
      </w:r>
    </w:p>
    <w:p w14:paraId="01110220">
      <w:pPr>
        <w:spacing w:before="39" w:line="185" w:lineRule="auto"/>
        <w:rPr>
          <w:rFonts w:ascii="宋体" w:hAnsi="宋体" w:eastAsia="宋体" w:cs="宋体"/>
          <w:sz w:val="20"/>
          <w:szCs w:val="20"/>
        </w:rPr>
      </w:pPr>
      <w:r>
        <w:rPr>
          <w:rFonts w:ascii="宋体" w:hAnsi="宋体" w:eastAsia="宋体" w:cs="宋体"/>
          <w:spacing w:val="-5"/>
          <w:sz w:val="20"/>
          <w:szCs w:val="20"/>
        </w:rPr>
        <w:t>年</w:t>
      </w:r>
      <w:r>
        <w:rPr>
          <w:rFonts w:ascii="宋体" w:hAnsi="宋体" w:eastAsia="宋体" w:cs="宋体"/>
          <w:spacing w:val="22"/>
          <w:sz w:val="20"/>
          <w:szCs w:val="20"/>
        </w:rPr>
        <w:t xml:space="preserve">  </w:t>
      </w:r>
      <w:r>
        <w:rPr>
          <w:rFonts w:ascii="宋体" w:hAnsi="宋体" w:eastAsia="宋体" w:cs="宋体"/>
          <w:spacing w:val="-5"/>
          <w:sz w:val="20"/>
          <w:szCs w:val="20"/>
        </w:rPr>
        <w:t>1一</w:t>
      </w:r>
    </w:p>
    <w:p w14:paraId="3AE964EC">
      <w:pPr>
        <w:pStyle w:val="2"/>
        <w:spacing w:line="14" w:lineRule="auto"/>
        <w:rPr>
          <w:sz w:val="2"/>
        </w:rPr>
      </w:pPr>
      <w:r>
        <w:rPr>
          <w:sz w:val="2"/>
          <w:szCs w:val="2"/>
        </w:rPr>
        <w:br w:type="column"/>
      </w:r>
    </w:p>
    <w:p w14:paraId="3F503A08">
      <w:pPr>
        <w:spacing w:before="39" w:line="185" w:lineRule="auto"/>
        <w:rPr>
          <w:rFonts w:ascii="宋体" w:hAnsi="宋体" w:eastAsia="宋体" w:cs="宋体"/>
          <w:sz w:val="20"/>
          <w:szCs w:val="20"/>
        </w:rPr>
      </w:pPr>
      <w:r>
        <w:rPr>
          <w:rFonts w:ascii="宋体" w:hAnsi="宋体" w:eastAsia="宋体" w:cs="宋体"/>
          <w:sz w:val="20"/>
          <w:szCs w:val="20"/>
        </w:rPr>
        <w:t>月</w:t>
      </w:r>
    </w:p>
    <w:p w14:paraId="6813B42C">
      <w:pPr>
        <w:pStyle w:val="2"/>
        <w:spacing w:line="14" w:lineRule="auto"/>
        <w:rPr>
          <w:sz w:val="2"/>
        </w:rPr>
      </w:pPr>
      <w:r>
        <w:rPr>
          <w:sz w:val="2"/>
          <w:szCs w:val="2"/>
        </w:rPr>
        <w:br w:type="column"/>
      </w:r>
    </w:p>
    <w:p w14:paraId="336DE5EF">
      <w:pPr>
        <w:spacing w:before="39" w:line="185" w:lineRule="auto"/>
        <w:rPr>
          <w:rFonts w:ascii="宋体" w:hAnsi="宋体" w:eastAsia="宋体" w:cs="宋体"/>
          <w:sz w:val="20"/>
          <w:szCs w:val="20"/>
        </w:rPr>
      </w:pPr>
      <w:r>
        <w:rPr>
          <w:rFonts w:ascii="宋体" w:hAnsi="宋体" w:eastAsia="宋体" w:cs="宋体"/>
          <w:spacing w:val="3"/>
          <w:sz w:val="20"/>
          <w:szCs w:val="20"/>
        </w:rPr>
        <w:t>有效期至：202</w:t>
      </w:r>
      <w:r>
        <w:rPr>
          <w:rFonts w:hint="eastAsia" w:ascii="宋体" w:hAnsi="宋体" w:eastAsia="宋体" w:cs="宋体"/>
          <w:spacing w:val="3"/>
          <w:sz w:val="20"/>
          <w:szCs w:val="20"/>
          <w:lang w:val="en-US" w:eastAsia="zh-CN"/>
        </w:rPr>
        <w:t>6</w:t>
      </w:r>
      <w:r>
        <w:rPr>
          <w:rFonts w:ascii="宋体" w:hAnsi="宋体" w:eastAsia="宋体" w:cs="宋体"/>
          <w:spacing w:val="3"/>
          <w:sz w:val="20"/>
          <w:szCs w:val="20"/>
        </w:rPr>
        <w:t>年1月</w:t>
      </w:r>
    </w:p>
    <w:p w14:paraId="58EF399D">
      <w:pPr>
        <w:spacing w:line="185" w:lineRule="auto"/>
        <w:rPr>
          <w:rFonts w:ascii="宋体" w:hAnsi="宋体" w:eastAsia="宋体" w:cs="宋体"/>
          <w:sz w:val="20"/>
          <w:szCs w:val="20"/>
        </w:rPr>
        <w:sectPr>
          <w:type w:val="continuous"/>
          <w:pgSz w:w="11910" w:h="16840"/>
          <w:pgMar w:top="1109" w:right="1189" w:bottom="0" w:left="1239" w:header="867" w:footer="0" w:gutter="0"/>
          <w:cols w:equalWidth="0" w:num="4">
            <w:col w:w="4711" w:space="100"/>
            <w:col w:w="854" w:space="100"/>
            <w:col w:w="1177" w:space="100"/>
            <w:col w:w="2441"/>
          </w:cols>
        </w:sectPr>
      </w:pPr>
    </w:p>
    <w:p w14:paraId="66BB9C86">
      <w:pPr>
        <w:spacing w:line="26" w:lineRule="exact"/>
      </w:pPr>
    </w:p>
    <w:tbl>
      <w:tblPr>
        <w:tblStyle w:val="5"/>
        <w:tblW w:w="9390" w:type="dxa"/>
        <w:tblInd w:w="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500"/>
        <w:gridCol w:w="500"/>
        <w:gridCol w:w="790"/>
        <w:gridCol w:w="780"/>
        <w:gridCol w:w="780"/>
        <w:gridCol w:w="780"/>
        <w:gridCol w:w="780"/>
        <w:gridCol w:w="790"/>
        <w:gridCol w:w="780"/>
        <w:gridCol w:w="790"/>
        <w:gridCol w:w="780"/>
        <w:gridCol w:w="800"/>
      </w:tblGrid>
      <w:tr w14:paraId="7E745B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540" w:type="dxa"/>
            <w:vMerge w:val="restart"/>
            <w:tcBorders>
              <w:left w:val="nil"/>
              <w:bottom w:val="nil"/>
            </w:tcBorders>
            <w:vAlign w:val="top"/>
          </w:tcPr>
          <w:p w14:paraId="073083E6">
            <w:pPr>
              <w:spacing w:line="409" w:lineRule="auto"/>
              <w:rPr>
                <w:rFonts w:ascii="Arial"/>
                <w:sz w:val="21"/>
              </w:rPr>
            </w:pPr>
          </w:p>
          <w:p w14:paraId="15E80554">
            <w:pPr>
              <w:pStyle w:val="6"/>
              <w:spacing w:before="62" w:line="228" w:lineRule="auto"/>
              <w:ind w:left="80" w:right="66"/>
              <w:rPr>
                <w:sz w:val="19"/>
                <w:szCs w:val="19"/>
              </w:rPr>
            </w:pPr>
            <w:r>
              <w:rPr>
                <w:spacing w:val="4"/>
                <w:sz w:val="19"/>
                <w:szCs w:val="19"/>
              </w:rPr>
              <w:t>能源</w:t>
            </w:r>
            <w:r>
              <w:rPr>
                <w:sz w:val="19"/>
                <w:szCs w:val="19"/>
              </w:rPr>
              <w:t xml:space="preserve"> </w:t>
            </w:r>
            <w:r>
              <w:rPr>
                <w:spacing w:val="-3"/>
                <w:sz w:val="19"/>
                <w:szCs w:val="19"/>
              </w:rPr>
              <w:t>名称</w:t>
            </w:r>
          </w:p>
        </w:tc>
        <w:tc>
          <w:tcPr>
            <w:tcW w:w="500" w:type="dxa"/>
            <w:vMerge w:val="restart"/>
            <w:tcBorders>
              <w:bottom w:val="nil"/>
            </w:tcBorders>
            <w:vAlign w:val="top"/>
          </w:tcPr>
          <w:p w14:paraId="1774A446">
            <w:pPr>
              <w:spacing w:line="410" w:lineRule="auto"/>
              <w:rPr>
                <w:rFonts w:ascii="Arial"/>
                <w:sz w:val="21"/>
              </w:rPr>
            </w:pPr>
          </w:p>
          <w:p w14:paraId="29D8B1D1">
            <w:pPr>
              <w:pStyle w:val="6"/>
              <w:spacing w:before="62" w:line="221" w:lineRule="auto"/>
              <w:ind w:left="55" w:right="62"/>
              <w:rPr>
                <w:sz w:val="19"/>
                <w:szCs w:val="19"/>
              </w:rPr>
            </w:pPr>
            <w:r>
              <w:rPr>
                <w:spacing w:val="-4"/>
                <w:sz w:val="19"/>
                <w:szCs w:val="19"/>
              </w:rPr>
              <w:t>计量</w:t>
            </w:r>
            <w:r>
              <w:rPr>
                <w:sz w:val="19"/>
                <w:szCs w:val="19"/>
              </w:rPr>
              <w:t xml:space="preserve"> </w:t>
            </w:r>
            <w:r>
              <w:rPr>
                <w:spacing w:val="-5"/>
                <w:sz w:val="19"/>
                <w:szCs w:val="19"/>
              </w:rPr>
              <w:t>单位</w:t>
            </w:r>
          </w:p>
        </w:tc>
        <w:tc>
          <w:tcPr>
            <w:tcW w:w="500" w:type="dxa"/>
            <w:vMerge w:val="restart"/>
            <w:tcBorders>
              <w:bottom w:val="nil"/>
            </w:tcBorders>
            <w:vAlign w:val="top"/>
          </w:tcPr>
          <w:p w14:paraId="692D5BC5">
            <w:pPr>
              <w:spacing w:line="254" w:lineRule="auto"/>
              <w:rPr>
                <w:rFonts w:ascii="Arial"/>
                <w:sz w:val="21"/>
              </w:rPr>
            </w:pPr>
          </w:p>
          <w:p w14:paraId="0F6196D4">
            <w:pPr>
              <w:spacing w:line="254" w:lineRule="auto"/>
              <w:rPr>
                <w:rFonts w:ascii="Arial"/>
                <w:sz w:val="21"/>
              </w:rPr>
            </w:pPr>
          </w:p>
          <w:p w14:paraId="2BE25223">
            <w:pPr>
              <w:pStyle w:val="6"/>
              <w:spacing w:before="61" w:line="219" w:lineRule="auto"/>
              <w:ind w:left="55"/>
              <w:rPr>
                <w:sz w:val="19"/>
                <w:szCs w:val="19"/>
              </w:rPr>
            </w:pPr>
            <w:r>
              <w:rPr>
                <w:spacing w:val="-2"/>
                <w:sz w:val="19"/>
                <w:szCs w:val="19"/>
              </w:rPr>
              <w:t>代码</w:t>
            </w:r>
          </w:p>
        </w:tc>
        <w:tc>
          <w:tcPr>
            <w:tcW w:w="790" w:type="dxa"/>
            <w:vMerge w:val="restart"/>
            <w:tcBorders>
              <w:bottom w:val="nil"/>
            </w:tcBorders>
            <w:vAlign w:val="top"/>
          </w:tcPr>
          <w:p w14:paraId="046A8E22">
            <w:pPr>
              <w:spacing w:line="409" w:lineRule="auto"/>
              <w:rPr>
                <w:rFonts w:ascii="Arial"/>
                <w:sz w:val="21"/>
              </w:rPr>
            </w:pPr>
          </w:p>
          <w:p w14:paraId="2F1D51E9">
            <w:pPr>
              <w:pStyle w:val="6"/>
              <w:spacing w:before="61" w:line="221" w:lineRule="auto"/>
              <w:ind w:left="105" w:right="113" w:firstLine="90"/>
              <w:rPr>
                <w:sz w:val="19"/>
                <w:szCs w:val="19"/>
              </w:rPr>
            </w:pPr>
            <w:r>
              <w:rPr>
                <w:spacing w:val="-5"/>
                <w:sz w:val="19"/>
                <w:szCs w:val="19"/>
              </w:rPr>
              <w:t>年初</w:t>
            </w:r>
            <w:r>
              <w:rPr>
                <w:sz w:val="19"/>
                <w:szCs w:val="19"/>
              </w:rPr>
              <w:t xml:space="preserve">  </w:t>
            </w:r>
            <w:r>
              <w:rPr>
                <w:spacing w:val="-3"/>
                <w:sz w:val="19"/>
                <w:szCs w:val="19"/>
              </w:rPr>
              <w:t>库存量</w:t>
            </w:r>
          </w:p>
        </w:tc>
        <w:tc>
          <w:tcPr>
            <w:tcW w:w="4690" w:type="dxa"/>
            <w:gridSpan w:val="6"/>
            <w:vAlign w:val="top"/>
          </w:tcPr>
          <w:p w14:paraId="541CC42E">
            <w:pPr>
              <w:pStyle w:val="6"/>
              <w:spacing w:before="131" w:line="219" w:lineRule="auto"/>
              <w:ind w:left="2045"/>
              <w:rPr>
                <w:sz w:val="19"/>
                <w:szCs w:val="19"/>
              </w:rPr>
            </w:pPr>
            <w:r>
              <w:rPr>
                <w:spacing w:val="9"/>
                <w:sz w:val="19"/>
                <w:szCs w:val="19"/>
              </w:rPr>
              <w:t>1-本月</w:t>
            </w:r>
          </w:p>
        </w:tc>
        <w:tc>
          <w:tcPr>
            <w:tcW w:w="790" w:type="dxa"/>
            <w:vMerge w:val="restart"/>
            <w:tcBorders>
              <w:bottom w:val="nil"/>
            </w:tcBorders>
            <w:vAlign w:val="top"/>
          </w:tcPr>
          <w:p w14:paraId="693A948E">
            <w:pPr>
              <w:spacing w:line="409" w:lineRule="auto"/>
              <w:rPr>
                <w:rFonts w:ascii="Arial"/>
                <w:sz w:val="21"/>
              </w:rPr>
            </w:pPr>
          </w:p>
          <w:p w14:paraId="33C7A4C2">
            <w:pPr>
              <w:pStyle w:val="6"/>
              <w:spacing w:before="62" w:line="211" w:lineRule="auto"/>
              <w:ind w:left="105" w:right="94"/>
              <w:rPr>
                <w:sz w:val="19"/>
                <w:szCs w:val="19"/>
              </w:rPr>
            </w:pPr>
            <w:r>
              <w:rPr>
                <w:spacing w:val="-9"/>
                <w:sz w:val="19"/>
                <w:szCs w:val="19"/>
              </w:rPr>
              <w:t>期</w:t>
            </w:r>
            <w:r>
              <w:rPr>
                <w:spacing w:val="13"/>
                <w:sz w:val="19"/>
                <w:szCs w:val="19"/>
              </w:rPr>
              <w:t xml:space="preserve">  </w:t>
            </w:r>
            <w:r>
              <w:rPr>
                <w:spacing w:val="-9"/>
                <w:sz w:val="19"/>
                <w:szCs w:val="19"/>
              </w:rPr>
              <w:t>末</w:t>
            </w:r>
            <w:r>
              <w:rPr>
                <w:spacing w:val="1"/>
                <w:sz w:val="19"/>
                <w:szCs w:val="19"/>
              </w:rPr>
              <w:t xml:space="preserve"> </w:t>
            </w:r>
            <w:r>
              <w:rPr>
                <w:spacing w:val="-2"/>
                <w:sz w:val="19"/>
                <w:szCs w:val="19"/>
              </w:rPr>
              <w:t>库存量</w:t>
            </w:r>
          </w:p>
        </w:tc>
        <w:tc>
          <w:tcPr>
            <w:tcW w:w="780" w:type="dxa"/>
            <w:vMerge w:val="restart"/>
            <w:tcBorders>
              <w:bottom w:val="nil"/>
            </w:tcBorders>
            <w:vAlign w:val="top"/>
          </w:tcPr>
          <w:p w14:paraId="03223E4A">
            <w:pPr>
              <w:spacing w:line="407" w:lineRule="auto"/>
              <w:rPr>
                <w:rFonts w:ascii="Arial"/>
                <w:sz w:val="21"/>
              </w:rPr>
            </w:pPr>
          </w:p>
          <w:p w14:paraId="38B083C5">
            <w:pPr>
              <w:pStyle w:val="6"/>
              <w:spacing w:before="61" w:line="222" w:lineRule="auto"/>
              <w:ind w:left="94" w:right="1" w:hanging="80"/>
              <w:rPr>
                <w:sz w:val="19"/>
                <w:szCs w:val="19"/>
              </w:rPr>
            </w:pPr>
            <w:r>
              <w:rPr>
                <w:spacing w:val="-2"/>
                <w:sz w:val="19"/>
                <w:szCs w:val="19"/>
              </w:rPr>
              <w:t>采用折标</w:t>
            </w:r>
            <w:r>
              <w:rPr>
                <w:sz w:val="19"/>
                <w:szCs w:val="19"/>
              </w:rPr>
              <w:t xml:space="preserve"> </w:t>
            </w:r>
            <w:r>
              <w:rPr>
                <w:spacing w:val="-6"/>
                <w:sz w:val="19"/>
                <w:szCs w:val="19"/>
              </w:rPr>
              <w:t>系</w:t>
            </w:r>
            <w:r>
              <w:rPr>
                <w:spacing w:val="4"/>
                <w:sz w:val="19"/>
                <w:szCs w:val="19"/>
              </w:rPr>
              <w:t xml:space="preserve">  </w:t>
            </w:r>
            <w:r>
              <w:rPr>
                <w:spacing w:val="-6"/>
                <w:sz w:val="19"/>
                <w:szCs w:val="19"/>
              </w:rPr>
              <w:t>数</w:t>
            </w:r>
          </w:p>
        </w:tc>
        <w:tc>
          <w:tcPr>
            <w:tcW w:w="800" w:type="dxa"/>
            <w:vMerge w:val="restart"/>
            <w:tcBorders>
              <w:bottom w:val="nil"/>
              <w:right w:val="nil"/>
            </w:tcBorders>
            <w:vAlign w:val="top"/>
          </w:tcPr>
          <w:p w14:paraId="0B845509">
            <w:pPr>
              <w:spacing w:line="399" w:lineRule="auto"/>
              <w:rPr>
                <w:rFonts w:ascii="Arial"/>
                <w:sz w:val="21"/>
              </w:rPr>
            </w:pPr>
          </w:p>
          <w:p w14:paraId="2BEA228B">
            <w:pPr>
              <w:pStyle w:val="6"/>
              <w:spacing w:before="62" w:line="221" w:lineRule="auto"/>
              <w:ind w:left="15" w:right="28"/>
              <w:rPr>
                <w:sz w:val="19"/>
                <w:szCs w:val="19"/>
              </w:rPr>
            </w:pPr>
            <w:r>
              <w:rPr>
                <w:spacing w:val="-3"/>
                <w:sz w:val="19"/>
                <w:szCs w:val="19"/>
              </w:rPr>
              <w:t>参考折标</w:t>
            </w:r>
            <w:r>
              <w:rPr>
                <w:spacing w:val="2"/>
                <w:sz w:val="19"/>
                <w:szCs w:val="19"/>
              </w:rPr>
              <w:t xml:space="preserve"> </w:t>
            </w:r>
            <w:r>
              <w:rPr>
                <w:spacing w:val="-11"/>
                <w:sz w:val="19"/>
                <w:szCs w:val="19"/>
              </w:rPr>
              <w:t>系</w:t>
            </w:r>
            <w:r>
              <w:rPr>
                <w:spacing w:val="2"/>
                <w:sz w:val="19"/>
                <w:szCs w:val="19"/>
              </w:rPr>
              <w:t xml:space="preserve">    </w:t>
            </w:r>
            <w:r>
              <w:rPr>
                <w:spacing w:val="-11"/>
                <w:sz w:val="19"/>
                <w:szCs w:val="19"/>
              </w:rPr>
              <w:t>数</w:t>
            </w:r>
          </w:p>
        </w:tc>
      </w:tr>
      <w:tr w14:paraId="54FB88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540" w:type="dxa"/>
            <w:vMerge w:val="continue"/>
            <w:tcBorders>
              <w:top w:val="nil"/>
              <w:left w:val="nil"/>
              <w:bottom w:val="nil"/>
            </w:tcBorders>
            <w:vAlign w:val="top"/>
          </w:tcPr>
          <w:p w14:paraId="4F94D917">
            <w:pPr>
              <w:rPr>
                <w:rFonts w:ascii="Arial"/>
                <w:sz w:val="21"/>
              </w:rPr>
            </w:pPr>
          </w:p>
        </w:tc>
        <w:tc>
          <w:tcPr>
            <w:tcW w:w="500" w:type="dxa"/>
            <w:vMerge w:val="continue"/>
            <w:tcBorders>
              <w:top w:val="nil"/>
              <w:bottom w:val="nil"/>
            </w:tcBorders>
            <w:vAlign w:val="top"/>
          </w:tcPr>
          <w:p w14:paraId="2F30B4EC">
            <w:pPr>
              <w:rPr>
                <w:rFonts w:ascii="Arial"/>
                <w:sz w:val="21"/>
              </w:rPr>
            </w:pPr>
          </w:p>
        </w:tc>
        <w:tc>
          <w:tcPr>
            <w:tcW w:w="500" w:type="dxa"/>
            <w:vMerge w:val="continue"/>
            <w:tcBorders>
              <w:top w:val="nil"/>
              <w:bottom w:val="nil"/>
            </w:tcBorders>
            <w:vAlign w:val="top"/>
          </w:tcPr>
          <w:p w14:paraId="09029000">
            <w:pPr>
              <w:rPr>
                <w:rFonts w:ascii="Arial"/>
                <w:sz w:val="21"/>
              </w:rPr>
            </w:pPr>
          </w:p>
        </w:tc>
        <w:tc>
          <w:tcPr>
            <w:tcW w:w="790" w:type="dxa"/>
            <w:vMerge w:val="continue"/>
            <w:tcBorders>
              <w:top w:val="nil"/>
              <w:bottom w:val="nil"/>
            </w:tcBorders>
            <w:vAlign w:val="top"/>
          </w:tcPr>
          <w:p w14:paraId="51D218D5">
            <w:pPr>
              <w:rPr>
                <w:rFonts w:ascii="Arial"/>
                <w:sz w:val="21"/>
              </w:rPr>
            </w:pPr>
          </w:p>
        </w:tc>
        <w:tc>
          <w:tcPr>
            <w:tcW w:w="1560" w:type="dxa"/>
            <w:gridSpan w:val="2"/>
            <w:vAlign w:val="top"/>
          </w:tcPr>
          <w:p w14:paraId="32E65C34">
            <w:pPr>
              <w:spacing w:line="219" w:lineRule="exact"/>
              <w:rPr>
                <w:rFonts w:ascii="Arial"/>
                <w:sz w:val="19"/>
              </w:rPr>
            </w:pPr>
          </w:p>
        </w:tc>
        <w:tc>
          <w:tcPr>
            <w:tcW w:w="780" w:type="dxa"/>
            <w:vMerge w:val="restart"/>
            <w:tcBorders>
              <w:bottom w:val="nil"/>
            </w:tcBorders>
            <w:vAlign w:val="top"/>
          </w:tcPr>
          <w:p w14:paraId="59897D81">
            <w:pPr>
              <w:pStyle w:val="6"/>
              <w:spacing w:before="249" w:line="227" w:lineRule="auto"/>
              <w:ind w:left="95" w:hanging="80"/>
              <w:rPr>
                <w:sz w:val="19"/>
                <w:szCs w:val="19"/>
              </w:rPr>
            </w:pPr>
            <w:r>
              <w:rPr>
                <w:spacing w:val="-2"/>
                <w:sz w:val="19"/>
                <w:szCs w:val="19"/>
              </w:rPr>
              <w:t>购进金额</w:t>
            </w:r>
            <w:r>
              <w:rPr>
                <w:spacing w:val="1"/>
                <w:sz w:val="19"/>
                <w:szCs w:val="19"/>
              </w:rPr>
              <w:t xml:space="preserve"> </w:t>
            </w:r>
            <w:r>
              <w:rPr>
                <w:spacing w:val="10"/>
                <w:sz w:val="19"/>
                <w:szCs w:val="19"/>
              </w:rPr>
              <w:t>(千元)</w:t>
            </w:r>
          </w:p>
        </w:tc>
        <w:tc>
          <w:tcPr>
            <w:tcW w:w="2350" w:type="dxa"/>
            <w:gridSpan w:val="3"/>
            <w:vAlign w:val="top"/>
          </w:tcPr>
          <w:p w14:paraId="71BCFF65">
            <w:pPr>
              <w:pStyle w:val="6"/>
              <w:spacing w:before="32" w:line="181" w:lineRule="auto"/>
              <w:ind w:left="115"/>
              <w:rPr>
                <w:sz w:val="19"/>
                <w:szCs w:val="19"/>
              </w:rPr>
            </w:pPr>
            <w:r>
              <w:rPr>
                <w:spacing w:val="-5"/>
                <w:sz w:val="19"/>
                <w:szCs w:val="19"/>
              </w:rPr>
              <w:t>工</w:t>
            </w:r>
            <w:r>
              <w:rPr>
                <w:spacing w:val="3"/>
                <w:sz w:val="19"/>
                <w:szCs w:val="19"/>
              </w:rPr>
              <w:t xml:space="preserve">  </w:t>
            </w:r>
            <w:r>
              <w:rPr>
                <w:spacing w:val="-5"/>
                <w:sz w:val="19"/>
                <w:szCs w:val="19"/>
              </w:rPr>
              <w:t>业</w:t>
            </w:r>
          </w:p>
        </w:tc>
        <w:tc>
          <w:tcPr>
            <w:tcW w:w="790" w:type="dxa"/>
            <w:vMerge w:val="continue"/>
            <w:tcBorders>
              <w:top w:val="nil"/>
              <w:bottom w:val="nil"/>
            </w:tcBorders>
            <w:vAlign w:val="top"/>
          </w:tcPr>
          <w:p w14:paraId="16D4405D">
            <w:pPr>
              <w:rPr>
                <w:rFonts w:ascii="Arial"/>
                <w:sz w:val="21"/>
              </w:rPr>
            </w:pPr>
          </w:p>
        </w:tc>
        <w:tc>
          <w:tcPr>
            <w:tcW w:w="780" w:type="dxa"/>
            <w:vMerge w:val="continue"/>
            <w:tcBorders>
              <w:top w:val="nil"/>
              <w:bottom w:val="nil"/>
            </w:tcBorders>
            <w:vAlign w:val="top"/>
          </w:tcPr>
          <w:p w14:paraId="79AA81F6">
            <w:pPr>
              <w:rPr>
                <w:rFonts w:ascii="Arial"/>
                <w:sz w:val="21"/>
              </w:rPr>
            </w:pPr>
          </w:p>
        </w:tc>
        <w:tc>
          <w:tcPr>
            <w:tcW w:w="800" w:type="dxa"/>
            <w:vMerge w:val="continue"/>
            <w:tcBorders>
              <w:top w:val="nil"/>
              <w:bottom w:val="nil"/>
              <w:right w:val="nil"/>
            </w:tcBorders>
            <w:vAlign w:val="top"/>
          </w:tcPr>
          <w:p w14:paraId="54748698">
            <w:pPr>
              <w:rPr>
                <w:rFonts w:ascii="Arial"/>
                <w:sz w:val="21"/>
              </w:rPr>
            </w:pPr>
          </w:p>
        </w:tc>
      </w:tr>
      <w:tr w14:paraId="6E4C99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540" w:type="dxa"/>
            <w:vMerge w:val="continue"/>
            <w:tcBorders>
              <w:top w:val="nil"/>
              <w:left w:val="nil"/>
            </w:tcBorders>
            <w:vAlign w:val="top"/>
          </w:tcPr>
          <w:p w14:paraId="16687847">
            <w:pPr>
              <w:rPr>
                <w:rFonts w:ascii="Arial"/>
                <w:sz w:val="21"/>
              </w:rPr>
            </w:pPr>
          </w:p>
        </w:tc>
        <w:tc>
          <w:tcPr>
            <w:tcW w:w="500" w:type="dxa"/>
            <w:vMerge w:val="continue"/>
            <w:tcBorders>
              <w:top w:val="nil"/>
            </w:tcBorders>
            <w:vAlign w:val="top"/>
          </w:tcPr>
          <w:p w14:paraId="5711A8E8">
            <w:pPr>
              <w:rPr>
                <w:rFonts w:ascii="Arial"/>
                <w:sz w:val="21"/>
              </w:rPr>
            </w:pPr>
          </w:p>
        </w:tc>
        <w:tc>
          <w:tcPr>
            <w:tcW w:w="500" w:type="dxa"/>
            <w:vMerge w:val="continue"/>
            <w:tcBorders>
              <w:top w:val="nil"/>
            </w:tcBorders>
            <w:vAlign w:val="top"/>
          </w:tcPr>
          <w:p w14:paraId="62DA5E43">
            <w:pPr>
              <w:rPr>
                <w:rFonts w:ascii="Arial"/>
                <w:sz w:val="21"/>
              </w:rPr>
            </w:pPr>
          </w:p>
        </w:tc>
        <w:tc>
          <w:tcPr>
            <w:tcW w:w="790" w:type="dxa"/>
            <w:vMerge w:val="continue"/>
            <w:tcBorders>
              <w:top w:val="nil"/>
            </w:tcBorders>
            <w:vAlign w:val="top"/>
          </w:tcPr>
          <w:p w14:paraId="0187658E">
            <w:pPr>
              <w:rPr>
                <w:rFonts w:ascii="Arial"/>
                <w:sz w:val="21"/>
              </w:rPr>
            </w:pPr>
          </w:p>
        </w:tc>
        <w:tc>
          <w:tcPr>
            <w:tcW w:w="780" w:type="dxa"/>
            <w:vAlign w:val="top"/>
          </w:tcPr>
          <w:p w14:paraId="3E35DD3F">
            <w:pPr>
              <w:pStyle w:val="6"/>
              <w:spacing w:before="111" w:line="220" w:lineRule="auto"/>
              <w:ind w:left="94"/>
              <w:rPr>
                <w:sz w:val="19"/>
                <w:szCs w:val="19"/>
              </w:rPr>
            </w:pPr>
            <w:r>
              <w:rPr>
                <w:spacing w:val="-2"/>
                <w:sz w:val="19"/>
                <w:szCs w:val="19"/>
              </w:rPr>
              <w:t>购进量</w:t>
            </w:r>
          </w:p>
        </w:tc>
        <w:tc>
          <w:tcPr>
            <w:tcW w:w="780" w:type="dxa"/>
            <w:vAlign w:val="top"/>
          </w:tcPr>
          <w:p w14:paraId="2C6A364F">
            <w:pPr>
              <w:pStyle w:val="6"/>
              <w:spacing w:before="121" w:line="223" w:lineRule="auto"/>
              <w:ind w:left="195"/>
              <w:rPr>
                <w:sz w:val="19"/>
                <w:szCs w:val="19"/>
              </w:rPr>
            </w:pPr>
            <w:r>
              <w:rPr>
                <w:spacing w:val="15"/>
                <w:sz w:val="19"/>
                <w:szCs w:val="19"/>
              </w:rPr>
              <w:t>购自</w:t>
            </w:r>
          </w:p>
          <w:p w14:paraId="480642B0">
            <w:pPr>
              <w:pStyle w:val="6"/>
              <w:spacing w:line="219" w:lineRule="auto"/>
              <w:ind w:left="195"/>
              <w:rPr>
                <w:sz w:val="19"/>
                <w:szCs w:val="19"/>
              </w:rPr>
            </w:pPr>
            <w:r>
              <w:rPr>
                <w:spacing w:val="5"/>
                <w:sz w:val="19"/>
                <w:szCs w:val="19"/>
              </w:rPr>
              <w:t>省外</w:t>
            </w:r>
          </w:p>
        </w:tc>
        <w:tc>
          <w:tcPr>
            <w:tcW w:w="780" w:type="dxa"/>
            <w:vMerge w:val="continue"/>
            <w:tcBorders>
              <w:top w:val="nil"/>
            </w:tcBorders>
            <w:vAlign w:val="top"/>
          </w:tcPr>
          <w:p w14:paraId="3F70DEAD">
            <w:pPr>
              <w:rPr>
                <w:rFonts w:ascii="Arial"/>
                <w:sz w:val="21"/>
              </w:rPr>
            </w:pPr>
          </w:p>
        </w:tc>
        <w:tc>
          <w:tcPr>
            <w:tcW w:w="780" w:type="dxa"/>
            <w:vAlign w:val="top"/>
          </w:tcPr>
          <w:p w14:paraId="6C4DCE81">
            <w:pPr>
              <w:pStyle w:val="6"/>
              <w:spacing w:before="110" w:line="232" w:lineRule="auto"/>
              <w:ind w:left="95" w:right="93"/>
              <w:rPr>
                <w:sz w:val="19"/>
                <w:szCs w:val="19"/>
              </w:rPr>
            </w:pPr>
            <w:r>
              <w:rPr>
                <w:spacing w:val="-9"/>
                <w:sz w:val="19"/>
                <w:szCs w:val="19"/>
              </w:rPr>
              <w:t>生</w:t>
            </w:r>
            <w:r>
              <w:rPr>
                <w:spacing w:val="14"/>
                <w:sz w:val="19"/>
                <w:szCs w:val="19"/>
              </w:rPr>
              <w:t xml:space="preserve">  </w:t>
            </w:r>
            <w:r>
              <w:rPr>
                <w:spacing w:val="-9"/>
                <w:sz w:val="19"/>
                <w:szCs w:val="19"/>
              </w:rPr>
              <w:t>产</w:t>
            </w:r>
            <w:r>
              <w:rPr>
                <w:sz w:val="19"/>
                <w:szCs w:val="19"/>
              </w:rPr>
              <w:t xml:space="preserve"> </w:t>
            </w:r>
            <w:r>
              <w:rPr>
                <w:spacing w:val="-3"/>
                <w:sz w:val="19"/>
                <w:szCs w:val="19"/>
              </w:rPr>
              <w:t>消费量</w:t>
            </w:r>
          </w:p>
        </w:tc>
        <w:tc>
          <w:tcPr>
            <w:tcW w:w="790" w:type="dxa"/>
            <w:vAlign w:val="top"/>
          </w:tcPr>
          <w:p w14:paraId="028B37C3">
            <w:pPr>
              <w:pStyle w:val="6"/>
              <w:spacing w:before="111" w:line="230" w:lineRule="auto"/>
              <w:ind w:left="105" w:right="93"/>
              <w:rPr>
                <w:sz w:val="19"/>
                <w:szCs w:val="19"/>
              </w:rPr>
            </w:pPr>
            <w:r>
              <w:rPr>
                <w:spacing w:val="-10"/>
                <w:sz w:val="19"/>
                <w:szCs w:val="19"/>
              </w:rPr>
              <w:t>用</w:t>
            </w:r>
            <w:r>
              <w:rPr>
                <w:spacing w:val="15"/>
                <w:sz w:val="19"/>
                <w:szCs w:val="19"/>
              </w:rPr>
              <w:t xml:space="preserve">  </w:t>
            </w:r>
            <w:r>
              <w:rPr>
                <w:spacing w:val="-10"/>
                <w:sz w:val="19"/>
                <w:szCs w:val="19"/>
              </w:rPr>
              <w:t>于</w:t>
            </w:r>
            <w:r>
              <w:rPr>
                <w:sz w:val="19"/>
                <w:szCs w:val="19"/>
              </w:rPr>
              <w:t xml:space="preserve"> </w:t>
            </w:r>
            <w:r>
              <w:rPr>
                <w:spacing w:val="-3"/>
                <w:sz w:val="19"/>
                <w:szCs w:val="19"/>
              </w:rPr>
              <w:t>原材料</w:t>
            </w:r>
          </w:p>
        </w:tc>
        <w:tc>
          <w:tcPr>
            <w:tcW w:w="780" w:type="dxa"/>
            <w:vAlign w:val="top"/>
          </w:tcPr>
          <w:p w14:paraId="0DA32A2D">
            <w:pPr>
              <w:pStyle w:val="6"/>
              <w:spacing w:before="120" w:line="227" w:lineRule="auto"/>
              <w:ind w:left="95" w:right="93"/>
              <w:rPr>
                <w:sz w:val="19"/>
                <w:szCs w:val="19"/>
              </w:rPr>
            </w:pPr>
            <w:r>
              <w:rPr>
                <w:spacing w:val="-3"/>
                <w:sz w:val="19"/>
                <w:szCs w:val="19"/>
              </w:rPr>
              <w:t>运输工</w:t>
            </w:r>
            <w:r>
              <w:rPr>
                <w:sz w:val="19"/>
                <w:szCs w:val="19"/>
              </w:rPr>
              <w:t xml:space="preserve"> </w:t>
            </w:r>
            <w:r>
              <w:rPr>
                <w:spacing w:val="3"/>
                <w:sz w:val="19"/>
                <w:szCs w:val="19"/>
              </w:rPr>
              <w:t>具消费</w:t>
            </w:r>
          </w:p>
        </w:tc>
        <w:tc>
          <w:tcPr>
            <w:tcW w:w="790" w:type="dxa"/>
            <w:vMerge w:val="continue"/>
            <w:tcBorders>
              <w:top w:val="nil"/>
            </w:tcBorders>
            <w:vAlign w:val="top"/>
          </w:tcPr>
          <w:p w14:paraId="262A3262">
            <w:pPr>
              <w:rPr>
                <w:rFonts w:ascii="Arial"/>
                <w:sz w:val="21"/>
              </w:rPr>
            </w:pPr>
          </w:p>
        </w:tc>
        <w:tc>
          <w:tcPr>
            <w:tcW w:w="780" w:type="dxa"/>
            <w:vMerge w:val="continue"/>
            <w:tcBorders>
              <w:top w:val="nil"/>
            </w:tcBorders>
            <w:vAlign w:val="top"/>
          </w:tcPr>
          <w:p w14:paraId="782C13D7">
            <w:pPr>
              <w:rPr>
                <w:rFonts w:ascii="Arial"/>
                <w:sz w:val="21"/>
              </w:rPr>
            </w:pPr>
          </w:p>
        </w:tc>
        <w:tc>
          <w:tcPr>
            <w:tcW w:w="800" w:type="dxa"/>
            <w:vMerge w:val="continue"/>
            <w:tcBorders>
              <w:top w:val="nil"/>
              <w:right w:val="nil"/>
            </w:tcBorders>
            <w:vAlign w:val="top"/>
          </w:tcPr>
          <w:p w14:paraId="3D15A86F">
            <w:pPr>
              <w:rPr>
                <w:rFonts w:ascii="Arial"/>
                <w:sz w:val="21"/>
              </w:rPr>
            </w:pPr>
          </w:p>
        </w:tc>
      </w:tr>
      <w:tr w14:paraId="66C4F7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540" w:type="dxa"/>
            <w:tcBorders>
              <w:left w:val="nil"/>
            </w:tcBorders>
            <w:vAlign w:val="top"/>
          </w:tcPr>
          <w:p w14:paraId="47A15150">
            <w:pPr>
              <w:pStyle w:val="6"/>
              <w:spacing w:before="66" w:line="222" w:lineRule="auto"/>
              <w:ind w:left="170"/>
              <w:rPr>
                <w:sz w:val="19"/>
                <w:szCs w:val="19"/>
              </w:rPr>
            </w:pPr>
            <w:r>
              <w:rPr>
                <w:sz w:val="19"/>
                <w:szCs w:val="19"/>
              </w:rPr>
              <w:t>甲</w:t>
            </w:r>
          </w:p>
        </w:tc>
        <w:tc>
          <w:tcPr>
            <w:tcW w:w="500" w:type="dxa"/>
            <w:vAlign w:val="top"/>
          </w:tcPr>
          <w:p w14:paraId="37FDF42D">
            <w:pPr>
              <w:pStyle w:val="6"/>
              <w:spacing w:before="79" w:line="213" w:lineRule="auto"/>
              <w:ind w:left="145"/>
              <w:rPr>
                <w:sz w:val="19"/>
                <w:szCs w:val="19"/>
              </w:rPr>
            </w:pPr>
            <w:r>
              <w:rPr>
                <w:sz w:val="19"/>
                <w:szCs w:val="19"/>
              </w:rPr>
              <w:t>乙</w:t>
            </w:r>
          </w:p>
        </w:tc>
        <w:tc>
          <w:tcPr>
            <w:tcW w:w="500" w:type="dxa"/>
            <w:vAlign w:val="top"/>
          </w:tcPr>
          <w:p w14:paraId="0AEB7DFE">
            <w:pPr>
              <w:pStyle w:val="6"/>
              <w:spacing w:before="64" w:line="220" w:lineRule="auto"/>
              <w:ind w:left="145"/>
              <w:rPr>
                <w:sz w:val="19"/>
                <w:szCs w:val="19"/>
              </w:rPr>
            </w:pPr>
            <w:r>
              <w:rPr>
                <w:sz w:val="19"/>
                <w:szCs w:val="19"/>
              </w:rPr>
              <w:t>丙</w:t>
            </w:r>
          </w:p>
        </w:tc>
        <w:tc>
          <w:tcPr>
            <w:tcW w:w="790" w:type="dxa"/>
            <w:vAlign w:val="top"/>
          </w:tcPr>
          <w:p w14:paraId="7BD905C1">
            <w:pPr>
              <w:rPr>
                <w:rFonts w:ascii="Arial"/>
                <w:sz w:val="21"/>
              </w:rPr>
            </w:pPr>
          </w:p>
        </w:tc>
        <w:tc>
          <w:tcPr>
            <w:tcW w:w="780" w:type="dxa"/>
            <w:vAlign w:val="top"/>
          </w:tcPr>
          <w:p w14:paraId="2A0E7D67">
            <w:pPr>
              <w:pStyle w:val="6"/>
              <w:spacing w:before="112" w:line="181" w:lineRule="auto"/>
              <w:ind w:left="334"/>
              <w:rPr>
                <w:sz w:val="19"/>
                <w:szCs w:val="19"/>
              </w:rPr>
            </w:pPr>
            <w:r>
              <w:rPr>
                <w:sz w:val="19"/>
                <w:szCs w:val="19"/>
              </w:rPr>
              <w:t>2</w:t>
            </w:r>
          </w:p>
        </w:tc>
        <w:tc>
          <w:tcPr>
            <w:tcW w:w="780" w:type="dxa"/>
            <w:vAlign w:val="top"/>
          </w:tcPr>
          <w:p w14:paraId="7E5C5FB3">
            <w:pPr>
              <w:pStyle w:val="6"/>
              <w:spacing w:before="112" w:line="181" w:lineRule="auto"/>
              <w:ind w:left="335"/>
              <w:rPr>
                <w:sz w:val="19"/>
                <w:szCs w:val="19"/>
              </w:rPr>
            </w:pPr>
            <w:r>
              <w:rPr>
                <w:sz w:val="19"/>
                <w:szCs w:val="19"/>
              </w:rPr>
              <w:t>3</w:t>
            </w:r>
          </w:p>
        </w:tc>
        <w:tc>
          <w:tcPr>
            <w:tcW w:w="780" w:type="dxa"/>
            <w:vAlign w:val="top"/>
          </w:tcPr>
          <w:p w14:paraId="2392DF90">
            <w:pPr>
              <w:pStyle w:val="6"/>
              <w:spacing w:before="112" w:line="181" w:lineRule="auto"/>
              <w:ind w:left="335"/>
              <w:rPr>
                <w:sz w:val="19"/>
                <w:szCs w:val="19"/>
              </w:rPr>
            </w:pPr>
            <w:r>
              <w:rPr>
                <w:sz w:val="19"/>
                <w:szCs w:val="19"/>
              </w:rPr>
              <w:t>4</w:t>
            </w:r>
          </w:p>
        </w:tc>
        <w:tc>
          <w:tcPr>
            <w:tcW w:w="780" w:type="dxa"/>
            <w:vAlign w:val="top"/>
          </w:tcPr>
          <w:p w14:paraId="4707DA9D">
            <w:pPr>
              <w:pStyle w:val="6"/>
              <w:spacing w:before="113" w:line="180" w:lineRule="auto"/>
              <w:ind w:left="335"/>
              <w:rPr>
                <w:sz w:val="19"/>
                <w:szCs w:val="19"/>
              </w:rPr>
            </w:pPr>
            <w:r>
              <w:rPr>
                <w:sz w:val="19"/>
                <w:szCs w:val="19"/>
              </w:rPr>
              <w:t>5</w:t>
            </w:r>
          </w:p>
        </w:tc>
        <w:tc>
          <w:tcPr>
            <w:tcW w:w="790" w:type="dxa"/>
            <w:vAlign w:val="top"/>
          </w:tcPr>
          <w:p w14:paraId="6EE630CD">
            <w:pPr>
              <w:pStyle w:val="6"/>
              <w:spacing w:before="112" w:line="181" w:lineRule="auto"/>
              <w:ind w:left="335"/>
              <w:rPr>
                <w:sz w:val="19"/>
                <w:szCs w:val="19"/>
              </w:rPr>
            </w:pPr>
            <w:r>
              <w:rPr>
                <w:sz w:val="19"/>
                <w:szCs w:val="19"/>
              </w:rPr>
              <w:t>6</w:t>
            </w:r>
          </w:p>
        </w:tc>
        <w:tc>
          <w:tcPr>
            <w:tcW w:w="780" w:type="dxa"/>
            <w:vAlign w:val="top"/>
          </w:tcPr>
          <w:p w14:paraId="7E03ACA1">
            <w:pPr>
              <w:rPr>
                <w:rFonts w:ascii="Arial"/>
                <w:sz w:val="21"/>
              </w:rPr>
            </w:pPr>
          </w:p>
        </w:tc>
        <w:tc>
          <w:tcPr>
            <w:tcW w:w="790" w:type="dxa"/>
            <w:vAlign w:val="top"/>
          </w:tcPr>
          <w:p w14:paraId="4CBA5B78">
            <w:pPr>
              <w:pStyle w:val="6"/>
              <w:spacing w:before="112" w:line="181" w:lineRule="auto"/>
              <w:ind w:left="335"/>
              <w:rPr>
                <w:sz w:val="19"/>
                <w:szCs w:val="19"/>
              </w:rPr>
            </w:pPr>
            <w:r>
              <w:rPr>
                <w:sz w:val="19"/>
                <w:szCs w:val="19"/>
              </w:rPr>
              <w:t>8</w:t>
            </w:r>
          </w:p>
        </w:tc>
        <w:tc>
          <w:tcPr>
            <w:tcW w:w="780" w:type="dxa"/>
            <w:vAlign w:val="top"/>
          </w:tcPr>
          <w:p w14:paraId="4AB64E07">
            <w:pPr>
              <w:pStyle w:val="6"/>
              <w:spacing w:before="112" w:line="181" w:lineRule="auto"/>
              <w:ind w:left="335"/>
              <w:rPr>
                <w:sz w:val="19"/>
                <w:szCs w:val="19"/>
              </w:rPr>
            </w:pPr>
            <w:r>
              <w:rPr>
                <w:sz w:val="19"/>
                <w:szCs w:val="19"/>
              </w:rPr>
              <w:t>9</w:t>
            </w:r>
          </w:p>
        </w:tc>
        <w:tc>
          <w:tcPr>
            <w:tcW w:w="800" w:type="dxa"/>
            <w:tcBorders>
              <w:right w:val="nil"/>
            </w:tcBorders>
            <w:vAlign w:val="top"/>
          </w:tcPr>
          <w:p w14:paraId="755F4464">
            <w:pPr>
              <w:pStyle w:val="6"/>
              <w:spacing w:before="64" w:line="221" w:lineRule="auto"/>
              <w:ind w:left="295"/>
              <w:rPr>
                <w:sz w:val="19"/>
                <w:szCs w:val="19"/>
              </w:rPr>
            </w:pPr>
            <w:r>
              <w:rPr>
                <w:sz w:val="19"/>
                <w:szCs w:val="19"/>
              </w:rPr>
              <w:t>丁</w:t>
            </w:r>
          </w:p>
        </w:tc>
      </w:tr>
      <w:tr w14:paraId="0ED904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2" w:hRule="atLeast"/>
        </w:trPr>
        <w:tc>
          <w:tcPr>
            <w:tcW w:w="540" w:type="dxa"/>
            <w:tcBorders>
              <w:left w:val="nil"/>
            </w:tcBorders>
            <w:vAlign w:val="top"/>
          </w:tcPr>
          <w:p w14:paraId="7ACB8315">
            <w:pPr>
              <w:rPr>
                <w:rFonts w:ascii="Arial"/>
                <w:sz w:val="21"/>
              </w:rPr>
            </w:pPr>
          </w:p>
        </w:tc>
        <w:tc>
          <w:tcPr>
            <w:tcW w:w="500" w:type="dxa"/>
            <w:vAlign w:val="top"/>
          </w:tcPr>
          <w:p w14:paraId="3D581DEA">
            <w:pPr>
              <w:rPr>
                <w:rFonts w:ascii="Arial"/>
                <w:sz w:val="21"/>
              </w:rPr>
            </w:pPr>
          </w:p>
        </w:tc>
        <w:tc>
          <w:tcPr>
            <w:tcW w:w="500" w:type="dxa"/>
            <w:vAlign w:val="top"/>
          </w:tcPr>
          <w:p w14:paraId="00DAA8E8">
            <w:pPr>
              <w:rPr>
                <w:rFonts w:ascii="Arial"/>
                <w:sz w:val="21"/>
              </w:rPr>
            </w:pPr>
          </w:p>
        </w:tc>
        <w:tc>
          <w:tcPr>
            <w:tcW w:w="7850" w:type="dxa"/>
            <w:gridSpan w:val="10"/>
            <w:tcBorders>
              <w:right w:val="nil"/>
            </w:tcBorders>
            <w:vAlign w:val="top"/>
          </w:tcPr>
          <w:p w14:paraId="15D8856E">
            <w:pPr>
              <w:rPr>
                <w:rFonts w:ascii="Arial"/>
                <w:sz w:val="21"/>
              </w:rPr>
            </w:pPr>
          </w:p>
        </w:tc>
      </w:tr>
    </w:tbl>
    <w:p w14:paraId="3330F2CB">
      <w:pPr>
        <w:spacing w:before="84" w:line="220" w:lineRule="auto"/>
        <w:ind w:left="10"/>
        <w:rPr>
          <w:rFonts w:ascii="宋体" w:hAnsi="宋体" w:eastAsia="宋体" w:cs="宋体"/>
          <w:sz w:val="20"/>
          <w:szCs w:val="20"/>
        </w:rPr>
      </w:pPr>
      <w:r>
        <w:rPr>
          <w:rFonts w:ascii="宋体" w:hAnsi="宋体" w:eastAsia="宋体" w:cs="宋体"/>
          <w:sz w:val="20"/>
          <w:szCs w:val="20"/>
        </w:rPr>
        <w:t>补充资料：</w:t>
      </w:r>
    </w:p>
    <w:p w14:paraId="4A87429A">
      <w:pPr>
        <w:spacing w:before="3" w:line="230" w:lineRule="auto"/>
        <w:ind w:left="240"/>
        <w:rPr>
          <w:rFonts w:ascii="宋体" w:hAnsi="宋体" w:eastAsia="宋体" w:cs="宋体"/>
          <w:sz w:val="18"/>
          <w:szCs w:val="18"/>
        </w:rPr>
      </w:pPr>
      <w:r>
        <w:rPr>
          <w:rFonts w:ascii="宋体" w:hAnsi="宋体" w:eastAsia="宋体" w:cs="宋体"/>
          <w:spacing w:val="-6"/>
          <w:sz w:val="18"/>
          <w:szCs w:val="18"/>
        </w:rPr>
        <w:t xml:space="preserve">上年同期：综合能源消费量(41)            吨标准煤           综合能源消费量(当月)(42)     </w:t>
      </w:r>
      <w:r>
        <w:rPr>
          <w:rFonts w:ascii="宋体" w:hAnsi="宋体" w:eastAsia="宋体" w:cs="宋体"/>
          <w:spacing w:val="-7"/>
          <w:sz w:val="18"/>
          <w:szCs w:val="18"/>
        </w:rPr>
        <w:t xml:space="preserve">   吨标准煤</w:t>
      </w:r>
    </w:p>
    <w:p w14:paraId="1B5FF525">
      <w:pPr>
        <w:spacing w:before="33" w:line="220" w:lineRule="auto"/>
        <w:ind w:left="1079"/>
        <w:rPr>
          <w:rFonts w:ascii="宋体" w:hAnsi="宋体" w:eastAsia="宋体" w:cs="宋体"/>
          <w:sz w:val="19"/>
          <w:szCs w:val="19"/>
        </w:rPr>
      </w:pPr>
      <w:r>
        <w:drawing>
          <wp:anchor distT="0" distB="0" distL="0" distR="0" simplePos="0" relativeHeight="251662336" behindDoc="0" locked="0" layoutInCell="1" allowOverlap="1">
            <wp:simplePos x="0" y="0"/>
            <wp:positionH relativeFrom="column">
              <wp:posOffset>680085</wp:posOffset>
            </wp:positionH>
            <wp:positionV relativeFrom="paragraph">
              <wp:posOffset>134620</wp:posOffset>
            </wp:positionV>
            <wp:extent cx="3618230" cy="6985"/>
            <wp:effectExtent l="0" t="0" r="0" b="0"/>
            <wp:wrapNone/>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89"/>
                    <a:stretch>
                      <a:fillRect/>
                    </a:stretch>
                  </pic:blipFill>
                  <pic:spPr>
                    <a:xfrm>
                      <a:off x="0" y="0"/>
                      <a:ext cx="3618281" cy="6788"/>
                    </a:xfrm>
                    <a:prstGeom prst="rect">
                      <a:avLst/>
                    </a:prstGeom>
                  </pic:spPr>
                </pic:pic>
              </a:graphicData>
            </a:graphic>
          </wp:anchor>
        </w:drawing>
      </w:r>
      <w:r>
        <w:rPr>
          <w:rFonts w:ascii="宋体" w:hAnsi="宋体" w:eastAsia="宋体" w:cs="宋体"/>
          <w:spacing w:val="-4"/>
          <w:sz w:val="18"/>
          <w:szCs w:val="18"/>
        </w:rPr>
        <w:t>用于原材料的原煤采用折标系数(43)</w:t>
      </w:r>
      <w:r>
        <w:rPr>
          <w:rFonts w:ascii="宋体" w:hAnsi="宋体" w:eastAsia="宋体" w:cs="宋体"/>
          <w:spacing w:val="4"/>
          <w:sz w:val="18"/>
          <w:szCs w:val="18"/>
        </w:rPr>
        <w:t xml:space="preserve">               </w:t>
      </w:r>
      <w:r>
        <w:rPr>
          <w:rFonts w:ascii="宋体" w:hAnsi="宋体" w:eastAsia="宋体" w:cs="宋体"/>
          <w:spacing w:val="-4"/>
          <w:sz w:val="19"/>
          <w:szCs w:val="19"/>
        </w:rPr>
        <w:t>吨 标 准 煤 / 吨</w:t>
      </w:r>
    </w:p>
    <w:p w14:paraId="46E923B2">
      <w:pPr>
        <w:spacing w:line="44" w:lineRule="exact"/>
      </w:pPr>
    </w:p>
    <w:tbl>
      <w:tblPr>
        <w:tblStyle w:val="5"/>
        <w:tblW w:w="7971" w:type="dxa"/>
        <w:tblInd w:w="1079"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6217"/>
        <w:gridCol w:w="1754"/>
      </w:tblGrid>
      <w:tr w14:paraId="7A685C2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19" w:hRule="atLeast"/>
        </w:trPr>
        <w:tc>
          <w:tcPr>
            <w:tcW w:w="6217" w:type="dxa"/>
            <w:vAlign w:val="top"/>
          </w:tcPr>
          <w:p w14:paraId="0879C9DE">
            <w:pPr>
              <w:pStyle w:val="6"/>
              <w:spacing w:line="214" w:lineRule="auto"/>
            </w:pPr>
            <w:r>
              <w:t>工业生产用于原材料的能源消费量合计(44)           吨标准煤</w:t>
            </w:r>
          </w:p>
        </w:tc>
        <w:tc>
          <w:tcPr>
            <w:tcW w:w="1754" w:type="dxa"/>
            <w:vAlign w:val="top"/>
          </w:tcPr>
          <w:p w14:paraId="48F4E642">
            <w:pPr>
              <w:spacing w:line="209" w:lineRule="exact"/>
              <w:rPr>
                <w:rFonts w:ascii="Arial"/>
                <w:sz w:val="18"/>
              </w:rPr>
            </w:pPr>
          </w:p>
        </w:tc>
      </w:tr>
      <w:tr w14:paraId="50ADB81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30" w:hRule="atLeast"/>
        </w:trPr>
        <w:tc>
          <w:tcPr>
            <w:tcW w:w="6217" w:type="dxa"/>
            <w:vAlign w:val="top"/>
          </w:tcPr>
          <w:p w14:paraId="76053147">
            <w:pPr>
              <w:pStyle w:val="6"/>
              <w:spacing w:before="30" w:line="184" w:lineRule="auto"/>
              <w:rPr>
                <w:sz w:val="19"/>
                <w:szCs w:val="19"/>
              </w:rPr>
            </w:pPr>
            <w:r>
              <w:drawing>
                <wp:anchor distT="0" distB="0" distL="0" distR="0" simplePos="0" relativeHeight="251661312" behindDoc="0" locked="0" layoutInCell="1" allowOverlap="1">
                  <wp:simplePos x="0" y="0"/>
                  <wp:positionH relativeFrom="column">
                    <wp:posOffset>-5715</wp:posOffset>
                  </wp:positionH>
                  <wp:positionV relativeFrom="paragraph">
                    <wp:posOffset>133350</wp:posOffset>
                  </wp:positionV>
                  <wp:extent cx="5067300" cy="12700"/>
                  <wp:effectExtent l="0" t="0" r="0" b="0"/>
                  <wp:wrapNone/>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90"/>
                          <a:stretch>
                            <a:fillRect/>
                          </a:stretch>
                        </pic:blipFill>
                        <pic:spPr>
                          <a:xfrm>
                            <a:off x="0" y="0"/>
                            <a:ext cx="5067507" cy="12658"/>
                          </a:xfrm>
                          <a:prstGeom prst="rect">
                            <a:avLst/>
                          </a:prstGeom>
                        </pic:spPr>
                      </pic:pic>
                    </a:graphicData>
                  </a:graphic>
                </wp:anchor>
              </w:drawing>
            </w:r>
            <w:r>
              <w:rPr>
                <w:spacing w:val="6"/>
              </w:rPr>
              <w:t>工业生产电力消费(45)</w:t>
            </w:r>
            <w:r>
              <w:rPr>
                <w:spacing w:val="3"/>
              </w:rPr>
              <w:t xml:space="preserve">     </w:t>
            </w:r>
            <w:r>
              <w:rPr>
                <w:spacing w:val="6"/>
              </w:rPr>
              <w:t>万</w:t>
            </w:r>
            <w:r>
              <w:rPr>
                <w:spacing w:val="-15"/>
              </w:rPr>
              <w:t xml:space="preserve"> </w:t>
            </w:r>
            <w:r>
              <w:rPr>
                <w:spacing w:val="6"/>
              </w:rPr>
              <w:t>千 瓦 时</w:t>
            </w:r>
            <w:r>
              <w:rPr>
                <w:spacing w:val="2"/>
              </w:rPr>
              <w:t xml:space="preserve">      </w:t>
            </w:r>
            <w:r>
              <w:rPr>
                <w:spacing w:val="6"/>
                <w:sz w:val="19"/>
                <w:szCs w:val="19"/>
              </w:rPr>
              <w:t>火力发电产出(46)</w:t>
            </w:r>
          </w:p>
        </w:tc>
        <w:tc>
          <w:tcPr>
            <w:tcW w:w="1754" w:type="dxa"/>
            <w:vAlign w:val="top"/>
          </w:tcPr>
          <w:p w14:paraId="1184C433">
            <w:pPr>
              <w:pStyle w:val="6"/>
              <w:spacing w:before="31" w:line="183" w:lineRule="auto"/>
              <w:jc w:val="right"/>
              <w:rPr>
                <w:sz w:val="19"/>
                <w:szCs w:val="19"/>
              </w:rPr>
            </w:pPr>
            <w:r>
              <w:rPr>
                <w:spacing w:val="-14"/>
                <w:sz w:val="19"/>
                <w:szCs w:val="19"/>
              </w:rPr>
              <w:t>万</w:t>
            </w:r>
            <w:r>
              <w:rPr>
                <w:spacing w:val="3"/>
                <w:sz w:val="19"/>
                <w:szCs w:val="19"/>
              </w:rPr>
              <w:t xml:space="preserve"> </w:t>
            </w:r>
            <w:r>
              <w:rPr>
                <w:spacing w:val="-13"/>
                <w:sz w:val="19"/>
                <w:szCs w:val="19"/>
              </w:rPr>
              <w:t>千</w:t>
            </w:r>
            <w:r>
              <w:rPr>
                <w:spacing w:val="9"/>
                <w:sz w:val="19"/>
                <w:szCs w:val="19"/>
              </w:rPr>
              <w:t xml:space="preserve"> </w:t>
            </w:r>
            <w:r>
              <w:rPr>
                <w:spacing w:val="-13"/>
                <w:sz w:val="19"/>
                <w:szCs w:val="19"/>
              </w:rPr>
              <w:t>瓦</w:t>
            </w:r>
            <w:r>
              <w:rPr>
                <w:spacing w:val="12"/>
                <w:sz w:val="19"/>
                <w:szCs w:val="19"/>
              </w:rPr>
              <w:t xml:space="preserve"> </w:t>
            </w:r>
            <w:r>
              <w:rPr>
                <w:spacing w:val="-12"/>
                <w:sz w:val="19"/>
                <w:szCs w:val="19"/>
              </w:rPr>
              <w:t>时</w:t>
            </w:r>
          </w:p>
        </w:tc>
      </w:tr>
    </w:tbl>
    <w:p w14:paraId="1F1B835E">
      <w:pPr>
        <w:spacing w:before="79" w:line="220" w:lineRule="auto"/>
        <w:ind w:left="1079"/>
        <w:rPr>
          <w:rFonts w:ascii="宋体" w:hAnsi="宋体" w:eastAsia="宋体" w:cs="宋体"/>
          <w:sz w:val="18"/>
          <w:szCs w:val="18"/>
        </w:rPr>
      </w:pPr>
      <w:r>
        <w:rPr>
          <w:rFonts w:ascii="宋体" w:hAnsi="宋体" w:eastAsia="宋体" w:cs="宋体"/>
          <w:spacing w:val="-5"/>
          <w:sz w:val="18"/>
          <w:szCs w:val="18"/>
        </w:rPr>
        <w:t>火力发电</w:t>
      </w:r>
      <w:r>
        <w:rPr>
          <w:rFonts w:ascii="宋体" w:hAnsi="宋体" w:eastAsia="宋体" w:cs="宋体"/>
          <w:spacing w:val="-5"/>
          <w:sz w:val="18"/>
          <w:szCs w:val="18"/>
          <w:u w:val="single" w:color="auto"/>
        </w:rPr>
        <w:t xml:space="preserve">投入(47)            </w:t>
      </w:r>
      <w:r>
        <w:rPr>
          <w:rFonts w:ascii="宋体" w:hAnsi="宋体" w:eastAsia="宋体" w:cs="宋体"/>
          <w:spacing w:val="-5"/>
          <w:sz w:val="18"/>
          <w:szCs w:val="18"/>
        </w:rPr>
        <w:t>吨标准煤</w:t>
      </w:r>
    </w:p>
    <w:p w14:paraId="152D26B7">
      <w:pPr>
        <w:spacing w:before="29" w:line="220" w:lineRule="auto"/>
        <w:ind w:left="180"/>
        <w:rPr>
          <w:rFonts w:ascii="宋体" w:hAnsi="宋体" w:eastAsia="宋体" w:cs="宋体"/>
          <w:sz w:val="18"/>
          <w:szCs w:val="18"/>
        </w:rPr>
      </w:pPr>
      <w:r>
        <w:rPr>
          <w:rFonts w:ascii="宋体" w:hAnsi="宋体" w:eastAsia="宋体" w:cs="宋体"/>
          <w:spacing w:val="-1"/>
          <w:sz w:val="18"/>
          <w:szCs w:val="18"/>
        </w:rPr>
        <w:t>本    期：综合能源消费量(48)</w:t>
      </w:r>
      <w:r>
        <w:rPr>
          <w:rFonts w:ascii="宋体" w:hAnsi="宋体" w:eastAsia="宋体" w:cs="宋体"/>
          <w:spacing w:val="5"/>
          <w:sz w:val="18"/>
          <w:szCs w:val="18"/>
          <w:u w:val="single" w:color="auto"/>
        </w:rPr>
        <w:t xml:space="preserve">         </w:t>
      </w:r>
      <w:r>
        <w:rPr>
          <w:rFonts w:ascii="宋体" w:hAnsi="宋体" w:eastAsia="宋体" w:cs="宋体"/>
          <w:spacing w:val="-1"/>
          <w:sz w:val="18"/>
          <w:szCs w:val="18"/>
        </w:rPr>
        <w:t>_吨标准煤</w:t>
      </w:r>
      <w:r>
        <w:rPr>
          <w:rFonts w:ascii="宋体" w:hAnsi="宋体" w:eastAsia="宋体" w:cs="宋体"/>
          <w:spacing w:val="5"/>
          <w:sz w:val="18"/>
          <w:szCs w:val="18"/>
        </w:rPr>
        <w:t xml:space="preserve">          </w:t>
      </w:r>
      <w:r>
        <w:rPr>
          <w:rFonts w:ascii="宋体" w:hAnsi="宋体" w:eastAsia="宋体" w:cs="宋体"/>
          <w:spacing w:val="-1"/>
          <w:sz w:val="18"/>
          <w:szCs w:val="18"/>
        </w:rPr>
        <w:t>综合能源消费量(</w:t>
      </w:r>
      <w:r>
        <w:rPr>
          <w:rFonts w:ascii="宋体" w:hAnsi="宋体" w:eastAsia="宋体" w:cs="宋体"/>
          <w:spacing w:val="-2"/>
          <w:sz w:val="18"/>
          <w:szCs w:val="18"/>
        </w:rPr>
        <w:t>当月)(49</w:t>
      </w:r>
      <w:r>
        <w:rPr>
          <w:rFonts w:ascii="宋体" w:hAnsi="宋体" w:eastAsia="宋体" w:cs="宋体"/>
          <w:spacing w:val="-2"/>
          <w:sz w:val="18"/>
          <w:szCs w:val="18"/>
          <w:u w:val="single" w:color="auto"/>
        </w:rPr>
        <w:t xml:space="preserve">)      </w:t>
      </w:r>
      <w:r>
        <w:rPr>
          <w:rFonts w:ascii="宋体" w:hAnsi="宋体" w:eastAsia="宋体" w:cs="宋体"/>
          <w:spacing w:val="-2"/>
          <w:sz w:val="18"/>
          <w:szCs w:val="18"/>
        </w:rPr>
        <w:t>吨标准煤</w:t>
      </w:r>
    </w:p>
    <w:p w14:paraId="76C0BF2C">
      <w:pPr>
        <w:spacing w:before="83" w:line="215" w:lineRule="auto"/>
        <w:ind w:left="499"/>
        <w:rPr>
          <w:rFonts w:ascii="宋体" w:hAnsi="宋体" w:eastAsia="宋体" w:cs="宋体"/>
          <w:sz w:val="17"/>
          <w:szCs w:val="17"/>
        </w:rPr>
      </w:pPr>
      <w:r>
        <w:drawing>
          <wp:anchor distT="0" distB="0" distL="0" distR="0" simplePos="0" relativeHeight="251660288" behindDoc="0" locked="0" layoutInCell="1" allowOverlap="1">
            <wp:simplePos x="0" y="0"/>
            <wp:positionH relativeFrom="column">
              <wp:posOffset>0</wp:posOffset>
            </wp:positionH>
            <wp:positionV relativeFrom="paragraph">
              <wp:posOffset>154305</wp:posOffset>
            </wp:positionV>
            <wp:extent cx="5981700" cy="17780"/>
            <wp:effectExtent l="0" t="0" r="0" b="0"/>
            <wp:wrapNone/>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91"/>
                    <a:stretch>
                      <a:fillRect/>
                    </a:stretch>
                  </pic:blipFill>
                  <pic:spPr>
                    <a:xfrm>
                      <a:off x="0" y="0"/>
                      <a:ext cx="5981761" cy="17488"/>
                    </a:xfrm>
                    <a:prstGeom prst="rect">
                      <a:avLst/>
                    </a:prstGeom>
                  </pic:spPr>
                </pic:pic>
              </a:graphicData>
            </a:graphic>
          </wp:anchor>
        </w:drawing>
      </w:r>
      <w:r>
        <w:rPr>
          <w:rFonts w:ascii="宋体" w:hAnsi="宋体" w:eastAsia="宋体" w:cs="宋体"/>
          <w:spacing w:val="18"/>
          <w:sz w:val="18"/>
          <w:szCs w:val="18"/>
        </w:rPr>
        <w:t xml:space="preserve">用于原材料的原煤采用折标系数(50)         </w:t>
      </w:r>
      <w:r>
        <w:rPr>
          <w:rFonts w:ascii="宋体" w:hAnsi="宋体" w:eastAsia="宋体" w:cs="宋体"/>
          <w:spacing w:val="18"/>
          <w:position w:val="1"/>
          <w:sz w:val="17"/>
          <w:szCs w:val="17"/>
        </w:rPr>
        <w:t>吨</w:t>
      </w:r>
      <w:r>
        <w:rPr>
          <w:rFonts w:ascii="宋体" w:hAnsi="宋体" w:eastAsia="宋体" w:cs="宋体"/>
          <w:spacing w:val="86"/>
          <w:position w:val="1"/>
          <w:sz w:val="17"/>
          <w:szCs w:val="17"/>
        </w:rPr>
        <w:t xml:space="preserve"> </w:t>
      </w:r>
      <w:r>
        <w:rPr>
          <w:rFonts w:ascii="宋体" w:hAnsi="宋体" w:eastAsia="宋体" w:cs="宋体"/>
          <w:spacing w:val="18"/>
          <w:position w:val="1"/>
          <w:sz w:val="17"/>
          <w:szCs w:val="17"/>
        </w:rPr>
        <w:t>标</w:t>
      </w:r>
      <w:r>
        <w:rPr>
          <w:rFonts w:ascii="宋体" w:hAnsi="宋体" w:eastAsia="宋体" w:cs="宋体"/>
          <w:spacing w:val="76"/>
          <w:position w:val="1"/>
          <w:sz w:val="17"/>
          <w:szCs w:val="17"/>
        </w:rPr>
        <w:t xml:space="preserve"> </w:t>
      </w:r>
      <w:r>
        <w:rPr>
          <w:rFonts w:ascii="宋体" w:hAnsi="宋体" w:eastAsia="宋体" w:cs="宋体"/>
          <w:spacing w:val="18"/>
          <w:position w:val="1"/>
          <w:sz w:val="17"/>
          <w:szCs w:val="17"/>
        </w:rPr>
        <w:t>准</w:t>
      </w:r>
      <w:r>
        <w:rPr>
          <w:rFonts w:ascii="宋体" w:hAnsi="宋体" w:eastAsia="宋体" w:cs="宋体"/>
          <w:spacing w:val="75"/>
          <w:position w:val="1"/>
          <w:sz w:val="17"/>
          <w:szCs w:val="17"/>
        </w:rPr>
        <w:t xml:space="preserve"> </w:t>
      </w:r>
      <w:r>
        <w:rPr>
          <w:rFonts w:ascii="宋体" w:hAnsi="宋体" w:eastAsia="宋体" w:cs="宋体"/>
          <w:spacing w:val="18"/>
          <w:position w:val="1"/>
          <w:sz w:val="17"/>
          <w:szCs w:val="17"/>
        </w:rPr>
        <w:t>煤</w:t>
      </w:r>
      <w:r>
        <w:rPr>
          <w:rFonts w:ascii="宋体" w:hAnsi="宋体" w:eastAsia="宋体" w:cs="宋体"/>
          <w:spacing w:val="74"/>
          <w:position w:val="1"/>
          <w:sz w:val="17"/>
          <w:szCs w:val="17"/>
        </w:rPr>
        <w:t xml:space="preserve"> </w:t>
      </w:r>
      <w:r>
        <w:rPr>
          <w:rFonts w:ascii="宋体" w:hAnsi="宋体" w:eastAsia="宋体" w:cs="宋体"/>
          <w:spacing w:val="18"/>
          <w:position w:val="1"/>
          <w:sz w:val="17"/>
          <w:szCs w:val="17"/>
        </w:rPr>
        <w:t>/  吨</w:t>
      </w:r>
    </w:p>
    <w:p w14:paraId="226203BF">
      <w:pPr>
        <w:spacing w:line="232" w:lineRule="auto"/>
        <w:rPr>
          <w:rFonts w:ascii="方正姚体" w:hAnsi="方正姚体" w:eastAsia="方正姚体" w:cs="方正姚体"/>
          <w:sz w:val="13"/>
          <w:szCs w:val="13"/>
        </w:rPr>
      </w:pPr>
      <w:r>
        <w:rPr>
          <w:rFonts w:ascii="宋体" w:hAnsi="宋体" w:eastAsia="宋体" w:cs="宋体"/>
          <w:spacing w:val="-6"/>
          <w:sz w:val="18"/>
          <w:szCs w:val="18"/>
        </w:rPr>
        <w:t>单位负责人：            统计负责人：             填表人：         联系电话</w:t>
      </w:r>
      <w:r>
        <w:rPr>
          <w:rFonts w:ascii="宋体" w:hAnsi="宋体" w:eastAsia="宋体" w:cs="宋体"/>
          <w:spacing w:val="-7"/>
          <w:sz w:val="18"/>
          <w:szCs w:val="18"/>
        </w:rPr>
        <w:t xml:space="preserve">：          </w:t>
      </w:r>
      <w:r>
        <w:rPr>
          <w:rFonts w:ascii="宋体" w:hAnsi="宋体" w:eastAsia="宋体" w:cs="宋体"/>
          <w:spacing w:val="-7"/>
          <w:sz w:val="17"/>
          <w:szCs w:val="17"/>
        </w:rPr>
        <w:t>报出日期：20  年    月</w:t>
      </w:r>
      <w:r>
        <w:rPr>
          <w:rFonts w:ascii="宋体" w:hAnsi="宋体" w:eastAsia="宋体" w:cs="宋体"/>
          <w:spacing w:val="-19"/>
          <w:sz w:val="17"/>
          <w:szCs w:val="17"/>
        </w:rPr>
        <w:t xml:space="preserve"> </w:t>
      </w:r>
      <w:r>
        <w:rPr>
          <w:rFonts w:ascii="宋体" w:hAnsi="宋体" w:eastAsia="宋体" w:cs="宋体"/>
          <w:spacing w:val="-7"/>
          <w:sz w:val="17"/>
          <w:szCs w:val="17"/>
        </w:rPr>
        <w:t xml:space="preserve">E </w:t>
      </w:r>
      <w:r>
        <w:rPr>
          <w:rFonts w:ascii="方正姚体" w:hAnsi="方正姚体" w:eastAsia="方正姚体" w:cs="方正姚体"/>
          <w:spacing w:val="-7"/>
          <w:sz w:val="13"/>
          <w:szCs w:val="13"/>
        </w:rPr>
        <w:t>日</w:t>
      </w:r>
    </w:p>
    <w:p w14:paraId="50B82910">
      <w:pPr>
        <w:pStyle w:val="2"/>
        <w:spacing w:line="311" w:lineRule="auto"/>
      </w:pPr>
    </w:p>
    <w:p w14:paraId="3FD25A12">
      <w:pPr>
        <w:spacing w:before="60" w:line="219" w:lineRule="auto"/>
        <w:rPr>
          <w:rFonts w:ascii="宋体" w:hAnsi="宋体" w:eastAsia="宋体" w:cs="宋体"/>
          <w:sz w:val="18"/>
          <w:szCs w:val="18"/>
        </w:rPr>
      </w:pPr>
      <w:r>
        <w:rPr>
          <w:rFonts w:ascii="宋体" w:hAnsi="宋体" w:eastAsia="宋体" w:cs="宋体"/>
          <w:spacing w:val="-6"/>
          <w:sz w:val="18"/>
          <w:szCs w:val="18"/>
        </w:rPr>
        <w:t>说明：1.统计范围：辖区内规模以上工业法人单位</w:t>
      </w:r>
      <w:r>
        <w:rPr>
          <w:rFonts w:hint="eastAsia" w:ascii="宋体" w:hAnsi="宋体" w:eastAsia="宋体" w:cs="宋体"/>
          <w:spacing w:val="-6"/>
          <w:sz w:val="18"/>
          <w:szCs w:val="18"/>
          <w:lang w:eastAsia="zh-CN"/>
        </w:rPr>
        <w:t>和规模以上工业个体经营户</w:t>
      </w:r>
      <w:r>
        <w:rPr>
          <w:rFonts w:ascii="宋体" w:hAnsi="宋体" w:eastAsia="宋体" w:cs="宋体"/>
          <w:spacing w:val="-6"/>
          <w:sz w:val="18"/>
          <w:szCs w:val="18"/>
        </w:rPr>
        <w:t>。</w:t>
      </w:r>
    </w:p>
    <w:p w14:paraId="19F90CFD">
      <w:pPr>
        <w:spacing w:before="66" w:line="253" w:lineRule="auto"/>
        <w:ind w:left="2109" w:hanging="1599"/>
        <w:rPr>
          <w:rFonts w:ascii="宋体" w:hAnsi="宋体" w:eastAsia="宋体" w:cs="宋体"/>
          <w:sz w:val="18"/>
          <w:szCs w:val="18"/>
        </w:rPr>
      </w:pPr>
      <w:r>
        <w:rPr>
          <w:rFonts w:ascii="宋体" w:hAnsi="宋体" w:eastAsia="宋体" w:cs="宋体"/>
          <w:spacing w:val="9"/>
          <w:sz w:val="18"/>
          <w:szCs w:val="18"/>
        </w:rPr>
        <w:t xml:space="preserve">2.报送日期及方式：调查单位2、5、6、7、8、10、11月月后7日，3月月后8日，4、12月月后9日，9月月后  </w:t>
      </w:r>
      <w:r>
        <w:rPr>
          <w:rFonts w:ascii="宋体" w:hAnsi="宋体" w:eastAsia="宋体" w:cs="宋体"/>
          <w:spacing w:val="5"/>
          <w:sz w:val="18"/>
          <w:szCs w:val="18"/>
        </w:rPr>
        <w:t>1</w:t>
      </w:r>
      <w:r>
        <w:rPr>
          <w:rFonts w:hint="eastAsia" w:ascii="宋体" w:hAnsi="宋体" w:eastAsia="宋体" w:cs="宋体"/>
          <w:spacing w:val="5"/>
          <w:sz w:val="18"/>
          <w:szCs w:val="18"/>
          <w:lang w:val="en-US" w:eastAsia="zh-CN"/>
        </w:rPr>
        <w:t>1</w:t>
      </w:r>
      <w:r>
        <w:rPr>
          <w:rFonts w:ascii="宋体" w:hAnsi="宋体" w:eastAsia="宋体" w:cs="宋体"/>
          <w:spacing w:val="5"/>
          <w:sz w:val="18"/>
          <w:szCs w:val="18"/>
        </w:rPr>
        <w:t>日1</w:t>
      </w:r>
      <w:r>
        <w:rPr>
          <w:rFonts w:hint="eastAsia" w:ascii="宋体" w:hAnsi="宋体" w:eastAsia="宋体" w:cs="宋体"/>
          <w:spacing w:val="5"/>
          <w:sz w:val="18"/>
          <w:szCs w:val="18"/>
          <w:lang w:val="en-US" w:eastAsia="zh-CN"/>
        </w:rPr>
        <w:t>8</w:t>
      </w:r>
      <w:r>
        <w:rPr>
          <w:rFonts w:ascii="宋体" w:hAnsi="宋体" w:eastAsia="宋体" w:cs="宋体"/>
          <w:spacing w:val="5"/>
          <w:sz w:val="18"/>
          <w:szCs w:val="18"/>
        </w:rPr>
        <w:t>:00前独立自行网上填报，1月免报；市级统计机构6、7、8、10、11月月后8日，2、</w:t>
      </w:r>
    </w:p>
    <w:p w14:paraId="72BE44E5">
      <w:pPr>
        <w:spacing w:before="77" w:line="253" w:lineRule="auto"/>
        <w:ind w:left="510" w:right="249" w:firstLine="1589"/>
        <w:rPr>
          <w:rFonts w:ascii="宋体" w:hAnsi="宋体" w:eastAsia="宋体" w:cs="宋体"/>
          <w:sz w:val="18"/>
          <w:szCs w:val="18"/>
        </w:rPr>
      </w:pPr>
      <w:r>
        <w:rPr>
          <w:rFonts w:ascii="宋体" w:hAnsi="宋体" w:eastAsia="宋体" w:cs="宋体"/>
          <w:spacing w:val="11"/>
          <w:sz w:val="18"/>
          <w:szCs w:val="18"/>
        </w:rPr>
        <w:t>3、5月月后9日，4、12月月后10日</w:t>
      </w:r>
      <w:r>
        <w:rPr>
          <w:rFonts w:ascii="宋体" w:hAnsi="宋体" w:eastAsia="宋体" w:cs="宋体"/>
          <w:spacing w:val="10"/>
          <w:sz w:val="18"/>
          <w:szCs w:val="18"/>
        </w:rPr>
        <w:t>，9月月后11日12:00完成数据审核、验收、上报。</w:t>
      </w:r>
      <w:r>
        <w:rPr>
          <w:rFonts w:ascii="宋体" w:hAnsi="宋体" w:eastAsia="宋体" w:cs="宋体"/>
          <w:sz w:val="18"/>
          <w:szCs w:val="18"/>
        </w:rPr>
        <w:t xml:space="preserve"> </w:t>
      </w:r>
      <w:r>
        <w:rPr>
          <w:rFonts w:ascii="宋体" w:hAnsi="宋体" w:eastAsia="宋体" w:cs="宋体"/>
          <w:spacing w:val="-2"/>
          <w:sz w:val="18"/>
          <w:szCs w:val="18"/>
        </w:rPr>
        <w:t>3.本表甲栏下按《能源购进、消费与库存和能源加工转换与回</w:t>
      </w:r>
      <w:r>
        <w:rPr>
          <w:rFonts w:ascii="宋体" w:hAnsi="宋体" w:eastAsia="宋体" w:cs="宋体"/>
          <w:spacing w:val="-3"/>
          <w:sz w:val="18"/>
          <w:szCs w:val="18"/>
        </w:rPr>
        <w:t>收利用目录》填报。</w:t>
      </w:r>
    </w:p>
    <w:p w14:paraId="7E925E0C">
      <w:pPr>
        <w:spacing w:before="65" w:line="258" w:lineRule="auto"/>
        <w:ind w:left="669" w:right="60" w:hanging="159"/>
        <w:rPr>
          <w:rFonts w:ascii="宋体" w:hAnsi="宋体" w:eastAsia="宋体" w:cs="宋体"/>
          <w:sz w:val="18"/>
          <w:szCs w:val="18"/>
        </w:rPr>
      </w:pPr>
      <w:r>
        <w:rPr>
          <w:rFonts w:ascii="宋体" w:hAnsi="宋体" w:eastAsia="宋体" w:cs="宋体"/>
          <w:spacing w:val="-2"/>
          <w:sz w:val="18"/>
          <w:szCs w:val="18"/>
        </w:rPr>
        <w:t>4.本表中“上年同期”数据统一由国家统计局在数据处理软件中复制，调查单位和各级统计机构原则上不得修改；</w:t>
      </w:r>
      <w:r>
        <w:rPr>
          <w:rFonts w:ascii="宋体" w:hAnsi="宋体" w:eastAsia="宋体" w:cs="宋体"/>
          <w:spacing w:val="10"/>
          <w:sz w:val="18"/>
          <w:szCs w:val="18"/>
        </w:rPr>
        <w:t xml:space="preserve"> </w:t>
      </w:r>
      <w:r>
        <w:rPr>
          <w:rFonts w:ascii="宋体" w:hAnsi="宋体" w:eastAsia="宋体" w:cs="宋体"/>
          <w:spacing w:val="-2"/>
          <w:sz w:val="18"/>
          <w:szCs w:val="18"/>
        </w:rPr>
        <w:t>本年新增的调查单位自行填报“上年同期”数据；涉及兼并、重组等情况的企业，经国家统计局批准后，调查单</w:t>
      </w:r>
      <w:r>
        <w:rPr>
          <w:rFonts w:ascii="宋体" w:hAnsi="宋体" w:eastAsia="宋体" w:cs="宋体"/>
          <w:spacing w:val="4"/>
          <w:sz w:val="18"/>
          <w:szCs w:val="18"/>
        </w:rPr>
        <w:t xml:space="preserve"> </w:t>
      </w:r>
      <w:r>
        <w:rPr>
          <w:rFonts w:ascii="宋体" w:hAnsi="宋体" w:eastAsia="宋体" w:cs="宋体"/>
          <w:spacing w:val="-2"/>
          <w:sz w:val="18"/>
          <w:szCs w:val="18"/>
        </w:rPr>
        <w:t>位可调整同期数；本年新增指标的同期数由调查单位自行</w:t>
      </w:r>
      <w:r>
        <w:rPr>
          <w:rFonts w:ascii="宋体" w:hAnsi="宋体" w:eastAsia="宋体" w:cs="宋体"/>
          <w:spacing w:val="-3"/>
          <w:sz w:val="18"/>
          <w:szCs w:val="18"/>
        </w:rPr>
        <w:t>填报。</w:t>
      </w:r>
    </w:p>
    <w:p w14:paraId="54177AFD">
      <w:pPr>
        <w:spacing w:before="88" w:line="219" w:lineRule="auto"/>
        <w:ind w:left="510"/>
        <w:rPr>
          <w:rFonts w:ascii="宋体" w:hAnsi="宋体" w:eastAsia="宋体" w:cs="宋体"/>
          <w:sz w:val="18"/>
          <w:szCs w:val="18"/>
        </w:rPr>
      </w:pPr>
      <w:r>
        <w:rPr>
          <w:rFonts w:ascii="宋体" w:hAnsi="宋体" w:eastAsia="宋体" w:cs="宋体"/>
          <w:spacing w:val="-12"/>
          <w:sz w:val="18"/>
          <w:szCs w:val="18"/>
        </w:rPr>
        <w:t>5.综合能源消费量计算方法：</w:t>
      </w:r>
    </w:p>
    <w:p w14:paraId="56BE420C">
      <w:pPr>
        <w:spacing w:before="56" w:line="219" w:lineRule="auto"/>
        <w:ind w:left="670"/>
        <w:rPr>
          <w:rFonts w:ascii="宋体" w:hAnsi="宋体" w:eastAsia="宋体" w:cs="宋体"/>
          <w:sz w:val="18"/>
          <w:szCs w:val="18"/>
        </w:rPr>
      </w:pPr>
      <w:r>
        <w:rPr>
          <w:rFonts w:ascii="宋体" w:hAnsi="宋体" w:eastAsia="宋体" w:cs="宋体"/>
          <w:spacing w:val="-5"/>
          <w:sz w:val="18"/>
          <w:szCs w:val="18"/>
        </w:rPr>
        <w:t>(1)没有能源加工转换和回收利用活动的调查单位：</w:t>
      </w:r>
    </w:p>
    <w:p w14:paraId="01727FE0">
      <w:pPr>
        <w:spacing w:before="86" w:line="281" w:lineRule="exact"/>
        <w:ind w:left="870"/>
        <w:rPr>
          <w:rFonts w:ascii="宋体" w:hAnsi="宋体" w:eastAsia="宋体" w:cs="宋体"/>
          <w:sz w:val="18"/>
          <w:szCs w:val="18"/>
        </w:rPr>
      </w:pPr>
      <w:r>
        <w:rPr>
          <w:rFonts w:ascii="宋体" w:hAnsi="宋体" w:eastAsia="宋体" w:cs="宋体"/>
          <w:position w:val="7"/>
          <w:sz w:val="18"/>
          <w:szCs w:val="18"/>
        </w:rPr>
        <w:t>综合能源消费量(48)=工业生产消费(</w:t>
      </w:r>
      <w:r>
        <w:rPr>
          <w:rFonts w:ascii="宋体" w:hAnsi="宋体" w:eastAsia="宋体" w:cs="宋体"/>
          <w:spacing w:val="-1"/>
          <w:position w:val="7"/>
          <w:sz w:val="18"/>
          <w:szCs w:val="18"/>
        </w:rPr>
        <w:t>本表第5列能源合计)</w:t>
      </w:r>
    </w:p>
    <w:p w14:paraId="3C73A8B4">
      <w:pPr>
        <w:spacing w:line="219" w:lineRule="auto"/>
        <w:ind w:left="670"/>
        <w:rPr>
          <w:rFonts w:ascii="宋体" w:hAnsi="宋体" w:eastAsia="宋体" w:cs="宋体"/>
          <w:sz w:val="18"/>
          <w:szCs w:val="18"/>
        </w:rPr>
      </w:pPr>
      <w:r>
        <w:rPr>
          <w:rFonts w:ascii="宋体" w:hAnsi="宋体" w:eastAsia="宋体" w:cs="宋体"/>
          <w:spacing w:val="-5"/>
          <w:sz w:val="18"/>
          <w:szCs w:val="18"/>
        </w:rPr>
        <w:t>(2)有能源加工转换或回收利用活动的调查单位：</w:t>
      </w:r>
    </w:p>
    <w:p w14:paraId="17F1F91D">
      <w:pPr>
        <w:spacing w:before="65" w:line="219" w:lineRule="auto"/>
        <w:ind w:left="870"/>
        <w:rPr>
          <w:rFonts w:ascii="宋体" w:hAnsi="宋体" w:eastAsia="宋体" w:cs="宋体"/>
          <w:sz w:val="18"/>
          <w:szCs w:val="18"/>
        </w:rPr>
      </w:pPr>
      <w:r>
        <w:rPr>
          <w:rFonts w:ascii="宋体" w:hAnsi="宋体" w:eastAsia="宋体" w:cs="宋体"/>
          <w:spacing w:val="-1"/>
          <w:sz w:val="18"/>
          <w:szCs w:val="18"/>
        </w:rPr>
        <w:t>综合能源消费量(48)=工业生产消费(本表第5列能源合计)</w:t>
      </w:r>
      <w:r>
        <w:rPr>
          <w:rFonts w:ascii="宋体" w:hAnsi="宋体" w:eastAsia="宋体" w:cs="宋体"/>
          <w:spacing w:val="-2"/>
          <w:sz w:val="18"/>
          <w:szCs w:val="18"/>
        </w:rPr>
        <w:t>-能源加工转换产出(205-2表第11</w:t>
      </w:r>
      <w:r>
        <w:rPr>
          <w:rFonts w:ascii="宋体" w:hAnsi="宋体" w:eastAsia="宋体" w:cs="宋体"/>
          <w:spacing w:val="-21"/>
          <w:sz w:val="18"/>
          <w:szCs w:val="18"/>
        </w:rPr>
        <w:t xml:space="preserve"> </w:t>
      </w:r>
      <w:r>
        <w:rPr>
          <w:rFonts w:ascii="宋体" w:hAnsi="宋体" w:eastAsia="宋体" w:cs="宋体"/>
          <w:spacing w:val="-2"/>
          <w:sz w:val="18"/>
          <w:szCs w:val="18"/>
        </w:rPr>
        <w:t>列能源合计)-回收</w:t>
      </w:r>
    </w:p>
    <w:p w14:paraId="7EDD4D7D">
      <w:pPr>
        <w:spacing w:before="67" w:line="270" w:lineRule="exact"/>
        <w:ind w:left="2530"/>
        <w:rPr>
          <w:rFonts w:ascii="宋体" w:hAnsi="宋体" w:eastAsia="宋体" w:cs="宋体"/>
          <w:sz w:val="18"/>
          <w:szCs w:val="18"/>
        </w:rPr>
      </w:pPr>
      <w:r>
        <w:rPr>
          <w:rFonts w:ascii="宋体" w:hAnsi="宋体" w:eastAsia="宋体" w:cs="宋体"/>
          <w:spacing w:val="2"/>
          <w:position w:val="6"/>
          <w:sz w:val="18"/>
          <w:szCs w:val="18"/>
        </w:rPr>
        <w:t>利用(205-2表第12列能源合计)</w:t>
      </w:r>
    </w:p>
    <w:p w14:paraId="1E0945A9">
      <w:pPr>
        <w:spacing w:before="1" w:line="219" w:lineRule="auto"/>
        <w:ind w:left="770"/>
        <w:rPr>
          <w:rFonts w:ascii="宋体" w:hAnsi="宋体" w:eastAsia="宋体" w:cs="宋体"/>
          <w:sz w:val="18"/>
          <w:szCs w:val="18"/>
        </w:rPr>
      </w:pPr>
      <w:r>
        <w:rPr>
          <w:rFonts w:ascii="宋体" w:hAnsi="宋体" w:eastAsia="宋体" w:cs="宋体"/>
          <w:spacing w:val="-3"/>
          <w:sz w:val="18"/>
          <w:szCs w:val="18"/>
        </w:rPr>
        <w:t>注：不计算原煤入洗损耗，下同。</w:t>
      </w:r>
    </w:p>
    <w:p w14:paraId="79590283">
      <w:pPr>
        <w:spacing w:before="55" w:line="219" w:lineRule="auto"/>
        <w:ind w:left="510"/>
        <w:rPr>
          <w:rFonts w:ascii="宋体" w:hAnsi="宋体" w:eastAsia="宋体" w:cs="宋体"/>
          <w:sz w:val="18"/>
          <w:szCs w:val="18"/>
        </w:rPr>
      </w:pPr>
      <w:r>
        <w:rPr>
          <w:rFonts w:ascii="宋体" w:hAnsi="宋体" w:eastAsia="宋体" w:cs="宋体"/>
          <w:spacing w:val="3"/>
          <w:sz w:val="18"/>
          <w:szCs w:val="18"/>
        </w:rPr>
        <w:t>6.补充资料中的上年同期和本期的综合能源消费量(当月)2月份免报，计算公式：</w:t>
      </w:r>
    </w:p>
    <w:p w14:paraId="2305DD92">
      <w:pPr>
        <w:spacing w:before="87" w:line="236" w:lineRule="auto"/>
        <w:ind w:left="670" w:right="1199" w:firstLine="80"/>
        <w:rPr>
          <w:rFonts w:ascii="宋体" w:hAnsi="宋体" w:eastAsia="宋体" w:cs="宋体"/>
          <w:sz w:val="18"/>
          <w:szCs w:val="18"/>
        </w:rPr>
      </w:pPr>
      <w:r>
        <w:rPr>
          <w:rFonts w:ascii="宋体" w:hAnsi="宋体" w:eastAsia="宋体" w:cs="宋体"/>
          <w:sz w:val="18"/>
          <w:szCs w:val="18"/>
        </w:rPr>
        <w:t>上年同期：综合能源消费量(当月)(42)=本月</w:t>
      </w:r>
      <w:r>
        <w:rPr>
          <w:rFonts w:ascii="宋体" w:hAnsi="宋体" w:eastAsia="宋体" w:cs="宋体"/>
          <w:spacing w:val="84"/>
          <w:sz w:val="18"/>
          <w:szCs w:val="18"/>
        </w:rPr>
        <w:t xml:space="preserve"> </w:t>
      </w:r>
      <w:r>
        <w:rPr>
          <w:rFonts w:ascii="宋体" w:hAnsi="宋体" w:eastAsia="宋体" w:cs="宋体"/>
          <w:sz w:val="18"/>
          <w:szCs w:val="18"/>
        </w:rPr>
        <w:t>综合能源消费</w:t>
      </w:r>
      <w:r>
        <w:rPr>
          <w:rFonts w:ascii="宋体" w:hAnsi="宋体" w:eastAsia="宋体" w:cs="宋体"/>
          <w:spacing w:val="-1"/>
          <w:sz w:val="18"/>
          <w:szCs w:val="18"/>
        </w:rPr>
        <w:t>量(41)-上月</w:t>
      </w:r>
      <w:r>
        <w:rPr>
          <w:rFonts w:ascii="宋体" w:hAnsi="宋体" w:eastAsia="宋体" w:cs="宋体"/>
          <w:spacing w:val="84"/>
          <w:sz w:val="18"/>
          <w:szCs w:val="18"/>
        </w:rPr>
        <w:t xml:space="preserve"> </w:t>
      </w:r>
      <w:r>
        <w:rPr>
          <w:rFonts w:ascii="宋体" w:hAnsi="宋体" w:eastAsia="宋体" w:cs="宋体"/>
          <w:spacing w:val="-1"/>
          <w:sz w:val="18"/>
          <w:szCs w:val="18"/>
        </w:rPr>
        <w:t>综合能源消费量(41)</w:t>
      </w:r>
      <w:r>
        <w:rPr>
          <w:rFonts w:ascii="宋体" w:hAnsi="宋体" w:eastAsia="宋体" w:cs="宋体"/>
          <w:sz w:val="18"/>
          <w:szCs w:val="18"/>
        </w:rPr>
        <w:t xml:space="preserve"> </w:t>
      </w:r>
      <w:r>
        <w:rPr>
          <w:rFonts w:ascii="宋体" w:hAnsi="宋体" w:eastAsia="宋体" w:cs="宋体"/>
          <w:spacing w:val="1"/>
          <w:sz w:val="18"/>
          <w:szCs w:val="18"/>
        </w:rPr>
        <w:t>本</w:t>
      </w:r>
      <w:r>
        <w:rPr>
          <w:rFonts w:ascii="宋体" w:hAnsi="宋体" w:eastAsia="宋体" w:cs="宋体"/>
          <w:spacing w:val="26"/>
          <w:sz w:val="18"/>
          <w:szCs w:val="18"/>
        </w:rPr>
        <w:t xml:space="preserve">   </w:t>
      </w:r>
      <w:r>
        <w:rPr>
          <w:rFonts w:ascii="宋体" w:hAnsi="宋体" w:eastAsia="宋体" w:cs="宋体"/>
          <w:spacing w:val="1"/>
          <w:sz w:val="18"/>
          <w:szCs w:val="18"/>
        </w:rPr>
        <w:t xml:space="preserve">期：综合能源消费量(当月)(49)=本月 </w:t>
      </w:r>
      <w:r>
        <w:rPr>
          <w:rFonts w:ascii="宋体" w:hAnsi="宋体" w:eastAsia="宋体" w:cs="宋体"/>
          <w:sz w:val="18"/>
          <w:szCs w:val="18"/>
        </w:rPr>
        <w:t xml:space="preserve"> 综合能源消费量(48)-上月  综合能源消费量(48)</w:t>
      </w:r>
    </w:p>
    <w:p w14:paraId="4354636B">
      <w:pPr>
        <w:spacing w:line="236" w:lineRule="auto"/>
        <w:rPr>
          <w:rFonts w:ascii="宋体" w:hAnsi="宋体" w:eastAsia="宋体" w:cs="宋体"/>
          <w:sz w:val="18"/>
          <w:szCs w:val="18"/>
        </w:rPr>
        <w:sectPr>
          <w:type w:val="continuous"/>
          <w:pgSz w:w="11910" w:h="16840"/>
          <w:pgMar w:top="1109" w:right="1189" w:bottom="0" w:left="1239" w:header="867" w:footer="0" w:gutter="0"/>
          <w:cols w:equalWidth="0" w:num="1">
            <w:col w:w="9481"/>
          </w:cols>
        </w:sectPr>
      </w:pPr>
    </w:p>
    <w:p w14:paraId="51A731D4">
      <w:pPr>
        <w:spacing w:before="14"/>
      </w:pPr>
    </w:p>
    <w:p w14:paraId="5A7FB0F8">
      <w:pPr>
        <w:spacing w:before="14"/>
      </w:pPr>
    </w:p>
    <w:p w14:paraId="35242983">
      <w:pPr>
        <w:spacing w:before="13"/>
      </w:pPr>
    </w:p>
    <w:p w14:paraId="7A828FD1">
      <w:pPr>
        <w:sectPr>
          <w:headerReference r:id="rId10" w:type="default"/>
          <w:pgSz w:w="11910" w:h="16840"/>
          <w:pgMar w:top="1109" w:right="1190" w:bottom="0" w:left="1239" w:header="867" w:footer="0" w:gutter="0"/>
          <w:cols w:equalWidth="0" w:num="1">
            <w:col w:w="9480"/>
          </w:cols>
        </w:sectPr>
      </w:pPr>
    </w:p>
    <w:p w14:paraId="03F8F404">
      <w:pPr>
        <w:spacing w:before="62" w:line="219" w:lineRule="auto"/>
        <w:ind w:left="2974"/>
        <w:rPr>
          <w:rFonts w:ascii="宋体" w:hAnsi="宋体" w:eastAsia="宋体" w:cs="宋体"/>
          <w:sz w:val="31"/>
          <w:szCs w:val="31"/>
        </w:rPr>
      </w:pPr>
      <w:bookmarkStart w:id="5" w:name="bookmark8"/>
      <w:bookmarkEnd w:id="5"/>
      <w:r>
        <w:rPr>
          <w:rFonts w:ascii="宋体" w:hAnsi="宋体" w:eastAsia="宋体" w:cs="宋体"/>
          <w:b/>
          <w:bCs/>
          <w:spacing w:val="2"/>
          <w:sz w:val="31"/>
          <w:szCs w:val="31"/>
        </w:rPr>
        <w:t>能源加工转换与回收利用</w:t>
      </w:r>
    </w:p>
    <w:p w14:paraId="6547FC6C">
      <w:pPr>
        <w:pStyle w:val="2"/>
        <w:spacing w:line="249" w:lineRule="auto"/>
      </w:pPr>
    </w:p>
    <w:p w14:paraId="072B5448">
      <w:pPr>
        <w:pStyle w:val="2"/>
        <w:spacing w:line="249" w:lineRule="auto"/>
      </w:pPr>
    </w:p>
    <w:p w14:paraId="45A5CC4B">
      <w:pPr>
        <w:spacing w:before="58" w:line="219" w:lineRule="auto"/>
        <w:ind w:left="20"/>
        <w:rPr>
          <w:rFonts w:ascii="宋体" w:hAnsi="宋体" w:eastAsia="宋体" w:cs="宋体"/>
          <w:sz w:val="18"/>
          <w:szCs w:val="18"/>
        </w:rPr>
      </w:pPr>
      <w:r>
        <w:rPr>
          <w:rFonts w:ascii="宋体" w:hAnsi="宋体" w:eastAsia="宋体" w:cs="宋体"/>
          <w:spacing w:val="-4"/>
          <w:sz w:val="18"/>
          <w:szCs w:val="18"/>
        </w:rPr>
        <w:t>统一社会信用代码口</w:t>
      </w:r>
    </w:p>
    <w:p w14:paraId="3C8C7286">
      <w:pPr>
        <w:pStyle w:val="2"/>
        <w:spacing w:line="14" w:lineRule="auto"/>
        <w:rPr>
          <w:sz w:val="2"/>
        </w:rPr>
      </w:pPr>
      <w:r>
        <w:rPr>
          <w:sz w:val="2"/>
          <w:szCs w:val="2"/>
        </w:rPr>
        <w:br w:type="column"/>
      </w:r>
    </w:p>
    <w:p w14:paraId="4830F50F">
      <w:pPr>
        <w:pStyle w:val="2"/>
        <w:spacing w:line="334" w:lineRule="auto"/>
      </w:pPr>
    </w:p>
    <w:p w14:paraId="295B339E">
      <w:pPr>
        <w:pStyle w:val="2"/>
        <w:spacing w:line="334" w:lineRule="auto"/>
      </w:pPr>
    </w:p>
    <w:p w14:paraId="473A98F2">
      <w:pPr>
        <w:spacing w:before="58" w:line="221" w:lineRule="auto"/>
        <w:rPr>
          <w:rFonts w:ascii="宋体" w:hAnsi="宋体" w:eastAsia="宋体" w:cs="宋体"/>
          <w:sz w:val="18"/>
          <w:szCs w:val="18"/>
        </w:rPr>
      </w:pPr>
      <w:r>
        <w:rPr>
          <w:rFonts w:ascii="宋体" w:hAnsi="宋体" w:eastAsia="宋体" w:cs="宋体"/>
          <w:sz w:val="18"/>
          <w:szCs w:val="18"/>
        </w:rPr>
        <w:t>表</w:t>
      </w:r>
      <w:r>
        <w:rPr>
          <w:rFonts w:ascii="宋体" w:hAnsi="宋体" w:eastAsia="宋体" w:cs="宋体"/>
          <w:spacing w:val="26"/>
          <w:sz w:val="18"/>
          <w:szCs w:val="18"/>
        </w:rPr>
        <w:t xml:space="preserve">   </w:t>
      </w:r>
      <w:r>
        <w:rPr>
          <w:rFonts w:ascii="宋体" w:hAnsi="宋体" w:eastAsia="宋体" w:cs="宋体"/>
          <w:sz w:val="18"/>
          <w:szCs w:val="18"/>
        </w:rPr>
        <w:t>号：2</w:t>
      </w:r>
      <w:r>
        <w:rPr>
          <w:rFonts w:ascii="宋体" w:hAnsi="宋体" w:eastAsia="宋体" w:cs="宋体"/>
          <w:spacing w:val="80"/>
          <w:sz w:val="18"/>
          <w:szCs w:val="18"/>
        </w:rPr>
        <w:t xml:space="preserve"> </w:t>
      </w:r>
      <w:r>
        <w:rPr>
          <w:rFonts w:ascii="宋体" w:hAnsi="宋体" w:eastAsia="宋体" w:cs="宋体"/>
          <w:sz w:val="18"/>
          <w:szCs w:val="18"/>
        </w:rPr>
        <w:t>0  5—2</w:t>
      </w:r>
      <w:r>
        <w:rPr>
          <w:rFonts w:ascii="宋体" w:hAnsi="宋体" w:eastAsia="宋体" w:cs="宋体"/>
          <w:spacing w:val="15"/>
          <w:sz w:val="18"/>
          <w:szCs w:val="18"/>
        </w:rPr>
        <w:t xml:space="preserve">    </w:t>
      </w:r>
      <w:r>
        <w:rPr>
          <w:rFonts w:ascii="宋体" w:hAnsi="宋体" w:eastAsia="宋体" w:cs="宋体"/>
          <w:sz w:val="18"/>
          <w:szCs w:val="18"/>
        </w:rPr>
        <w:t>表</w:t>
      </w:r>
    </w:p>
    <w:p w14:paraId="73E7BEBE">
      <w:pPr>
        <w:spacing w:before="42" w:line="219" w:lineRule="auto"/>
        <w:rPr>
          <w:rFonts w:ascii="宋体" w:hAnsi="宋体" w:eastAsia="宋体" w:cs="宋体"/>
          <w:sz w:val="18"/>
          <w:szCs w:val="18"/>
        </w:rPr>
      </w:pPr>
      <w:r>
        <w:rPr>
          <w:rFonts w:ascii="宋体" w:hAnsi="宋体" w:eastAsia="宋体" w:cs="宋体"/>
          <w:spacing w:val="-5"/>
          <w:sz w:val="18"/>
          <w:szCs w:val="18"/>
        </w:rPr>
        <w:t>制定机关：国  家</w:t>
      </w:r>
      <w:r>
        <w:rPr>
          <w:rFonts w:ascii="宋体" w:hAnsi="宋体" w:eastAsia="宋体" w:cs="宋体"/>
          <w:spacing w:val="3"/>
          <w:sz w:val="18"/>
          <w:szCs w:val="18"/>
        </w:rPr>
        <w:t xml:space="preserve">  </w:t>
      </w:r>
      <w:r>
        <w:rPr>
          <w:rFonts w:ascii="宋体" w:hAnsi="宋体" w:eastAsia="宋体" w:cs="宋体"/>
          <w:spacing w:val="-5"/>
          <w:sz w:val="18"/>
          <w:szCs w:val="18"/>
        </w:rPr>
        <w:t>统</w:t>
      </w:r>
      <w:r>
        <w:rPr>
          <w:rFonts w:ascii="宋体" w:hAnsi="宋体" w:eastAsia="宋体" w:cs="宋体"/>
          <w:spacing w:val="2"/>
          <w:sz w:val="18"/>
          <w:szCs w:val="18"/>
        </w:rPr>
        <w:t xml:space="preserve">  </w:t>
      </w:r>
      <w:r>
        <w:rPr>
          <w:rFonts w:ascii="宋体" w:hAnsi="宋体" w:eastAsia="宋体" w:cs="宋体"/>
          <w:spacing w:val="-5"/>
          <w:sz w:val="18"/>
          <w:szCs w:val="18"/>
        </w:rPr>
        <w:t>计</w:t>
      </w:r>
      <w:r>
        <w:rPr>
          <w:rFonts w:ascii="宋体" w:hAnsi="宋体" w:eastAsia="宋体" w:cs="宋体"/>
          <w:spacing w:val="7"/>
          <w:sz w:val="18"/>
          <w:szCs w:val="18"/>
        </w:rPr>
        <w:t xml:space="preserve"> </w:t>
      </w:r>
      <w:r>
        <w:rPr>
          <w:rFonts w:ascii="宋体" w:hAnsi="宋体" w:eastAsia="宋体" w:cs="宋体"/>
          <w:spacing w:val="-5"/>
          <w:sz w:val="18"/>
          <w:szCs w:val="18"/>
        </w:rPr>
        <w:t>局</w:t>
      </w:r>
    </w:p>
    <w:p w14:paraId="27950013">
      <w:pPr>
        <w:spacing w:before="37" w:line="184" w:lineRule="auto"/>
        <w:rPr>
          <w:rFonts w:ascii="宋体" w:hAnsi="宋体" w:eastAsia="宋体" w:cs="宋体"/>
          <w:sz w:val="18"/>
          <w:szCs w:val="18"/>
        </w:rPr>
      </w:pPr>
      <w:r>
        <w:rPr>
          <w:rFonts w:ascii="宋体" w:hAnsi="宋体" w:eastAsia="宋体" w:cs="宋体"/>
          <w:spacing w:val="-8"/>
          <w:sz w:val="18"/>
          <w:szCs w:val="18"/>
        </w:rPr>
        <w:t>文</w:t>
      </w:r>
      <w:r>
        <w:rPr>
          <w:rFonts w:ascii="宋体" w:hAnsi="宋体" w:eastAsia="宋体" w:cs="宋体"/>
          <w:spacing w:val="23"/>
          <w:sz w:val="18"/>
          <w:szCs w:val="18"/>
        </w:rPr>
        <w:t xml:space="preserve">   </w:t>
      </w:r>
      <w:r>
        <w:rPr>
          <w:rFonts w:ascii="宋体" w:hAnsi="宋体" w:eastAsia="宋体" w:cs="宋体"/>
          <w:spacing w:val="-8"/>
          <w:sz w:val="18"/>
          <w:szCs w:val="18"/>
        </w:rPr>
        <w:t>号：国统字〔202</w:t>
      </w:r>
      <w:r>
        <w:rPr>
          <w:rFonts w:hint="eastAsia" w:ascii="宋体" w:hAnsi="宋体" w:eastAsia="宋体" w:cs="宋体"/>
          <w:spacing w:val="-8"/>
          <w:sz w:val="18"/>
          <w:szCs w:val="18"/>
          <w:lang w:val="en-US" w:eastAsia="zh-CN"/>
        </w:rPr>
        <w:t>4</w:t>
      </w:r>
      <w:r>
        <w:rPr>
          <w:rFonts w:ascii="宋体" w:hAnsi="宋体" w:eastAsia="宋体" w:cs="宋体"/>
          <w:spacing w:val="-8"/>
          <w:sz w:val="18"/>
          <w:szCs w:val="18"/>
        </w:rPr>
        <w:t>〕</w:t>
      </w:r>
      <w:r>
        <w:rPr>
          <w:rFonts w:hint="eastAsia" w:ascii="宋体" w:hAnsi="宋体" w:eastAsia="宋体" w:cs="宋体"/>
          <w:spacing w:val="-8"/>
          <w:sz w:val="18"/>
          <w:szCs w:val="18"/>
          <w:lang w:val="en-US" w:eastAsia="zh-CN"/>
        </w:rPr>
        <w:t>77</w:t>
      </w:r>
      <w:r>
        <w:rPr>
          <w:rFonts w:ascii="宋体" w:hAnsi="宋体" w:eastAsia="宋体" w:cs="宋体"/>
          <w:spacing w:val="-8"/>
          <w:sz w:val="18"/>
          <w:szCs w:val="18"/>
        </w:rPr>
        <w:t>号</w:t>
      </w:r>
    </w:p>
    <w:p w14:paraId="56A364F1">
      <w:pPr>
        <w:spacing w:line="184" w:lineRule="auto"/>
        <w:rPr>
          <w:rFonts w:ascii="宋体" w:hAnsi="宋体" w:eastAsia="宋体" w:cs="宋体"/>
          <w:sz w:val="18"/>
          <w:szCs w:val="18"/>
        </w:rPr>
        <w:sectPr>
          <w:type w:val="continuous"/>
          <w:pgSz w:w="11910" w:h="16840"/>
          <w:pgMar w:top="1109" w:right="1190" w:bottom="0" w:left="1239" w:header="867" w:footer="0" w:gutter="0"/>
          <w:cols w:equalWidth="0" w:num="2">
            <w:col w:w="6930" w:space="100"/>
            <w:col w:w="2450"/>
          </w:cols>
        </w:sectPr>
      </w:pPr>
    </w:p>
    <w:p w14:paraId="21D040E5">
      <w:pPr>
        <w:spacing w:before="70" w:line="166" w:lineRule="auto"/>
        <w:ind w:left="30"/>
        <w:rPr>
          <w:rFonts w:ascii="宋体" w:hAnsi="宋体" w:eastAsia="宋体" w:cs="宋体"/>
          <w:sz w:val="19"/>
          <w:szCs w:val="19"/>
        </w:rPr>
      </w:pPr>
      <w:r>
        <w:rPr>
          <w:rFonts w:ascii="宋体" w:hAnsi="宋体" w:eastAsia="宋体" w:cs="宋体"/>
          <w:spacing w:val="-8"/>
          <w:sz w:val="19"/>
          <w:szCs w:val="19"/>
        </w:rPr>
        <w:t xml:space="preserve">单位详细名称：                               </w:t>
      </w:r>
      <w:r>
        <w:rPr>
          <w:rFonts w:ascii="宋体" w:hAnsi="宋体" w:eastAsia="宋体" w:cs="宋体"/>
          <w:spacing w:val="-8"/>
          <w:position w:val="4"/>
          <w:sz w:val="19"/>
          <w:szCs w:val="19"/>
        </w:rPr>
        <w:t>2</w:t>
      </w:r>
      <w:r>
        <w:rPr>
          <w:rFonts w:ascii="宋体" w:hAnsi="宋体" w:eastAsia="宋体" w:cs="宋体"/>
          <w:spacing w:val="31"/>
          <w:position w:val="4"/>
          <w:sz w:val="19"/>
          <w:szCs w:val="19"/>
        </w:rPr>
        <w:t xml:space="preserve"> </w:t>
      </w:r>
      <w:r>
        <w:rPr>
          <w:rFonts w:ascii="宋体" w:hAnsi="宋体" w:eastAsia="宋体" w:cs="宋体"/>
          <w:spacing w:val="-8"/>
          <w:position w:val="4"/>
          <w:sz w:val="19"/>
          <w:szCs w:val="19"/>
        </w:rPr>
        <w:t>0</w:t>
      </w:r>
    </w:p>
    <w:p w14:paraId="09C6AD59">
      <w:pPr>
        <w:pStyle w:val="2"/>
        <w:spacing w:line="14" w:lineRule="auto"/>
        <w:rPr>
          <w:sz w:val="2"/>
        </w:rPr>
      </w:pPr>
      <w:r>
        <w:rPr>
          <w:sz w:val="2"/>
          <w:szCs w:val="2"/>
        </w:rPr>
        <w:br w:type="column"/>
      </w:r>
    </w:p>
    <w:p w14:paraId="4C50D9BD">
      <w:pPr>
        <w:spacing w:before="39" w:line="219" w:lineRule="auto"/>
        <w:rPr>
          <w:rFonts w:ascii="宋体" w:hAnsi="宋体" w:eastAsia="宋体" w:cs="宋体"/>
          <w:sz w:val="19"/>
          <w:szCs w:val="19"/>
        </w:rPr>
      </w:pPr>
      <w:r>
        <w:rPr>
          <w:rFonts w:ascii="宋体" w:hAnsi="宋体" w:eastAsia="宋体" w:cs="宋体"/>
          <w:spacing w:val="-11"/>
          <w:sz w:val="19"/>
          <w:szCs w:val="19"/>
        </w:rPr>
        <w:t>年</w:t>
      </w:r>
      <w:r>
        <w:rPr>
          <w:rFonts w:ascii="宋体" w:hAnsi="宋体" w:eastAsia="宋体" w:cs="宋体"/>
          <w:spacing w:val="42"/>
          <w:sz w:val="19"/>
          <w:szCs w:val="19"/>
        </w:rPr>
        <w:t xml:space="preserve"> </w:t>
      </w:r>
      <w:r>
        <w:rPr>
          <w:rFonts w:ascii="宋体" w:hAnsi="宋体" w:eastAsia="宋体" w:cs="宋体"/>
          <w:spacing w:val="-11"/>
          <w:sz w:val="19"/>
          <w:szCs w:val="19"/>
        </w:rPr>
        <w:t>1</w:t>
      </w:r>
      <w:r>
        <w:rPr>
          <w:rFonts w:ascii="宋体" w:hAnsi="宋体" w:eastAsia="宋体" w:cs="宋体"/>
          <w:spacing w:val="29"/>
          <w:sz w:val="19"/>
          <w:szCs w:val="19"/>
        </w:rPr>
        <w:t xml:space="preserve"> </w:t>
      </w:r>
      <w:r>
        <w:rPr>
          <w:rFonts w:ascii="宋体" w:hAnsi="宋体" w:eastAsia="宋体" w:cs="宋体"/>
          <w:spacing w:val="-11"/>
          <w:sz w:val="19"/>
          <w:szCs w:val="19"/>
        </w:rPr>
        <w:t>一</w:t>
      </w:r>
      <w:r>
        <w:rPr>
          <w:rFonts w:ascii="宋体" w:hAnsi="宋体" w:eastAsia="宋体" w:cs="宋体"/>
          <w:spacing w:val="30"/>
          <w:sz w:val="19"/>
          <w:szCs w:val="19"/>
        </w:rPr>
        <w:t xml:space="preserve"> </w:t>
      </w:r>
      <w:r>
        <w:rPr>
          <w:rFonts w:ascii="宋体" w:hAnsi="宋体" w:eastAsia="宋体" w:cs="宋体"/>
          <w:spacing w:val="-11"/>
          <w:sz w:val="19"/>
          <w:szCs w:val="19"/>
        </w:rPr>
        <w:t>月</w:t>
      </w:r>
    </w:p>
    <w:p w14:paraId="160D2196">
      <w:pPr>
        <w:pStyle w:val="2"/>
        <w:spacing w:line="14" w:lineRule="auto"/>
        <w:rPr>
          <w:sz w:val="2"/>
        </w:rPr>
      </w:pPr>
      <w:r>
        <w:rPr>
          <w:sz w:val="2"/>
          <w:szCs w:val="2"/>
        </w:rPr>
        <w:br w:type="column"/>
      </w:r>
    </w:p>
    <w:p w14:paraId="439D9BFE">
      <w:pPr>
        <w:spacing w:before="89" w:line="185" w:lineRule="auto"/>
        <w:rPr>
          <w:rFonts w:ascii="宋体" w:hAnsi="宋体" w:eastAsia="宋体" w:cs="宋体"/>
          <w:sz w:val="19"/>
          <w:szCs w:val="19"/>
        </w:rPr>
      </w:pPr>
      <w:r>
        <w:rPr>
          <w:rFonts w:ascii="宋体" w:hAnsi="宋体" w:eastAsia="宋体" w:cs="宋体"/>
          <w:spacing w:val="2"/>
          <w:sz w:val="19"/>
          <w:szCs w:val="19"/>
        </w:rPr>
        <w:t>有效期至：202</w:t>
      </w:r>
      <w:r>
        <w:rPr>
          <w:rFonts w:hint="eastAsia" w:ascii="宋体" w:hAnsi="宋体" w:eastAsia="宋体" w:cs="宋体"/>
          <w:spacing w:val="2"/>
          <w:sz w:val="19"/>
          <w:szCs w:val="19"/>
          <w:lang w:val="en-US" w:eastAsia="zh-CN"/>
        </w:rPr>
        <w:t>6</w:t>
      </w:r>
      <w:r>
        <w:rPr>
          <w:rFonts w:ascii="宋体" w:hAnsi="宋体" w:eastAsia="宋体" w:cs="宋体"/>
          <w:spacing w:val="2"/>
          <w:sz w:val="19"/>
          <w:szCs w:val="19"/>
        </w:rPr>
        <w:t>年1月</w:t>
      </w:r>
    </w:p>
    <w:p w14:paraId="42CE9CD0">
      <w:pPr>
        <w:spacing w:line="185" w:lineRule="auto"/>
        <w:rPr>
          <w:rFonts w:ascii="宋体" w:hAnsi="宋体" w:eastAsia="宋体" w:cs="宋体"/>
          <w:sz w:val="19"/>
          <w:szCs w:val="19"/>
        </w:rPr>
        <w:sectPr>
          <w:type w:val="continuous"/>
          <w:pgSz w:w="11910" w:h="16840"/>
          <w:pgMar w:top="1109" w:right="1190" w:bottom="0" w:left="1239" w:header="867" w:footer="0" w:gutter="0"/>
          <w:cols w:equalWidth="0" w:num="3">
            <w:col w:w="4732" w:space="100"/>
            <w:col w:w="2109" w:space="100"/>
            <w:col w:w="2440"/>
          </w:cols>
        </w:sectPr>
      </w:pPr>
    </w:p>
    <w:p w14:paraId="4C68CF8C">
      <w:pPr>
        <w:spacing w:line="37" w:lineRule="exact"/>
      </w:pPr>
    </w:p>
    <w:tbl>
      <w:tblPr>
        <w:tblStyle w:val="5"/>
        <w:tblW w:w="9400"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20"/>
        <w:gridCol w:w="560"/>
        <w:gridCol w:w="570"/>
        <w:gridCol w:w="630"/>
        <w:gridCol w:w="650"/>
        <w:gridCol w:w="540"/>
        <w:gridCol w:w="570"/>
        <w:gridCol w:w="540"/>
        <w:gridCol w:w="550"/>
        <w:gridCol w:w="560"/>
        <w:gridCol w:w="560"/>
        <w:gridCol w:w="550"/>
        <w:gridCol w:w="550"/>
        <w:gridCol w:w="580"/>
        <w:gridCol w:w="570"/>
      </w:tblGrid>
      <w:tr w14:paraId="088104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420" w:type="dxa"/>
            <w:vMerge w:val="restart"/>
            <w:tcBorders>
              <w:left w:val="nil"/>
              <w:bottom w:val="nil"/>
            </w:tcBorders>
            <w:vAlign w:val="top"/>
          </w:tcPr>
          <w:p w14:paraId="34140CF0">
            <w:pPr>
              <w:spacing w:line="290" w:lineRule="auto"/>
              <w:rPr>
                <w:rFonts w:ascii="Arial"/>
                <w:sz w:val="21"/>
              </w:rPr>
            </w:pPr>
          </w:p>
          <w:p w14:paraId="09C3C409">
            <w:pPr>
              <w:spacing w:line="291" w:lineRule="auto"/>
              <w:rPr>
                <w:rFonts w:ascii="Arial"/>
                <w:sz w:val="21"/>
              </w:rPr>
            </w:pPr>
          </w:p>
          <w:p w14:paraId="4CA0032C">
            <w:pPr>
              <w:pStyle w:val="6"/>
              <w:spacing w:before="58" w:line="221" w:lineRule="auto"/>
              <w:ind w:left="350"/>
            </w:pPr>
            <w:r>
              <w:rPr>
                <w:spacing w:val="2"/>
              </w:rPr>
              <w:t>能源名称</w:t>
            </w:r>
          </w:p>
        </w:tc>
        <w:tc>
          <w:tcPr>
            <w:tcW w:w="560" w:type="dxa"/>
            <w:vMerge w:val="restart"/>
            <w:tcBorders>
              <w:bottom w:val="nil"/>
            </w:tcBorders>
            <w:vAlign w:val="top"/>
          </w:tcPr>
          <w:p w14:paraId="400CB884">
            <w:pPr>
              <w:spacing w:line="473" w:lineRule="auto"/>
              <w:rPr>
                <w:rFonts w:ascii="Arial"/>
                <w:sz w:val="21"/>
              </w:rPr>
            </w:pPr>
          </w:p>
          <w:p w14:paraId="4E1611AA">
            <w:pPr>
              <w:pStyle w:val="6"/>
              <w:spacing w:before="58" w:line="217" w:lineRule="auto"/>
              <w:ind w:left="95" w:right="101"/>
            </w:pPr>
            <w:r>
              <w:rPr>
                <w:spacing w:val="-4"/>
              </w:rPr>
              <w:t>计量</w:t>
            </w:r>
            <w:r>
              <w:t xml:space="preserve"> </w:t>
            </w:r>
            <w:r>
              <w:rPr>
                <w:spacing w:val="-5"/>
              </w:rPr>
              <w:t>单位</w:t>
            </w:r>
          </w:p>
        </w:tc>
        <w:tc>
          <w:tcPr>
            <w:tcW w:w="570" w:type="dxa"/>
            <w:vMerge w:val="restart"/>
            <w:tcBorders>
              <w:bottom w:val="nil"/>
            </w:tcBorders>
            <w:vAlign w:val="top"/>
          </w:tcPr>
          <w:p w14:paraId="528B6A4A">
            <w:pPr>
              <w:spacing w:line="290" w:lineRule="auto"/>
              <w:rPr>
                <w:rFonts w:ascii="Arial"/>
                <w:sz w:val="21"/>
              </w:rPr>
            </w:pPr>
          </w:p>
          <w:p w14:paraId="64873341">
            <w:pPr>
              <w:spacing w:line="290" w:lineRule="auto"/>
              <w:rPr>
                <w:rFonts w:ascii="Arial"/>
                <w:sz w:val="21"/>
              </w:rPr>
            </w:pPr>
          </w:p>
          <w:p w14:paraId="69CD1579">
            <w:pPr>
              <w:pStyle w:val="6"/>
              <w:spacing w:before="59" w:line="219" w:lineRule="auto"/>
              <w:ind w:left="95"/>
            </w:pPr>
            <w:r>
              <w:rPr>
                <w:spacing w:val="-2"/>
              </w:rPr>
              <w:t>代码</w:t>
            </w:r>
          </w:p>
        </w:tc>
        <w:tc>
          <w:tcPr>
            <w:tcW w:w="5700" w:type="dxa"/>
            <w:gridSpan w:val="10"/>
            <w:vAlign w:val="top"/>
          </w:tcPr>
          <w:p w14:paraId="030815BC">
            <w:pPr>
              <w:rPr>
                <w:rFonts w:ascii="Arial"/>
                <w:sz w:val="21"/>
              </w:rPr>
            </w:pPr>
          </w:p>
        </w:tc>
        <w:tc>
          <w:tcPr>
            <w:tcW w:w="580" w:type="dxa"/>
            <w:vMerge w:val="restart"/>
            <w:tcBorders>
              <w:bottom w:val="nil"/>
            </w:tcBorders>
            <w:vAlign w:val="top"/>
          </w:tcPr>
          <w:p w14:paraId="2ED66866">
            <w:pPr>
              <w:spacing w:line="354" w:lineRule="auto"/>
              <w:rPr>
                <w:rFonts w:ascii="Arial"/>
                <w:sz w:val="21"/>
              </w:rPr>
            </w:pPr>
          </w:p>
          <w:p w14:paraId="6A61A096">
            <w:pPr>
              <w:pStyle w:val="6"/>
              <w:spacing w:before="58" w:line="226" w:lineRule="auto"/>
              <w:ind w:left="15"/>
              <w:jc w:val="both"/>
            </w:pPr>
            <w:r>
              <w:rPr>
                <w:spacing w:val="2"/>
              </w:rPr>
              <w:t>能源加</w:t>
            </w:r>
            <w:r>
              <w:t xml:space="preserve"> </w:t>
            </w:r>
            <w:r>
              <w:rPr>
                <w:spacing w:val="-6"/>
              </w:rPr>
              <w:t>工转换</w:t>
            </w:r>
            <w:r>
              <w:rPr>
                <w:spacing w:val="1"/>
              </w:rPr>
              <w:t xml:space="preserve"> </w:t>
            </w:r>
            <w:r>
              <w:rPr>
                <w:spacing w:val="-17"/>
              </w:rPr>
              <w:t>产</w:t>
            </w:r>
            <w:r>
              <w:rPr>
                <w:spacing w:val="24"/>
              </w:rPr>
              <w:t xml:space="preserve">  </w:t>
            </w:r>
            <w:r>
              <w:rPr>
                <w:spacing w:val="-17"/>
              </w:rPr>
              <w:t>出</w:t>
            </w:r>
          </w:p>
        </w:tc>
        <w:tc>
          <w:tcPr>
            <w:tcW w:w="570" w:type="dxa"/>
            <w:vMerge w:val="restart"/>
            <w:tcBorders>
              <w:bottom w:val="nil"/>
              <w:right w:val="nil"/>
            </w:tcBorders>
            <w:vAlign w:val="top"/>
          </w:tcPr>
          <w:p w14:paraId="199FC1ED">
            <w:pPr>
              <w:spacing w:line="451" w:lineRule="auto"/>
              <w:rPr>
                <w:rFonts w:ascii="Arial"/>
                <w:sz w:val="21"/>
              </w:rPr>
            </w:pPr>
          </w:p>
          <w:p w14:paraId="573EE8A6">
            <w:pPr>
              <w:pStyle w:val="6"/>
              <w:spacing w:before="58" w:line="229" w:lineRule="auto"/>
              <w:ind w:left="94" w:right="88"/>
            </w:pPr>
            <w:r>
              <w:rPr>
                <w:spacing w:val="3"/>
              </w:rPr>
              <w:t>回收</w:t>
            </w:r>
            <w:r>
              <w:t xml:space="preserve"> </w:t>
            </w:r>
            <w:r>
              <w:rPr>
                <w:spacing w:val="10"/>
              </w:rPr>
              <w:t>利用</w:t>
            </w:r>
          </w:p>
        </w:tc>
      </w:tr>
      <w:tr w14:paraId="2035C7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1420" w:type="dxa"/>
            <w:vMerge w:val="continue"/>
            <w:tcBorders>
              <w:top w:val="nil"/>
              <w:left w:val="nil"/>
              <w:bottom w:val="nil"/>
            </w:tcBorders>
            <w:vAlign w:val="top"/>
          </w:tcPr>
          <w:p w14:paraId="0360298E">
            <w:pPr>
              <w:rPr>
                <w:rFonts w:ascii="Arial"/>
                <w:sz w:val="21"/>
              </w:rPr>
            </w:pPr>
          </w:p>
        </w:tc>
        <w:tc>
          <w:tcPr>
            <w:tcW w:w="560" w:type="dxa"/>
            <w:vMerge w:val="continue"/>
            <w:tcBorders>
              <w:top w:val="nil"/>
              <w:bottom w:val="nil"/>
            </w:tcBorders>
            <w:vAlign w:val="top"/>
          </w:tcPr>
          <w:p w14:paraId="3F132737">
            <w:pPr>
              <w:rPr>
                <w:rFonts w:ascii="Arial"/>
                <w:sz w:val="21"/>
              </w:rPr>
            </w:pPr>
          </w:p>
        </w:tc>
        <w:tc>
          <w:tcPr>
            <w:tcW w:w="570" w:type="dxa"/>
            <w:vMerge w:val="continue"/>
            <w:tcBorders>
              <w:top w:val="nil"/>
              <w:bottom w:val="nil"/>
            </w:tcBorders>
            <w:vAlign w:val="top"/>
          </w:tcPr>
          <w:p w14:paraId="244DE5F1">
            <w:pPr>
              <w:rPr>
                <w:rFonts w:ascii="Arial"/>
                <w:sz w:val="21"/>
              </w:rPr>
            </w:pPr>
          </w:p>
        </w:tc>
        <w:tc>
          <w:tcPr>
            <w:tcW w:w="630" w:type="dxa"/>
            <w:vMerge w:val="restart"/>
            <w:tcBorders>
              <w:bottom w:val="nil"/>
            </w:tcBorders>
            <w:vAlign w:val="top"/>
          </w:tcPr>
          <w:p w14:paraId="74AFDF44">
            <w:pPr>
              <w:pStyle w:val="6"/>
              <w:spacing w:before="151" w:line="223" w:lineRule="auto"/>
              <w:ind w:left="35" w:right="53"/>
              <w:jc w:val="both"/>
            </w:pPr>
            <w:r>
              <w:rPr>
                <w:spacing w:val="-8"/>
              </w:rPr>
              <w:t>工</w:t>
            </w:r>
            <w:r>
              <w:rPr>
                <w:spacing w:val="3"/>
              </w:rPr>
              <w:t xml:space="preserve">  </w:t>
            </w:r>
            <w:r>
              <w:rPr>
                <w:spacing w:val="-8"/>
              </w:rPr>
              <w:t>业</w:t>
            </w:r>
            <w:r>
              <w:t xml:space="preserve"> </w:t>
            </w:r>
            <w:r>
              <w:rPr>
                <w:spacing w:val="-8"/>
              </w:rPr>
              <w:t>生</w:t>
            </w:r>
            <w:r>
              <w:rPr>
                <w:spacing w:val="3"/>
              </w:rPr>
              <w:t xml:space="preserve">  </w:t>
            </w:r>
            <w:r>
              <w:rPr>
                <w:spacing w:val="-8"/>
              </w:rPr>
              <w:t>产</w:t>
            </w:r>
            <w:r>
              <w:t xml:space="preserve"> </w:t>
            </w:r>
            <w:r>
              <w:rPr>
                <w:spacing w:val="-4"/>
              </w:rPr>
              <w:t>消费量</w:t>
            </w:r>
          </w:p>
        </w:tc>
        <w:tc>
          <w:tcPr>
            <w:tcW w:w="5070" w:type="dxa"/>
            <w:gridSpan w:val="9"/>
            <w:vAlign w:val="top"/>
          </w:tcPr>
          <w:p w14:paraId="08F08C14">
            <w:pPr>
              <w:rPr>
                <w:rFonts w:ascii="Arial"/>
                <w:sz w:val="21"/>
              </w:rPr>
            </w:pPr>
          </w:p>
        </w:tc>
        <w:tc>
          <w:tcPr>
            <w:tcW w:w="580" w:type="dxa"/>
            <w:vMerge w:val="continue"/>
            <w:tcBorders>
              <w:top w:val="nil"/>
              <w:bottom w:val="nil"/>
            </w:tcBorders>
            <w:vAlign w:val="top"/>
          </w:tcPr>
          <w:p w14:paraId="36645F04">
            <w:pPr>
              <w:rPr>
                <w:rFonts w:ascii="Arial"/>
                <w:sz w:val="21"/>
              </w:rPr>
            </w:pPr>
          </w:p>
        </w:tc>
        <w:tc>
          <w:tcPr>
            <w:tcW w:w="570" w:type="dxa"/>
            <w:vMerge w:val="continue"/>
            <w:tcBorders>
              <w:top w:val="nil"/>
              <w:bottom w:val="nil"/>
              <w:right w:val="nil"/>
            </w:tcBorders>
            <w:vAlign w:val="top"/>
          </w:tcPr>
          <w:p w14:paraId="53DD867B">
            <w:pPr>
              <w:rPr>
                <w:rFonts w:ascii="Arial"/>
                <w:sz w:val="21"/>
              </w:rPr>
            </w:pPr>
          </w:p>
        </w:tc>
      </w:tr>
      <w:tr w14:paraId="1BFA11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6" w:hRule="atLeast"/>
        </w:trPr>
        <w:tc>
          <w:tcPr>
            <w:tcW w:w="1420" w:type="dxa"/>
            <w:vMerge w:val="continue"/>
            <w:tcBorders>
              <w:top w:val="nil"/>
              <w:left w:val="nil"/>
            </w:tcBorders>
            <w:vAlign w:val="top"/>
          </w:tcPr>
          <w:p w14:paraId="0FD53D3D">
            <w:pPr>
              <w:rPr>
                <w:rFonts w:ascii="Arial"/>
                <w:sz w:val="21"/>
              </w:rPr>
            </w:pPr>
          </w:p>
        </w:tc>
        <w:tc>
          <w:tcPr>
            <w:tcW w:w="560" w:type="dxa"/>
            <w:vMerge w:val="continue"/>
            <w:tcBorders>
              <w:top w:val="nil"/>
            </w:tcBorders>
            <w:vAlign w:val="top"/>
          </w:tcPr>
          <w:p w14:paraId="4145B359">
            <w:pPr>
              <w:rPr>
                <w:rFonts w:ascii="Arial"/>
                <w:sz w:val="21"/>
              </w:rPr>
            </w:pPr>
          </w:p>
        </w:tc>
        <w:tc>
          <w:tcPr>
            <w:tcW w:w="570" w:type="dxa"/>
            <w:vMerge w:val="continue"/>
            <w:tcBorders>
              <w:top w:val="nil"/>
            </w:tcBorders>
            <w:vAlign w:val="top"/>
          </w:tcPr>
          <w:p w14:paraId="545E2383">
            <w:pPr>
              <w:rPr>
                <w:rFonts w:ascii="Arial"/>
                <w:sz w:val="21"/>
              </w:rPr>
            </w:pPr>
          </w:p>
        </w:tc>
        <w:tc>
          <w:tcPr>
            <w:tcW w:w="630" w:type="dxa"/>
            <w:vMerge w:val="continue"/>
            <w:tcBorders>
              <w:top w:val="nil"/>
            </w:tcBorders>
            <w:vAlign w:val="top"/>
          </w:tcPr>
          <w:p w14:paraId="6C066B89">
            <w:pPr>
              <w:rPr>
                <w:rFonts w:ascii="Arial"/>
                <w:sz w:val="21"/>
              </w:rPr>
            </w:pPr>
          </w:p>
        </w:tc>
        <w:tc>
          <w:tcPr>
            <w:tcW w:w="650" w:type="dxa"/>
            <w:vAlign w:val="top"/>
          </w:tcPr>
          <w:p w14:paraId="4774C590">
            <w:pPr>
              <w:pStyle w:val="6"/>
              <w:spacing w:before="11" w:line="217" w:lineRule="auto"/>
              <w:ind w:left="44" w:right="62"/>
              <w:jc w:val="both"/>
            </w:pPr>
            <w:r>
              <w:rPr>
                <w:spacing w:val="-3"/>
              </w:rPr>
              <w:t>加工转</w:t>
            </w:r>
            <w:r>
              <w:t xml:space="preserve"> </w:t>
            </w:r>
            <w:r>
              <w:rPr>
                <w:spacing w:val="-3"/>
              </w:rPr>
              <w:t>换投入</w:t>
            </w:r>
            <w:r>
              <w:t xml:space="preserve"> </w:t>
            </w:r>
            <w:r>
              <w:rPr>
                <w:spacing w:val="11"/>
              </w:rPr>
              <w:t>合</w:t>
            </w:r>
            <w:r>
              <w:rPr>
                <w:spacing w:val="52"/>
              </w:rPr>
              <w:t xml:space="preserve"> </w:t>
            </w:r>
            <w:r>
              <w:rPr>
                <w:spacing w:val="11"/>
              </w:rPr>
              <w:t>计</w:t>
            </w:r>
          </w:p>
        </w:tc>
        <w:tc>
          <w:tcPr>
            <w:tcW w:w="540" w:type="dxa"/>
            <w:vAlign w:val="top"/>
          </w:tcPr>
          <w:p w14:paraId="6E52D09F">
            <w:pPr>
              <w:pStyle w:val="6"/>
              <w:spacing w:before="239" w:line="223" w:lineRule="auto"/>
              <w:ind w:left="85" w:right="69"/>
            </w:pPr>
            <w:r>
              <w:rPr>
                <w:spacing w:val="7"/>
              </w:rPr>
              <w:t>火力</w:t>
            </w:r>
            <w:r>
              <w:t xml:space="preserve"> </w:t>
            </w:r>
            <w:r>
              <w:rPr>
                <w:spacing w:val="5"/>
              </w:rPr>
              <w:t>发电</w:t>
            </w:r>
          </w:p>
        </w:tc>
        <w:tc>
          <w:tcPr>
            <w:tcW w:w="570" w:type="dxa"/>
            <w:vAlign w:val="top"/>
          </w:tcPr>
          <w:p w14:paraId="3A0DCEC2">
            <w:pPr>
              <w:spacing w:line="288" w:lineRule="auto"/>
              <w:rPr>
                <w:rFonts w:ascii="Arial"/>
                <w:sz w:val="21"/>
              </w:rPr>
            </w:pPr>
          </w:p>
          <w:p w14:paraId="750BF9CB">
            <w:pPr>
              <w:pStyle w:val="6"/>
              <w:spacing w:before="58" w:line="219" w:lineRule="auto"/>
              <w:ind w:left="95"/>
            </w:pPr>
            <w:r>
              <w:rPr>
                <w:spacing w:val="-2"/>
              </w:rPr>
              <w:t>供热</w:t>
            </w:r>
          </w:p>
        </w:tc>
        <w:tc>
          <w:tcPr>
            <w:tcW w:w="540" w:type="dxa"/>
            <w:vAlign w:val="top"/>
          </w:tcPr>
          <w:p w14:paraId="490A6C23">
            <w:pPr>
              <w:pStyle w:val="6"/>
              <w:spacing w:before="220" w:line="244" w:lineRule="auto"/>
              <w:ind w:left="85" w:right="91"/>
            </w:pPr>
            <w:r>
              <w:rPr>
                <w:spacing w:val="-6"/>
              </w:rPr>
              <w:t>原煤</w:t>
            </w:r>
            <w:r>
              <w:t xml:space="preserve"> </w:t>
            </w:r>
            <w:r>
              <w:rPr>
                <w:spacing w:val="-4"/>
              </w:rPr>
              <w:t>入洗</w:t>
            </w:r>
          </w:p>
        </w:tc>
        <w:tc>
          <w:tcPr>
            <w:tcW w:w="550" w:type="dxa"/>
            <w:vAlign w:val="top"/>
          </w:tcPr>
          <w:p w14:paraId="108C9103">
            <w:pPr>
              <w:spacing w:line="289" w:lineRule="auto"/>
              <w:rPr>
                <w:rFonts w:ascii="Arial"/>
                <w:sz w:val="21"/>
              </w:rPr>
            </w:pPr>
          </w:p>
          <w:p w14:paraId="0F6AB49C">
            <w:pPr>
              <w:pStyle w:val="6"/>
              <w:spacing w:before="59" w:line="220" w:lineRule="auto"/>
              <w:ind w:left="85"/>
            </w:pPr>
            <w:r>
              <w:rPr>
                <w:spacing w:val="-3"/>
              </w:rPr>
              <w:t>炼焦</w:t>
            </w:r>
          </w:p>
        </w:tc>
        <w:tc>
          <w:tcPr>
            <w:tcW w:w="560" w:type="dxa"/>
            <w:vAlign w:val="top"/>
          </w:tcPr>
          <w:p w14:paraId="7B37339D">
            <w:pPr>
              <w:pStyle w:val="6"/>
              <w:spacing w:before="239" w:line="223" w:lineRule="auto"/>
              <w:ind w:left="15"/>
            </w:pPr>
            <w:r>
              <w:rPr>
                <w:spacing w:val="-11"/>
              </w:rPr>
              <w:t>炼油及</w:t>
            </w:r>
            <w:r>
              <w:t xml:space="preserve"> </w:t>
            </w:r>
            <w:r>
              <w:rPr>
                <w:spacing w:val="-2"/>
              </w:rPr>
              <w:t>煤制油</w:t>
            </w:r>
          </w:p>
        </w:tc>
        <w:tc>
          <w:tcPr>
            <w:tcW w:w="560" w:type="dxa"/>
            <w:vAlign w:val="top"/>
          </w:tcPr>
          <w:p w14:paraId="0194ACA4">
            <w:pPr>
              <w:spacing w:line="289" w:lineRule="auto"/>
              <w:rPr>
                <w:rFonts w:ascii="Arial"/>
                <w:sz w:val="21"/>
              </w:rPr>
            </w:pPr>
          </w:p>
          <w:p w14:paraId="36477356">
            <w:pPr>
              <w:pStyle w:val="6"/>
              <w:spacing w:before="59" w:line="220" w:lineRule="auto"/>
              <w:ind w:left="95"/>
            </w:pPr>
            <w:r>
              <w:rPr>
                <w:spacing w:val="-2"/>
              </w:rPr>
              <w:t>制气</w:t>
            </w:r>
          </w:p>
        </w:tc>
        <w:tc>
          <w:tcPr>
            <w:tcW w:w="550" w:type="dxa"/>
            <w:vAlign w:val="top"/>
          </w:tcPr>
          <w:p w14:paraId="483791FA">
            <w:pPr>
              <w:pStyle w:val="6"/>
              <w:spacing w:before="259" w:line="218" w:lineRule="auto"/>
              <w:ind w:left="44" w:hanging="29"/>
            </w:pPr>
            <w:r>
              <w:rPr>
                <w:spacing w:val="-6"/>
              </w:rPr>
              <w:t>天然气</w:t>
            </w:r>
            <w:r>
              <w:rPr>
                <w:spacing w:val="1"/>
              </w:rPr>
              <w:t xml:space="preserve"> </w:t>
            </w:r>
            <w:r>
              <w:rPr>
                <w:spacing w:val="-5"/>
              </w:rPr>
              <w:t>液</w:t>
            </w:r>
            <w:r>
              <w:rPr>
                <w:spacing w:val="6"/>
              </w:rPr>
              <w:t xml:space="preserve"> </w:t>
            </w:r>
            <w:r>
              <w:rPr>
                <w:spacing w:val="-5"/>
              </w:rPr>
              <w:t>化</w:t>
            </w:r>
          </w:p>
        </w:tc>
        <w:tc>
          <w:tcPr>
            <w:tcW w:w="550" w:type="dxa"/>
            <w:vAlign w:val="top"/>
          </w:tcPr>
          <w:p w14:paraId="07F18C5F">
            <w:pPr>
              <w:pStyle w:val="6"/>
              <w:spacing w:before="259" w:line="221" w:lineRule="auto"/>
              <w:ind w:left="24" w:hanging="9"/>
            </w:pPr>
            <w:r>
              <w:rPr>
                <w:spacing w:val="-6"/>
              </w:rPr>
              <w:t>煤制品</w:t>
            </w:r>
            <w:r>
              <w:rPr>
                <w:spacing w:val="1"/>
              </w:rPr>
              <w:t xml:space="preserve"> </w:t>
            </w:r>
            <w:r>
              <w:rPr>
                <w:spacing w:val="-5"/>
              </w:rPr>
              <w:t>加</w:t>
            </w:r>
            <w:r>
              <w:rPr>
                <w:spacing w:val="54"/>
              </w:rPr>
              <w:t xml:space="preserve"> </w:t>
            </w:r>
            <w:r>
              <w:rPr>
                <w:spacing w:val="-5"/>
              </w:rPr>
              <w:t>工</w:t>
            </w:r>
          </w:p>
        </w:tc>
        <w:tc>
          <w:tcPr>
            <w:tcW w:w="580" w:type="dxa"/>
            <w:vMerge w:val="continue"/>
            <w:tcBorders>
              <w:top w:val="nil"/>
            </w:tcBorders>
            <w:vAlign w:val="top"/>
          </w:tcPr>
          <w:p w14:paraId="380C8FEA">
            <w:pPr>
              <w:rPr>
                <w:rFonts w:ascii="Arial"/>
                <w:sz w:val="21"/>
              </w:rPr>
            </w:pPr>
          </w:p>
        </w:tc>
        <w:tc>
          <w:tcPr>
            <w:tcW w:w="570" w:type="dxa"/>
            <w:vMerge w:val="continue"/>
            <w:tcBorders>
              <w:top w:val="nil"/>
              <w:right w:val="nil"/>
            </w:tcBorders>
            <w:vAlign w:val="top"/>
          </w:tcPr>
          <w:p w14:paraId="48E24178">
            <w:pPr>
              <w:rPr>
                <w:rFonts w:ascii="Arial"/>
                <w:sz w:val="21"/>
              </w:rPr>
            </w:pPr>
          </w:p>
        </w:tc>
      </w:tr>
      <w:tr w14:paraId="2033DB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1420" w:type="dxa"/>
            <w:tcBorders>
              <w:left w:val="nil"/>
            </w:tcBorders>
            <w:vAlign w:val="top"/>
          </w:tcPr>
          <w:p w14:paraId="7F535E21">
            <w:pPr>
              <w:pStyle w:val="6"/>
              <w:spacing w:before="66" w:line="222" w:lineRule="auto"/>
              <w:ind w:left="620"/>
            </w:pPr>
            <w:r>
              <w:t>甲</w:t>
            </w:r>
          </w:p>
        </w:tc>
        <w:tc>
          <w:tcPr>
            <w:tcW w:w="560" w:type="dxa"/>
            <w:vAlign w:val="top"/>
          </w:tcPr>
          <w:p w14:paraId="08F3529D">
            <w:pPr>
              <w:pStyle w:val="6"/>
              <w:spacing w:before="78" w:line="216" w:lineRule="auto"/>
              <w:ind w:left="184"/>
            </w:pPr>
            <w:r>
              <w:t>乙</w:t>
            </w:r>
          </w:p>
        </w:tc>
        <w:tc>
          <w:tcPr>
            <w:tcW w:w="570" w:type="dxa"/>
            <w:vAlign w:val="top"/>
          </w:tcPr>
          <w:p w14:paraId="4333C3EB">
            <w:pPr>
              <w:pStyle w:val="6"/>
              <w:spacing w:before="63" w:line="220" w:lineRule="auto"/>
              <w:ind w:left="185"/>
            </w:pPr>
            <w:r>
              <w:t>丙</w:t>
            </w:r>
          </w:p>
        </w:tc>
        <w:tc>
          <w:tcPr>
            <w:tcW w:w="630" w:type="dxa"/>
            <w:vAlign w:val="top"/>
          </w:tcPr>
          <w:p w14:paraId="3D48B345">
            <w:pPr>
              <w:pStyle w:val="6"/>
              <w:spacing w:before="108" w:line="184" w:lineRule="auto"/>
              <w:ind w:left="265"/>
            </w:pPr>
            <w:r>
              <w:t>1</w:t>
            </w:r>
          </w:p>
        </w:tc>
        <w:tc>
          <w:tcPr>
            <w:tcW w:w="650" w:type="dxa"/>
            <w:vAlign w:val="top"/>
          </w:tcPr>
          <w:p w14:paraId="74FEAC71">
            <w:pPr>
              <w:pStyle w:val="6"/>
              <w:spacing w:before="109" w:line="183" w:lineRule="auto"/>
              <w:ind w:left="275"/>
            </w:pPr>
            <w:r>
              <w:t>2</w:t>
            </w:r>
          </w:p>
        </w:tc>
        <w:tc>
          <w:tcPr>
            <w:tcW w:w="540" w:type="dxa"/>
            <w:vAlign w:val="top"/>
          </w:tcPr>
          <w:p w14:paraId="74373A02">
            <w:pPr>
              <w:pStyle w:val="6"/>
              <w:spacing w:before="109" w:line="183" w:lineRule="auto"/>
              <w:ind w:left="214"/>
            </w:pPr>
            <w:r>
              <w:t>3</w:t>
            </w:r>
          </w:p>
        </w:tc>
        <w:tc>
          <w:tcPr>
            <w:tcW w:w="570" w:type="dxa"/>
            <w:vAlign w:val="top"/>
          </w:tcPr>
          <w:p w14:paraId="74846DFB">
            <w:pPr>
              <w:pStyle w:val="6"/>
              <w:spacing w:before="109" w:line="183" w:lineRule="auto"/>
              <w:ind w:left="235"/>
            </w:pPr>
            <w:r>
              <w:t>4</w:t>
            </w:r>
          </w:p>
        </w:tc>
        <w:tc>
          <w:tcPr>
            <w:tcW w:w="540" w:type="dxa"/>
            <w:vAlign w:val="top"/>
          </w:tcPr>
          <w:p w14:paraId="179889A3">
            <w:pPr>
              <w:pStyle w:val="6"/>
              <w:spacing w:before="110" w:line="182" w:lineRule="auto"/>
              <w:ind w:left="215"/>
            </w:pPr>
            <w:r>
              <w:t>5</w:t>
            </w:r>
          </w:p>
        </w:tc>
        <w:tc>
          <w:tcPr>
            <w:tcW w:w="550" w:type="dxa"/>
            <w:vAlign w:val="top"/>
          </w:tcPr>
          <w:p w14:paraId="68719754">
            <w:pPr>
              <w:pStyle w:val="6"/>
              <w:spacing w:before="109" w:line="183" w:lineRule="auto"/>
              <w:ind w:left="225"/>
            </w:pPr>
            <w:r>
              <w:t>6</w:t>
            </w:r>
          </w:p>
        </w:tc>
        <w:tc>
          <w:tcPr>
            <w:tcW w:w="560" w:type="dxa"/>
            <w:vAlign w:val="top"/>
          </w:tcPr>
          <w:p w14:paraId="66E7D8F1">
            <w:pPr>
              <w:pStyle w:val="6"/>
              <w:spacing w:before="110" w:line="182" w:lineRule="auto"/>
              <w:ind w:left="225"/>
            </w:pPr>
            <w:r>
              <w:t>7</w:t>
            </w:r>
          </w:p>
        </w:tc>
        <w:tc>
          <w:tcPr>
            <w:tcW w:w="560" w:type="dxa"/>
            <w:vAlign w:val="top"/>
          </w:tcPr>
          <w:p w14:paraId="12631895">
            <w:pPr>
              <w:pStyle w:val="6"/>
              <w:spacing w:before="109" w:line="183" w:lineRule="auto"/>
              <w:ind w:left="225"/>
            </w:pPr>
            <w:r>
              <w:t>8</w:t>
            </w:r>
          </w:p>
        </w:tc>
        <w:tc>
          <w:tcPr>
            <w:tcW w:w="550" w:type="dxa"/>
            <w:vAlign w:val="top"/>
          </w:tcPr>
          <w:p w14:paraId="04A8074C">
            <w:pPr>
              <w:pStyle w:val="6"/>
              <w:spacing w:before="109" w:line="183" w:lineRule="auto"/>
              <w:ind w:left="225"/>
            </w:pPr>
            <w:r>
              <w:t>9</w:t>
            </w:r>
          </w:p>
        </w:tc>
        <w:tc>
          <w:tcPr>
            <w:tcW w:w="550" w:type="dxa"/>
            <w:vAlign w:val="top"/>
          </w:tcPr>
          <w:p w14:paraId="7974EA64">
            <w:pPr>
              <w:pStyle w:val="6"/>
              <w:spacing w:before="108" w:line="184" w:lineRule="auto"/>
              <w:ind w:left="175"/>
            </w:pPr>
            <w:r>
              <w:rPr>
                <w:spacing w:val="-6"/>
              </w:rPr>
              <w:t>10</w:t>
            </w:r>
          </w:p>
        </w:tc>
        <w:tc>
          <w:tcPr>
            <w:tcW w:w="580" w:type="dxa"/>
            <w:vAlign w:val="top"/>
          </w:tcPr>
          <w:p w14:paraId="46C551F2">
            <w:pPr>
              <w:pStyle w:val="6"/>
              <w:spacing w:before="108" w:line="184" w:lineRule="auto"/>
              <w:ind w:left="195"/>
            </w:pPr>
            <w:r>
              <w:rPr>
                <w:spacing w:val="-6"/>
              </w:rPr>
              <w:t>11</w:t>
            </w:r>
          </w:p>
        </w:tc>
        <w:tc>
          <w:tcPr>
            <w:tcW w:w="570" w:type="dxa"/>
            <w:tcBorders>
              <w:right w:val="nil"/>
            </w:tcBorders>
            <w:vAlign w:val="top"/>
          </w:tcPr>
          <w:p w14:paraId="668099CB">
            <w:pPr>
              <w:pStyle w:val="6"/>
              <w:spacing w:before="108" w:line="184" w:lineRule="auto"/>
              <w:ind w:left="185"/>
            </w:pPr>
            <w:r>
              <w:rPr>
                <w:spacing w:val="-6"/>
              </w:rPr>
              <w:t>12</w:t>
            </w:r>
          </w:p>
        </w:tc>
      </w:tr>
      <w:tr w14:paraId="3992E1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2" w:hRule="atLeast"/>
        </w:trPr>
        <w:tc>
          <w:tcPr>
            <w:tcW w:w="1420" w:type="dxa"/>
            <w:tcBorders>
              <w:left w:val="nil"/>
            </w:tcBorders>
            <w:vAlign w:val="top"/>
          </w:tcPr>
          <w:p w14:paraId="2CEF96A0">
            <w:pPr>
              <w:rPr>
                <w:rFonts w:ascii="Arial"/>
                <w:sz w:val="21"/>
              </w:rPr>
            </w:pPr>
          </w:p>
        </w:tc>
        <w:tc>
          <w:tcPr>
            <w:tcW w:w="560" w:type="dxa"/>
            <w:vAlign w:val="top"/>
          </w:tcPr>
          <w:p w14:paraId="7430CA74">
            <w:pPr>
              <w:rPr>
                <w:rFonts w:ascii="Arial"/>
                <w:sz w:val="21"/>
              </w:rPr>
            </w:pPr>
          </w:p>
        </w:tc>
        <w:tc>
          <w:tcPr>
            <w:tcW w:w="570" w:type="dxa"/>
            <w:vAlign w:val="top"/>
          </w:tcPr>
          <w:p w14:paraId="36BCD746">
            <w:pPr>
              <w:rPr>
                <w:rFonts w:ascii="Arial"/>
                <w:sz w:val="21"/>
              </w:rPr>
            </w:pPr>
          </w:p>
        </w:tc>
        <w:tc>
          <w:tcPr>
            <w:tcW w:w="6850" w:type="dxa"/>
            <w:gridSpan w:val="12"/>
            <w:tcBorders>
              <w:right w:val="nil"/>
            </w:tcBorders>
            <w:vAlign w:val="top"/>
          </w:tcPr>
          <w:p w14:paraId="6E553F5E">
            <w:pPr>
              <w:rPr>
                <w:rFonts w:ascii="Arial"/>
                <w:sz w:val="21"/>
              </w:rPr>
            </w:pPr>
          </w:p>
        </w:tc>
      </w:tr>
    </w:tbl>
    <w:p w14:paraId="7A6ED036">
      <w:pPr>
        <w:spacing w:before="22" w:line="221" w:lineRule="auto"/>
        <w:jc w:val="right"/>
        <w:rPr>
          <w:rFonts w:ascii="宋体" w:hAnsi="宋体" w:eastAsia="宋体" w:cs="宋体"/>
          <w:sz w:val="19"/>
          <w:szCs w:val="19"/>
        </w:rPr>
      </w:pPr>
      <w:r>
        <w:rPr>
          <w:rFonts w:ascii="宋体" w:hAnsi="宋体" w:eastAsia="宋体" w:cs="宋体"/>
          <w:spacing w:val="-10"/>
          <w:sz w:val="19"/>
          <w:szCs w:val="19"/>
        </w:rPr>
        <w:t xml:space="preserve">单位负责人：          统计负责人：            </w:t>
      </w:r>
      <w:r>
        <w:rPr>
          <w:rFonts w:ascii="宋体" w:hAnsi="宋体" w:eastAsia="宋体" w:cs="宋体"/>
          <w:spacing w:val="-10"/>
          <w:position w:val="-1"/>
          <w:sz w:val="19"/>
          <w:szCs w:val="19"/>
        </w:rPr>
        <w:t xml:space="preserve">填表人：        </w:t>
      </w:r>
      <w:r>
        <w:rPr>
          <w:rFonts w:ascii="宋体" w:hAnsi="宋体" w:eastAsia="宋体" w:cs="宋体"/>
          <w:spacing w:val="-10"/>
          <w:sz w:val="19"/>
          <w:szCs w:val="19"/>
        </w:rPr>
        <w:t xml:space="preserve">联系电话：          </w:t>
      </w:r>
      <w:r>
        <w:rPr>
          <w:rFonts w:ascii="宋体" w:hAnsi="宋体" w:eastAsia="宋体" w:cs="宋体"/>
          <w:spacing w:val="-10"/>
          <w:position w:val="1"/>
          <w:sz w:val="19"/>
          <w:szCs w:val="19"/>
        </w:rPr>
        <w:t>报出日期：20  年</w:t>
      </w:r>
      <w:r>
        <w:rPr>
          <w:rFonts w:ascii="宋体" w:hAnsi="宋体" w:eastAsia="宋体" w:cs="宋体"/>
          <w:spacing w:val="14"/>
          <w:position w:val="1"/>
          <w:sz w:val="19"/>
          <w:szCs w:val="19"/>
        </w:rPr>
        <w:t xml:space="preserve">  </w:t>
      </w:r>
      <w:r>
        <w:rPr>
          <w:rFonts w:ascii="宋体" w:hAnsi="宋体" w:eastAsia="宋体" w:cs="宋体"/>
          <w:spacing w:val="-10"/>
          <w:position w:val="1"/>
          <w:sz w:val="19"/>
          <w:szCs w:val="19"/>
        </w:rPr>
        <w:t>月   日</w:t>
      </w:r>
    </w:p>
    <w:p w14:paraId="65CA8A75">
      <w:pPr>
        <w:spacing w:before="291" w:line="219" w:lineRule="auto"/>
        <w:ind w:left="30"/>
        <w:rPr>
          <w:rFonts w:ascii="宋体" w:hAnsi="宋体" w:eastAsia="宋体" w:cs="宋体"/>
          <w:sz w:val="18"/>
          <w:szCs w:val="18"/>
        </w:rPr>
      </w:pPr>
      <w:r>
        <w:rPr>
          <w:rFonts w:ascii="宋体" w:hAnsi="宋体" w:eastAsia="宋体" w:cs="宋体"/>
          <w:spacing w:val="-4"/>
          <w:sz w:val="18"/>
          <w:szCs w:val="18"/>
        </w:rPr>
        <w:t>说明：1.统计范围：辖区内有能源加工转换或回收利用活动的规模以上工业法人单位</w:t>
      </w:r>
      <w:r>
        <w:rPr>
          <w:rFonts w:hint="eastAsia" w:ascii="宋体" w:hAnsi="宋体" w:eastAsia="宋体" w:cs="宋体"/>
          <w:spacing w:val="-6"/>
          <w:sz w:val="18"/>
          <w:szCs w:val="18"/>
          <w:lang w:eastAsia="zh-CN"/>
        </w:rPr>
        <w:t>和规模以上工业个体经营户</w:t>
      </w:r>
      <w:r>
        <w:rPr>
          <w:rFonts w:ascii="宋体" w:hAnsi="宋体" w:eastAsia="宋体" w:cs="宋体"/>
          <w:spacing w:val="-4"/>
          <w:sz w:val="18"/>
          <w:szCs w:val="18"/>
        </w:rPr>
        <w:t>。</w:t>
      </w:r>
    </w:p>
    <w:p w14:paraId="2A698B31">
      <w:pPr>
        <w:spacing w:before="68" w:line="261" w:lineRule="auto"/>
        <w:ind w:left="2089" w:hanging="1579"/>
        <w:rPr>
          <w:rFonts w:ascii="宋体" w:hAnsi="宋体" w:eastAsia="宋体" w:cs="宋体"/>
          <w:sz w:val="18"/>
          <w:szCs w:val="18"/>
        </w:rPr>
      </w:pPr>
      <w:r>
        <w:rPr>
          <w:rFonts w:ascii="宋体" w:hAnsi="宋体" w:eastAsia="宋体" w:cs="宋体"/>
          <w:spacing w:val="9"/>
          <w:sz w:val="18"/>
          <w:szCs w:val="18"/>
        </w:rPr>
        <w:t>2.报送日期及方式：调查单位2、5、6、7、8、10、11月月后7日，3月月后8日，4、</w:t>
      </w:r>
      <w:r>
        <w:rPr>
          <w:rFonts w:ascii="宋体" w:hAnsi="宋体" w:eastAsia="宋体" w:cs="宋体"/>
          <w:spacing w:val="8"/>
          <w:sz w:val="18"/>
          <w:szCs w:val="18"/>
        </w:rPr>
        <w:t>12月月后9日，9月月后</w:t>
      </w:r>
      <w:r>
        <w:rPr>
          <w:rFonts w:ascii="宋体" w:hAnsi="宋体" w:eastAsia="宋体" w:cs="宋体"/>
          <w:sz w:val="18"/>
          <w:szCs w:val="18"/>
        </w:rPr>
        <w:t xml:space="preserve">  </w:t>
      </w:r>
      <w:r>
        <w:rPr>
          <w:rFonts w:ascii="宋体" w:hAnsi="宋体" w:eastAsia="宋体" w:cs="宋体"/>
          <w:spacing w:val="6"/>
          <w:sz w:val="18"/>
          <w:szCs w:val="18"/>
        </w:rPr>
        <w:t>1</w:t>
      </w:r>
      <w:r>
        <w:rPr>
          <w:rFonts w:hint="eastAsia" w:ascii="宋体" w:hAnsi="宋体" w:eastAsia="宋体" w:cs="宋体"/>
          <w:spacing w:val="6"/>
          <w:sz w:val="18"/>
          <w:szCs w:val="18"/>
          <w:lang w:val="en-US" w:eastAsia="zh-CN"/>
        </w:rPr>
        <w:t>1</w:t>
      </w:r>
      <w:r>
        <w:rPr>
          <w:rFonts w:ascii="宋体" w:hAnsi="宋体" w:eastAsia="宋体" w:cs="宋体"/>
          <w:spacing w:val="6"/>
          <w:sz w:val="18"/>
          <w:szCs w:val="18"/>
        </w:rPr>
        <w:t>日1</w:t>
      </w:r>
      <w:r>
        <w:rPr>
          <w:rFonts w:hint="eastAsia" w:ascii="宋体" w:hAnsi="宋体" w:eastAsia="宋体" w:cs="宋体"/>
          <w:spacing w:val="6"/>
          <w:sz w:val="18"/>
          <w:szCs w:val="18"/>
          <w:lang w:val="en-US" w:eastAsia="zh-CN"/>
        </w:rPr>
        <w:t>8</w:t>
      </w:r>
      <w:r>
        <w:rPr>
          <w:rFonts w:ascii="宋体" w:hAnsi="宋体" w:eastAsia="宋体" w:cs="宋体"/>
          <w:spacing w:val="6"/>
          <w:sz w:val="18"/>
          <w:szCs w:val="18"/>
        </w:rPr>
        <w:t>:00前独立自行网上填报，1月免报；市级统计机构6、7、8、10、</w:t>
      </w:r>
      <w:r>
        <w:rPr>
          <w:rFonts w:ascii="宋体" w:hAnsi="宋体" w:eastAsia="宋体" w:cs="宋体"/>
          <w:spacing w:val="5"/>
          <w:sz w:val="18"/>
          <w:szCs w:val="18"/>
        </w:rPr>
        <w:t>11月月后8日，2、</w:t>
      </w:r>
      <w:r>
        <w:rPr>
          <w:rFonts w:ascii="宋体" w:hAnsi="宋体" w:eastAsia="宋体" w:cs="宋体"/>
          <w:sz w:val="18"/>
          <w:szCs w:val="18"/>
        </w:rPr>
        <w:t xml:space="preserve"> </w:t>
      </w:r>
      <w:r>
        <w:rPr>
          <w:rFonts w:ascii="宋体" w:hAnsi="宋体" w:eastAsia="宋体" w:cs="宋体"/>
          <w:spacing w:val="10"/>
          <w:sz w:val="18"/>
          <w:szCs w:val="18"/>
        </w:rPr>
        <w:t>3、5月月后9日，4、12月月后10日，9月月后11日12:00完成数据审核、验收、上</w:t>
      </w:r>
      <w:r>
        <w:rPr>
          <w:rFonts w:ascii="宋体" w:hAnsi="宋体" w:eastAsia="宋体" w:cs="宋体"/>
          <w:spacing w:val="9"/>
          <w:sz w:val="18"/>
          <w:szCs w:val="18"/>
        </w:rPr>
        <w:t>报。</w:t>
      </w:r>
    </w:p>
    <w:p w14:paraId="4663DBCA">
      <w:pPr>
        <w:spacing w:before="76" w:line="271" w:lineRule="exact"/>
        <w:ind w:left="510"/>
        <w:rPr>
          <w:rFonts w:ascii="宋体" w:hAnsi="宋体" w:eastAsia="宋体" w:cs="宋体"/>
          <w:sz w:val="18"/>
          <w:szCs w:val="18"/>
        </w:rPr>
      </w:pPr>
      <w:r>
        <w:rPr>
          <w:rFonts w:ascii="宋体" w:hAnsi="宋体" w:eastAsia="宋体" w:cs="宋体"/>
          <w:spacing w:val="-2"/>
          <w:position w:val="6"/>
          <w:sz w:val="18"/>
          <w:szCs w:val="18"/>
        </w:rPr>
        <w:t>3.本表甲栏下按《能源购进、消费与库存和能源加工转换与回收利用</w:t>
      </w:r>
      <w:r>
        <w:rPr>
          <w:rFonts w:ascii="宋体" w:hAnsi="宋体" w:eastAsia="宋体" w:cs="宋体"/>
          <w:spacing w:val="-3"/>
          <w:position w:val="6"/>
          <w:sz w:val="18"/>
          <w:szCs w:val="18"/>
        </w:rPr>
        <w:t>目录》填报。</w:t>
      </w:r>
    </w:p>
    <w:p w14:paraId="4E96A4DC">
      <w:pPr>
        <w:spacing w:line="220" w:lineRule="auto"/>
        <w:ind w:left="510"/>
        <w:rPr>
          <w:rFonts w:ascii="宋体" w:hAnsi="宋体" w:eastAsia="宋体" w:cs="宋体"/>
          <w:sz w:val="18"/>
          <w:szCs w:val="18"/>
        </w:rPr>
      </w:pPr>
      <w:r>
        <w:rPr>
          <w:rFonts w:ascii="宋体" w:hAnsi="宋体" w:eastAsia="宋体" w:cs="宋体"/>
          <w:spacing w:val="-11"/>
          <w:sz w:val="18"/>
          <w:szCs w:val="18"/>
        </w:rPr>
        <w:t>4.审核关系：</w:t>
      </w:r>
    </w:p>
    <w:p w14:paraId="7EA863A4">
      <w:pPr>
        <w:spacing w:before="85" w:line="219" w:lineRule="auto"/>
        <w:ind w:left="660"/>
        <w:rPr>
          <w:rFonts w:ascii="宋体" w:hAnsi="宋体" w:eastAsia="宋体" w:cs="宋体"/>
          <w:sz w:val="18"/>
          <w:szCs w:val="18"/>
        </w:rPr>
      </w:pPr>
      <w:r>
        <w:rPr>
          <w:rFonts w:ascii="宋体" w:hAnsi="宋体" w:eastAsia="宋体" w:cs="宋体"/>
          <w:spacing w:val="-1"/>
          <w:sz w:val="18"/>
          <w:szCs w:val="18"/>
        </w:rPr>
        <w:t>(1)工业生产消费量与205-1表的工业生产消费量数值一致</w:t>
      </w:r>
    </w:p>
    <w:p w14:paraId="36C22684">
      <w:pPr>
        <w:spacing w:before="45" w:line="242" w:lineRule="auto"/>
        <w:ind w:left="2449" w:right="78" w:hanging="1789"/>
        <w:rPr>
          <w:rFonts w:ascii="宋体" w:hAnsi="宋体" w:eastAsia="宋体" w:cs="宋体"/>
          <w:sz w:val="18"/>
          <w:szCs w:val="18"/>
        </w:rPr>
      </w:pPr>
      <w:r>
        <w:rPr>
          <w:rFonts w:ascii="宋体" w:hAnsi="宋体" w:eastAsia="宋体" w:cs="宋体"/>
          <w:spacing w:val="2"/>
          <w:sz w:val="18"/>
          <w:szCs w:val="18"/>
        </w:rPr>
        <w:t>(2)加工转换投入合计=火力发电投入+供热投入+原煤入洗投入+炼焦投入+炼油及煤制油投入+制气</w:t>
      </w:r>
      <w:r>
        <w:rPr>
          <w:rFonts w:ascii="宋体" w:hAnsi="宋体" w:eastAsia="宋体" w:cs="宋体"/>
          <w:spacing w:val="1"/>
          <w:sz w:val="18"/>
          <w:szCs w:val="18"/>
        </w:rPr>
        <w:t>投入+天然气</w:t>
      </w:r>
      <w:r>
        <w:rPr>
          <w:rFonts w:ascii="宋体" w:hAnsi="宋体" w:eastAsia="宋体" w:cs="宋体"/>
          <w:sz w:val="18"/>
          <w:szCs w:val="18"/>
        </w:rPr>
        <w:t xml:space="preserve"> </w:t>
      </w:r>
      <w:r>
        <w:rPr>
          <w:rFonts w:ascii="宋体" w:hAnsi="宋体" w:eastAsia="宋体" w:cs="宋体"/>
          <w:spacing w:val="-3"/>
          <w:sz w:val="18"/>
          <w:szCs w:val="18"/>
        </w:rPr>
        <w:t>液化投入+煤制品加工投入</w:t>
      </w:r>
    </w:p>
    <w:p w14:paraId="13218314">
      <w:pPr>
        <w:spacing w:line="242" w:lineRule="auto"/>
        <w:rPr>
          <w:rFonts w:ascii="宋体" w:hAnsi="宋体" w:eastAsia="宋体" w:cs="宋体"/>
          <w:sz w:val="18"/>
          <w:szCs w:val="18"/>
        </w:rPr>
        <w:sectPr>
          <w:type w:val="continuous"/>
          <w:pgSz w:w="11910" w:h="16840"/>
          <w:pgMar w:top="1109" w:right="1190" w:bottom="0" w:left="1239" w:header="867" w:footer="0" w:gutter="0"/>
          <w:cols w:equalWidth="0" w:num="1">
            <w:col w:w="9480"/>
          </w:cols>
        </w:sectPr>
      </w:pPr>
    </w:p>
    <w:p w14:paraId="20BC4E20">
      <w:pPr>
        <w:pStyle w:val="2"/>
        <w:spacing w:line="241" w:lineRule="auto"/>
      </w:pPr>
    </w:p>
    <w:p w14:paraId="7FB9EDA2">
      <w:pPr>
        <w:pStyle w:val="2"/>
        <w:spacing w:line="241" w:lineRule="auto"/>
      </w:pPr>
    </w:p>
    <w:p w14:paraId="50EAA74F">
      <w:pPr>
        <w:pStyle w:val="2"/>
        <w:spacing w:line="241" w:lineRule="auto"/>
      </w:pPr>
    </w:p>
    <w:p w14:paraId="1962AEA1">
      <w:pPr>
        <w:spacing w:before="101" w:line="219" w:lineRule="auto"/>
        <w:ind w:left="1879"/>
        <w:rPr>
          <w:rFonts w:ascii="宋体" w:hAnsi="宋体" w:eastAsia="宋体" w:cs="宋体"/>
          <w:sz w:val="31"/>
          <w:szCs w:val="31"/>
        </w:rPr>
      </w:pPr>
      <w:bookmarkStart w:id="6" w:name="bookmark9"/>
      <w:bookmarkEnd w:id="6"/>
      <w:r>
        <w:rPr>
          <w:rFonts w:ascii="宋体" w:hAnsi="宋体" w:eastAsia="宋体" w:cs="宋体"/>
          <w:b/>
          <w:bCs/>
          <w:spacing w:val="4"/>
          <w:sz w:val="31"/>
          <w:szCs w:val="31"/>
        </w:rPr>
        <w:t>主要耗能工业企业单位产品能源消费情况</w:t>
      </w:r>
    </w:p>
    <w:p w14:paraId="45BF3D4F">
      <w:pPr>
        <w:spacing w:before="24"/>
      </w:pPr>
    </w:p>
    <w:p w14:paraId="40512EB0">
      <w:pPr>
        <w:sectPr>
          <w:headerReference r:id="rId11" w:type="default"/>
          <w:pgSz w:w="11910" w:h="16840"/>
          <w:pgMar w:top="1109" w:right="1214" w:bottom="0" w:left="1224" w:header="867" w:footer="0" w:gutter="0"/>
          <w:cols w:equalWidth="0" w:num="1">
            <w:col w:w="9471"/>
          </w:cols>
        </w:sectPr>
      </w:pPr>
    </w:p>
    <w:p w14:paraId="24B47F33">
      <w:pPr>
        <w:spacing w:before="293" w:line="219" w:lineRule="auto"/>
        <w:ind w:left="15"/>
        <w:rPr>
          <w:rFonts w:ascii="宋体" w:hAnsi="宋体" w:eastAsia="宋体" w:cs="宋体"/>
          <w:sz w:val="14"/>
          <w:szCs w:val="14"/>
        </w:rPr>
      </w:pPr>
      <w:r>
        <w:rPr>
          <w:rFonts w:ascii="宋体" w:hAnsi="宋体" w:eastAsia="宋体" w:cs="宋体"/>
          <w:spacing w:val="-1"/>
          <w:sz w:val="18"/>
          <w:szCs w:val="18"/>
        </w:rPr>
        <w:t>统一社会信用代码口口</w:t>
      </w:r>
      <w:r>
        <w:rPr>
          <w:rFonts w:ascii="宋体" w:hAnsi="宋体" w:eastAsia="宋体" w:cs="宋体"/>
          <w:spacing w:val="-1"/>
          <w:sz w:val="14"/>
          <w:szCs w:val="14"/>
        </w:rPr>
        <w:t>□□□□□□□</w:t>
      </w:r>
    </w:p>
    <w:p w14:paraId="43009CAA">
      <w:pPr>
        <w:spacing w:before="298" w:line="194" w:lineRule="auto"/>
        <w:ind w:left="15"/>
        <w:rPr>
          <w:rFonts w:ascii="宋体" w:hAnsi="宋体" w:eastAsia="宋体" w:cs="宋体"/>
          <w:sz w:val="14"/>
          <w:szCs w:val="14"/>
        </w:rPr>
      </w:pPr>
      <w:r>
        <w:pict>
          <v:shape id="_x0000_s1026" o:spid="_x0000_s1026" o:spt="202" type="#_x0000_t202" style="position:absolute;left:0pt;margin-left:235.25pt;margin-top:14.35pt;height:12.7pt;width:55.85pt;z-index:251665408;mso-width-relative:page;mso-height-relative:page;" filled="f" stroked="f" coordsize="21600,21600">
            <v:path/>
            <v:fill on="f" focussize="0,0"/>
            <v:stroke on="f"/>
            <v:imagedata o:title=""/>
            <o:lock v:ext="edit" aspectratio="f"/>
            <v:textbox inset="0mm,0mm,0mm,0mm">
              <w:txbxContent>
                <w:p w14:paraId="4AACFAD6">
                  <w:pPr>
                    <w:spacing w:before="20" w:line="219" w:lineRule="auto"/>
                    <w:ind w:left="20"/>
                    <w:rPr>
                      <w:rFonts w:ascii="宋体" w:hAnsi="宋体" w:eastAsia="宋体" w:cs="宋体"/>
                      <w:sz w:val="18"/>
                      <w:szCs w:val="18"/>
                    </w:rPr>
                  </w:pPr>
                  <w:r>
                    <w:rPr>
                      <w:rFonts w:ascii="宋体" w:hAnsi="宋体" w:eastAsia="宋体" w:cs="宋体"/>
                      <w:spacing w:val="-3"/>
                      <w:sz w:val="18"/>
                      <w:szCs w:val="18"/>
                    </w:rPr>
                    <w:t>年</w:t>
                  </w:r>
                  <w:r>
                    <w:rPr>
                      <w:rFonts w:ascii="宋体" w:hAnsi="宋体" w:eastAsia="宋体" w:cs="宋体"/>
                      <w:spacing w:val="19"/>
                      <w:sz w:val="18"/>
                      <w:szCs w:val="18"/>
                    </w:rPr>
                    <w:t xml:space="preserve">  </w:t>
                  </w:r>
                  <w:r>
                    <w:rPr>
                      <w:rFonts w:ascii="宋体" w:hAnsi="宋体" w:eastAsia="宋体" w:cs="宋体"/>
                      <w:spacing w:val="-3"/>
                      <w:sz w:val="18"/>
                      <w:szCs w:val="18"/>
                    </w:rPr>
                    <w:t>1一</w:t>
                  </w:r>
                  <w:r>
                    <w:rPr>
                      <w:rFonts w:ascii="宋体" w:hAnsi="宋体" w:eastAsia="宋体" w:cs="宋体"/>
                      <w:spacing w:val="35"/>
                      <w:sz w:val="18"/>
                      <w:szCs w:val="18"/>
                    </w:rPr>
                    <w:t xml:space="preserve">  </w:t>
                  </w:r>
                  <w:r>
                    <w:rPr>
                      <w:rFonts w:ascii="宋体" w:hAnsi="宋体" w:eastAsia="宋体" w:cs="宋体"/>
                      <w:spacing w:val="-3"/>
                      <w:sz w:val="18"/>
                      <w:szCs w:val="18"/>
                    </w:rPr>
                    <w:t>月</w:t>
                  </w:r>
                </w:p>
              </w:txbxContent>
            </v:textbox>
          </v:shape>
        </w:pict>
      </w:r>
      <w:r>
        <w:rPr>
          <w:rFonts w:ascii="宋体" w:hAnsi="宋体" w:eastAsia="宋体" w:cs="宋体"/>
          <w:spacing w:val="-16"/>
          <w:sz w:val="18"/>
          <w:szCs w:val="18"/>
        </w:rPr>
        <w:t>单位详细名称：</w:t>
      </w:r>
      <w:r>
        <w:rPr>
          <w:rFonts w:ascii="宋体" w:hAnsi="宋体" w:eastAsia="宋体" w:cs="宋体"/>
          <w:spacing w:val="1"/>
          <w:sz w:val="18"/>
          <w:szCs w:val="18"/>
        </w:rPr>
        <w:t xml:space="preserve">                            </w:t>
      </w:r>
      <w:r>
        <w:rPr>
          <w:rFonts w:ascii="宋体" w:hAnsi="宋体" w:eastAsia="宋体" w:cs="宋体"/>
          <w:sz w:val="18"/>
          <w:szCs w:val="18"/>
        </w:rPr>
        <w:t xml:space="preserve">    </w:t>
      </w:r>
      <w:r>
        <w:rPr>
          <w:rFonts w:ascii="宋体" w:hAnsi="宋体" w:eastAsia="宋体" w:cs="宋体"/>
          <w:spacing w:val="-16"/>
          <w:sz w:val="14"/>
          <w:szCs w:val="14"/>
        </w:rPr>
        <w:t>20</w:t>
      </w:r>
    </w:p>
    <w:p w14:paraId="020A2C84">
      <w:pPr>
        <w:pStyle w:val="2"/>
        <w:spacing w:line="14" w:lineRule="auto"/>
        <w:rPr>
          <w:sz w:val="2"/>
        </w:rPr>
      </w:pPr>
      <w:r>
        <w:rPr>
          <w:sz w:val="2"/>
          <w:szCs w:val="2"/>
        </w:rPr>
        <w:br w:type="column"/>
      </w:r>
    </w:p>
    <w:p w14:paraId="06C13936">
      <w:pPr>
        <w:spacing w:before="34" w:line="221" w:lineRule="auto"/>
        <w:rPr>
          <w:rFonts w:ascii="宋体" w:hAnsi="宋体" w:eastAsia="宋体" w:cs="宋体"/>
          <w:sz w:val="18"/>
          <w:szCs w:val="18"/>
        </w:rPr>
      </w:pPr>
      <w:r>
        <w:rPr>
          <w:rFonts w:ascii="宋体" w:hAnsi="宋体" w:eastAsia="宋体" w:cs="宋体"/>
          <w:spacing w:val="-2"/>
          <w:sz w:val="18"/>
          <w:szCs w:val="18"/>
        </w:rPr>
        <w:t>表</w:t>
      </w:r>
      <w:r>
        <w:rPr>
          <w:rFonts w:ascii="宋体" w:hAnsi="宋体" w:eastAsia="宋体" w:cs="宋体"/>
          <w:spacing w:val="27"/>
          <w:w w:val="101"/>
          <w:sz w:val="18"/>
          <w:szCs w:val="18"/>
        </w:rPr>
        <w:t xml:space="preserve">   </w:t>
      </w:r>
      <w:r>
        <w:rPr>
          <w:rFonts w:ascii="宋体" w:hAnsi="宋体" w:eastAsia="宋体" w:cs="宋体"/>
          <w:spacing w:val="-2"/>
          <w:sz w:val="18"/>
          <w:szCs w:val="18"/>
        </w:rPr>
        <w:t>号：2  0  5—</w:t>
      </w:r>
      <w:r>
        <w:rPr>
          <w:rFonts w:ascii="宋体" w:hAnsi="宋体" w:eastAsia="宋体" w:cs="宋体"/>
          <w:spacing w:val="6"/>
          <w:sz w:val="18"/>
          <w:szCs w:val="18"/>
        </w:rPr>
        <w:t xml:space="preserve">   </w:t>
      </w:r>
      <w:r>
        <w:rPr>
          <w:rFonts w:ascii="宋体" w:hAnsi="宋体" w:eastAsia="宋体" w:cs="宋体"/>
          <w:spacing w:val="-2"/>
          <w:sz w:val="18"/>
          <w:szCs w:val="18"/>
        </w:rPr>
        <w:t>3</w:t>
      </w:r>
      <w:r>
        <w:rPr>
          <w:rFonts w:ascii="宋体" w:hAnsi="宋体" w:eastAsia="宋体" w:cs="宋体"/>
          <w:spacing w:val="53"/>
          <w:sz w:val="18"/>
          <w:szCs w:val="18"/>
        </w:rPr>
        <w:t xml:space="preserve"> </w:t>
      </w:r>
      <w:r>
        <w:rPr>
          <w:rFonts w:ascii="宋体" w:hAnsi="宋体" w:eastAsia="宋体" w:cs="宋体"/>
          <w:spacing w:val="-2"/>
          <w:sz w:val="18"/>
          <w:szCs w:val="18"/>
        </w:rPr>
        <w:t>表</w:t>
      </w:r>
    </w:p>
    <w:p w14:paraId="312AFBA3">
      <w:pPr>
        <w:spacing w:before="42" w:line="219" w:lineRule="auto"/>
        <w:rPr>
          <w:rFonts w:ascii="宋体" w:hAnsi="宋体" w:eastAsia="宋体" w:cs="宋体"/>
          <w:sz w:val="18"/>
          <w:szCs w:val="18"/>
        </w:rPr>
      </w:pPr>
      <w:r>
        <w:rPr>
          <w:rFonts w:ascii="宋体" w:hAnsi="宋体" w:eastAsia="宋体" w:cs="宋体"/>
          <w:spacing w:val="-9"/>
          <w:sz w:val="18"/>
          <w:szCs w:val="18"/>
        </w:rPr>
        <w:t>制定机关：国  家</w:t>
      </w:r>
      <w:r>
        <w:rPr>
          <w:rFonts w:ascii="宋体" w:hAnsi="宋体" w:eastAsia="宋体" w:cs="宋体"/>
          <w:spacing w:val="1"/>
          <w:sz w:val="18"/>
          <w:szCs w:val="18"/>
        </w:rPr>
        <w:t xml:space="preserve">  </w:t>
      </w:r>
      <w:r>
        <w:rPr>
          <w:rFonts w:ascii="宋体" w:hAnsi="宋体" w:eastAsia="宋体" w:cs="宋体"/>
          <w:spacing w:val="-9"/>
          <w:sz w:val="18"/>
          <w:szCs w:val="18"/>
        </w:rPr>
        <w:t>统  计</w:t>
      </w:r>
      <w:r>
        <w:rPr>
          <w:rFonts w:ascii="宋体" w:hAnsi="宋体" w:eastAsia="宋体" w:cs="宋体"/>
          <w:spacing w:val="53"/>
          <w:sz w:val="18"/>
          <w:szCs w:val="18"/>
        </w:rPr>
        <w:t xml:space="preserve"> </w:t>
      </w:r>
      <w:r>
        <w:rPr>
          <w:rFonts w:ascii="宋体" w:hAnsi="宋体" w:eastAsia="宋体" w:cs="宋体"/>
          <w:spacing w:val="-9"/>
          <w:sz w:val="18"/>
          <w:szCs w:val="18"/>
        </w:rPr>
        <w:t>局</w:t>
      </w:r>
    </w:p>
    <w:p w14:paraId="7C1EE980">
      <w:pPr>
        <w:spacing w:before="47" w:line="219" w:lineRule="auto"/>
        <w:rPr>
          <w:rFonts w:ascii="宋体" w:hAnsi="宋体" w:eastAsia="宋体" w:cs="宋体"/>
          <w:sz w:val="18"/>
          <w:szCs w:val="18"/>
        </w:rPr>
      </w:pPr>
      <w:r>
        <w:rPr>
          <w:rFonts w:ascii="宋体" w:hAnsi="宋体" w:eastAsia="宋体" w:cs="宋体"/>
          <w:spacing w:val="4"/>
          <w:sz w:val="18"/>
          <w:szCs w:val="18"/>
        </w:rPr>
        <w:t>文</w:t>
      </w:r>
      <w:r>
        <w:rPr>
          <w:rFonts w:ascii="宋体" w:hAnsi="宋体" w:eastAsia="宋体" w:cs="宋体"/>
          <w:spacing w:val="20"/>
          <w:sz w:val="18"/>
          <w:szCs w:val="18"/>
        </w:rPr>
        <w:t xml:space="preserve">   </w:t>
      </w:r>
      <w:r>
        <w:rPr>
          <w:rFonts w:ascii="宋体" w:hAnsi="宋体" w:eastAsia="宋体" w:cs="宋体"/>
          <w:spacing w:val="4"/>
          <w:sz w:val="18"/>
          <w:szCs w:val="18"/>
        </w:rPr>
        <w:t>号：国统字(202</w:t>
      </w:r>
      <w:r>
        <w:rPr>
          <w:rFonts w:hint="eastAsia" w:ascii="宋体" w:hAnsi="宋体" w:eastAsia="宋体" w:cs="宋体"/>
          <w:spacing w:val="4"/>
          <w:sz w:val="18"/>
          <w:szCs w:val="18"/>
          <w:lang w:val="en-US" w:eastAsia="zh-CN"/>
        </w:rPr>
        <w:t>4</w:t>
      </w:r>
      <w:r>
        <w:rPr>
          <w:rFonts w:ascii="宋体" w:hAnsi="宋体" w:eastAsia="宋体" w:cs="宋体"/>
          <w:spacing w:val="4"/>
          <w:sz w:val="18"/>
          <w:szCs w:val="18"/>
        </w:rPr>
        <w:t>)</w:t>
      </w:r>
      <w:r>
        <w:rPr>
          <w:rFonts w:hint="eastAsia" w:ascii="宋体" w:hAnsi="宋体" w:eastAsia="宋体" w:cs="宋体"/>
          <w:spacing w:val="4"/>
          <w:sz w:val="18"/>
          <w:szCs w:val="18"/>
          <w:lang w:val="en-US" w:eastAsia="zh-CN"/>
        </w:rPr>
        <w:t>77</w:t>
      </w:r>
      <w:r>
        <w:rPr>
          <w:rFonts w:ascii="宋体" w:hAnsi="宋体" w:eastAsia="宋体" w:cs="宋体"/>
          <w:spacing w:val="4"/>
          <w:sz w:val="18"/>
          <w:szCs w:val="18"/>
        </w:rPr>
        <w:t>号</w:t>
      </w:r>
    </w:p>
    <w:p w14:paraId="2919912A">
      <w:pPr>
        <w:spacing w:before="47" w:line="184" w:lineRule="auto"/>
        <w:rPr>
          <w:rFonts w:ascii="宋体" w:hAnsi="宋体" w:eastAsia="宋体" w:cs="宋体"/>
          <w:sz w:val="18"/>
          <w:szCs w:val="18"/>
        </w:rPr>
      </w:pPr>
      <w:r>
        <w:rPr>
          <w:rFonts w:ascii="宋体" w:hAnsi="宋体" w:eastAsia="宋体" w:cs="宋体"/>
          <w:spacing w:val="-6"/>
          <w:sz w:val="18"/>
          <w:szCs w:val="18"/>
        </w:rPr>
        <w:t>有效期至：2</w:t>
      </w:r>
      <w:r>
        <w:rPr>
          <w:rFonts w:ascii="宋体" w:hAnsi="宋体" w:eastAsia="宋体" w:cs="宋体"/>
          <w:spacing w:val="54"/>
          <w:sz w:val="18"/>
          <w:szCs w:val="18"/>
        </w:rPr>
        <w:t xml:space="preserve"> </w:t>
      </w:r>
      <w:r>
        <w:rPr>
          <w:rFonts w:ascii="宋体" w:hAnsi="宋体" w:eastAsia="宋体" w:cs="宋体"/>
          <w:spacing w:val="-6"/>
          <w:sz w:val="18"/>
          <w:szCs w:val="18"/>
        </w:rPr>
        <w:t>0</w:t>
      </w:r>
      <w:r>
        <w:rPr>
          <w:rFonts w:ascii="宋体" w:hAnsi="宋体" w:eastAsia="宋体" w:cs="宋体"/>
          <w:spacing w:val="49"/>
          <w:sz w:val="18"/>
          <w:szCs w:val="18"/>
        </w:rPr>
        <w:t xml:space="preserve"> </w:t>
      </w:r>
      <w:r>
        <w:rPr>
          <w:rFonts w:ascii="宋体" w:hAnsi="宋体" w:eastAsia="宋体" w:cs="宋体"/>
          <w:spacing w:val="-6"/>
          <w:sz w:val="18"/>
          <w:szCs w:val="18"/>
        </w:rPr>
        <w:t>2</w:t>
      </w:r>
      <w:r>
        <w:rPr>
          <w:rFonts w:ascii="宋体" w:hAnsi="宋体" w:eastAsia="宋体" w:cs="宋体"/>
          <w:spacing w:val="59"/>
          <w:sz w:val="18"/>
          <w:szCs w:val="18"/>
        </w:rPr>
        <w:t xml:space="preserve"> </w:t>
      </w:r>
      <w:r>
        <w:rPr>
          <w:rFonts w:hint="eastAsia" w:ascii="宋体" w:hAnsi="宋体" w:eastAsia="宋体" w:cs="宋体"/>
          <w:spacing w:val="-6"/>
          <w:sz w:val="18"/>
          <w:szCs w:val="18"/>
          <w:lang w:val="en-US" w:eastAsia="zh-CN"/>
        </w:rPr>
        <w:t>6</w:t>
      </w:r>
      <w:r>
        <w:rPr>
          <w:rFonts w:ascii="宋体" w:hAnsi="宋体" w:eastAsia="宋体" w:cs="宋体"/>
          <w:spacing w:val="17"/>
          <w:sz w:val="18"/>
          <w:szCs w:val="18"/>
        </w:rPr>
        <w:t xml:space="preserve"> </w:t>
      </w:r>
      <w:r>
        <w:rPr>
          <w:rFonts w:ascii="宋体" w:hAnsi="宋体" w:eastAsia="宋体" w:cs="宋体"/>
          <w:spacing w:val="-6"/>
          <w:sz w:val="18"/>
          <w:szCs w:val="18"/>
        </w:rPr>
        <w:t>年</w:t>
      </w:r>
      <w:r>
        <w:rPr>
          <w:rFonts w:ascii="宋体" w:hAnsi="宋体" w:eastAsia="宋体" w:cs="宋体"/>
          <w:spacing w:val="30"/>
          <w:sz w:val="18"/>
          <w:szCs w:val="18"/>
        </w:rPr>
        <w:t xml:space="preserve"> </w:t>
      </w:r>
      <w:r>
        <w:rPr>
          <w:rFonts w:ascii="宋体" w:hAnsi="宋体" w:eastAsia="宋体" w:cs="宋体"/>
          <w:spacing w:val="-6"/>
          <w:sz w:val="18"/>
          <w:szCs w:val="18"/>
        </w:rPr>
        <w:t>1</w:t>
      </w:r>
      <w:r>
        <w:rPr>
          <w:rFonts w:ascii="宋体" w:hAnsi="宋体" w:eastAsia="宋体" w:cs="宋体"/>
          <w:spacing w:val="-28"/>
          <w:sz w:val="18"/>
          <w:szCs w:val="18"/>
        </w:rPr>
        <w:t xml:space="preserve"> </w:t>
      </w:r>
      <w:r>
        <w:rPr>
          <w:rFonts w:ascii="宋体" w:hAnsi="宋体" w:eastAsia="宋体" w:cs="宋体"/>
          <w:spacing w:val="-6"/>
          <w:sz w:val="18"/>
          <w:szCs w:val="18"/>
        </w:rPr>
        <w:t>月</w:t>
      </w:r>
    </w:p>
    <w:p w14:paraId="660CC1B5">
      <w:pPr>
        <w:spacing w:line="184" w:lineRule="auto"/>
        <w:rPr>
          <w:rFonts w:ascii="宋体" w:hAnsi="宋体" w:eastAsia="宋体" w:cs="宋体"/>
          <w:sz w:val="18"/>
          <w:szCs w:val="18"/>
        </w:rPr>
        <w:sectPr>
          <w:type w:val="continuous"/>
          <w:pgSz w:w="11910" w:h="16840"/>
          <w:pgMar w:top="1109" w:right="1214" w:bottom="0" w:left="1224" w:header="867" w:footer="0" w:gutter="0"/>
          <w:cols w:equalWidth="0" w:num="2">
            <w:col w:w="6946" w:space="100"/>
            <w:col w:w="2426"/>
          </w:cols>
        </w:sectPr>
      </w:pPr>
    </w:p>
    <w:p w14:paraId="5011D250">
      <w:pPr>
        <w:spacing w:line="37" w:lineRule="exact"/>
      </w:pPr>
    </w:p>
    <w:tbl>
      <w:tblPr>
        <w:tblStyle w:val="5"/>
        <w:tblW w:w="946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4"/>
        <w:gridCol w:w="679"/>
        <w:gridCol w:w="700"/>
        <w:gridCol w:w="659"/>
        <w:gridCol w:w="690"/>
        <w:gridCol w:w="789"/>
        <w:gridCol w:w="829"/>
        <w:gridCol w:w="819"/>
        <w:gridCol w:w="839"/>
        <w:gridCol w:w="839"/>
        <w:gridCol w:w="809"/>
        <w:gridCol w:w="844"/>
      </w:tblGrid>
      <w:tr w14:paraId="3B2C6F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3" w:hRule="atLeast"/>
        </w:trPr>
        <w:tc>
          <w:tcPr>
            <w:tcW w:w="964" w:type="dxa"/>
            <w:vMerge w:val="restart"/>
            <w:tcBorders>
              <w:bottom w:val="nil"/>
            </w:tcBorders>
            <w:vAlign w:val="top"/>
          </w:tcPr>
          <w:p w14:paraId="5DD83016">
            <w:pPr>
              <w:spacing w:line="371" w:lineRule="auto"/>
              <w:rPr>
                <w:rFonts w:ascii="Arial"/>
                <w:sz w:val="21"/>
              </w:rPr>
            </w:pPr>
          </w:p>
          <w:p w14:paraId="6E5F0D4A">
            <w:pPr>
              <w:pStyle w:val="6"/>
              <w:spacing w:before="58" w:line="243" w:lineRule="auto"/>
              <w:ind w:left="115" w:right="100"/>
            </w:pPr>
            <w:r>
              <w:rPr>
                <w:spacing w:val="4"/>
              </w:rPr>
              <w:t>单位产品</w:t>
            </w:r>
            <w:r>
              <w:rPr>
                <w:spacing w:val="1"/>
              </w:rPr>
              <w:t xml:space="preserve"> </w:t>
            </w:r>
            <w:r>
              <w:rPr>
                <w:spacing w:val="2"/>
              </w:rPr>
              <w:t>能耗名称</w:t>
            </w:r>
          </w:p>
        </w:tc>
        <w:tc>
          <w:tcPr>
            <w:tcW w:w="2038" w:type="dxa"/>
            <w:gridSpan w:val="3"/>
            <w:vAlign w:val="top"/>
          </w:tcPr>
          <w:p w14:paraId="41558C1C">
            <w:pPr>
              <w:pStyle w:val="6"/>
              <w:spacing w:before="153" w:line="220" w:lineRule="auto"/>
              <w:ind w:left="671"/>
            </w:pPr>
            <w:r>
              <w:rPr>
                <w:spacing w:val="-2"/>
              </w:rPr>
              <w:t>计量单位</w:t>
            </w:r>
          </w:p>
        </w:tc>
        <w:tc>
          <w:tcPr>
            <w:tcW w:w="690" w:type="dxa"/>
            <w:vMerge w:val="restart"/>
            <w:tcBorders>
              <w:bottom w:val="nil"/>
            </w:tcBorders>
            <w:vAlign w:val="top"/>
          </w:tcPr>
          <w:p w14:paraId="29580D90">
            <w:pPr>
              <w:spacing w:line="461" w:lineRule="auto"/>
              <w:rPr>
                <w:rFonts w:ascii="Arial"/>
                <w:sz w:val="21"/>
              </w:rPr>
            </w:pPr>
          </w:p>
          <w:p w14:paraId="72DD2989">
            <w:pPr>
              <w:pStyle w:val="6"/>
              <w:spacing w:before="58" w:line="219" w:lineRule="auto"/>
              <w:ind w:left="153"/>
            </w:pPr>
            <w:r>
              <w:rPr>
                <w:spacing w:val="-2"/>
              </w:rPr>
              <w:t>代码</w:t>
            </w:r>
          </w:p>
        </w:tc>
        <w:tc>
          <w:tcPr>
            <w:tcW w:w="789" w:type="dxa"/>
            <w:vMerge w:val="restart"/>
            <w:tcBorders>
              <w:bottom w:val="nil"/>
            </w:tcBorders>
            <w:vAlign w:val="top"/>
          </w:tcPr>
          <w:p w14:paraId="229343CA">
            <w:pPr>
              <w:spacing w:line="371" w:lineRule="auto"/>
              <w:rPr>
                <w:rFonts w:ascii="Arial"/>
                <w:sz w:val="21"/>
              </w:rPr>
            </w:pPr>
          </w:p>
          <w:p w14:paraId="13C34BC4">
            <w:pPr>
              <w:pStyle w:val="6"/>
              <w:spacing w:before="58" w:line="238" w:lineRule="auto"/>
              <w:ind w:left="23" w:right="44"/>
            </w:pPr>
            <w:r>
              <w:rPr>
                <w:spacing w:val="-3"/>
              </w:rPr>
              <w:t>单位换算</w:t>
            </w:r>
            <w:r>
              <w:rPr>
                <w:spacing w:val="2"/>
              </w:rPr>
              <w:t xml:space="preserve"> </w:t>
            </w:r>
            <w:r>
              <w:rPr>
                <w:spacing w:val="-10"/>
              </w:rPr>
              <w:t>系</w:t>
            </w:r>
            <w:r>
              <w:rPr>
                <w:spacing w:val="2"/>
              </w:rPr>
              <w:t xml:space="preserve">    </w:t>
            </w:r>
            <w:r>
              <w:rPr>
                <w:spacing w:val="-10"/>
              </w:rPr>
              <w:t>数</w:t>
            </w:r>
          </w:p>
        </w:tc>
        <w:tc>
          <w:tcPr>
            <w:tcW w:w="2487" w:type="dxa"/>
            <w:gridSpan w:val="3"/>
            <w:vAlign w:val="top"/>
          </w:tcPr>
          <w:p w14:paraId="33542EF7">
            <w:pPr>
              <w:pStyle w:val="6"/>
              <w:spacing w:before="151" w:line="219" w:lineRule="auto"/>
              <w:ind w:left="894"/>
            </w:pPr>
            <w:r>
              <w:rPr>
                <w:spacing w:val="-4"/>
              </w:rPr>
              <w:t>本</w:t>
            </w:r>
            <w:r>
              <w:rPr>
                <w:spacing w:val="2"/>
              </w:rPr>
              <w:t xml:space="preserve">    </w:t>
            </w:r>
            <w:r>
              <w:rPr>
                <w:spacing w:val="-4"/>
              </w:rPr>
              <w:t>期</w:t>
            </w:r>
          </w:p>
        </w:tc>
        <w:tc>
          <w:tcPr>
            <w:tcW w:w="2492" w:type="dxa"/>
            <w:gridSpan w:val="3"/>
            <w:shd w:val="clear" w:color="auto" w:fill="D9D9D9"/>
            <w:vAlign w:val="top"/>
          </w:tcPr>
          <w:p w14:paraId="1A4EDAC0">
            <w:pPr>
              <w:pStyle w:val="6"/>
              <w:spacing w:before="152" w:line="219" w:lineRule="auto"/>
              <w:ind w:left="907"/>
            </w:pPr>
            <w:r>
              <w:rPr>
                <w:spacing w:val="2"/>
              </w:rPr>
              <w:t>上年同期</w:t>
            </w:r>
          </w:p>
        </w:tc>
      </w:tr>
      <w:tr w14:paraId="5F268A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7" w:hRule="atLeast"/>
        </w:trPr>
        <w:tc>
          <w:tcPr>
            <w:tcW w:w="964" w:type="dxa"/>
            <w:vMerge w:val="continue"/>
            <w:tcBorders>
              <w:top w:val="nil"/>
            </w:tcBorders>
            <w:vAlign w:val="top"/>
          </w:tcPr>
          <w:p w14:paraId="1FB942C0">
            <w:pPr>
              <w:rPr>
                <w:rFonts w:ascii="Arial"/>
                <w:sz w:val="21"/>
              </w:rPr>
            </w:pPr>
          </w:p>
        </w:tc>
        <w:tc>
          <w:tcPr>
            <w:tcW w:w="679" w:type="dxa"/>
            <w:vAlign w:val="top"/>
          </w:tcPr>
          <w:p w14:paraId="195C8934">
            <w:pPr>
              <w:pStyle w:val="6"/>
              <w:spacing w:before="179" w:line="236" w:lineRule="auto"/>
              <w:ind w:left="151"/>
            </w:pPr>
            <w:r>
              <w:rPr>
                <w:spacing w:val="-3"/>
              </w:rPr>
              <w:t>指标</w:t>
            </w:r>
          </w:p>
          <w:p w14:paraId="4EB543DF">
            <w:pPr>
              <w:pStyle w:val="6"/>
              <w:spacing w:line="220" w:lineRule="auto"/>
              <w:ind w:left="151"/>
            </w:pPr>
            <w:r>
              <w:rPr>
                <w:spacing w:val="-3"/>
              </w:rPr>
              <w:t>单位</w:t>
            </w:r>
          </w:p>
        </w:tc>
        <w:tc>
          <w:tcPr>
            <w:tcW w:w="700" w:type="dxa"/>
            <w:vAlign w:val="top"/>
          </w:tcPr>
          <w:p w14:paraId="6FC79512">
            <w:pPr>
              <w:pStyle w:val="6"/>
              <w:spacing w:before="169" w:line="240" w:lineRule="exact"/>
              <w:ind w:left="162"/>
            </w:pPr>
            <w:r>
              <w:rPr>
                <w:spacing w:val="-2"/>
                <w:position w:val="4"/>
              </w:rPr>
              <w:t>子项</w:t>
            </w:r>
          </w:p>
          <w:p w14:paraId="4D8436CE">
            <w:pPr>
              <w:pStyle w:val="6"/>
              <w:spacing w:line="220" w:lineRule="auto"/>
              <w:ind w:left="162"/>
            </w:pPr>
            <w:r>
              <w:rPr>
                <w:spacing w:val="-3"/>
              </w:rPr>
              <w:t>单位</w:t>
            </w:r>
          </w:p>
        </w:tc>
        <w:tc>
          <w:tcPr>
            <w:tcW w:w="659" w:type="dxa"/>
            <w:vAlign w:val="top"/>
          </w:tcPr>
          <w:p w14:paraId="4C172A2C">
            <w:pPr>
              <w:pStyle w:val="6"/>
              <w:spacing w:before="169" w:line="240" w:lineRule="exact"/>
              <w:ind w:left="142"/>
            </w:pPr>
            <w:r>
              <w:rPr>
                <w:spacing w:val="-2"/>
                <w:position w:val="4"/>
              </w:rPr>
              <w:t>母项</w:t>
            </w:r>
          </w:p>
          <w:p w14:paraId="3BD2D017">
            <w:pPr>
              <w:pStyle w:val="6"/>
              <w:spacing w:line="220" w:lineRule="auto"/>
              <w:ind w:left="142"/>
            </w:pPr>
            <w:r>
              <w:rPr>
                <w:spacing w:val="-3"/>
              </w:rPr>
              <w:t>单位</w:t>
            </w:r>
          </w:p>
        </w:tc>
        <w:tc>
          <w:tcPr>
            <w:tcW w:w="690" w:type="dxa"/>
            <w:vMerge w:val="continue"/>
            <w:tcBorders>
              <w:top w:val="nil"/>
            </w:tcBorders>
            <w:vAlign w:val="top"/>
          </w:tcPr>
          <w:p w14:paraId="77E4642F">
            <w:pPr>
              <w:rPr>
                <w:rFonts w:ascii="Arial"/>
                <w:sz w:val="21"/>
              </w:rPr>
            </w:pPr>
          </w:p>
        </w:tc>
        <w:tc>
          <w:tcPr>
            <w:tcW w:w="789" w:type="dxa"/>
            <w:vMerge w:val="continue"/>
            <w:tcBorders>
              <w:top w:val="nil"/>
            </w:tcBorders>
            <w:vAlign w:val="top"/>
          </w:tcPr>
          <w:p w14:paraId="20D0C071">
            <w:pPr>
              <w:rPr>
                <w:rFonts w:ascii="Arial"/>
                <w:sz w:val="21"/>
              </w:rPr>
            </w:pPr>
          </w:p>
        </w:tc>
        <w:tc>
          <w:tcPr>
            <w:tcW w:w="829" w:type="dxa"/>
            <w:vAlign w:val="top"/>
          </w:tcPr>
          <w:p w14:paraId="5033ECA7">
            <w:pPr>
              <w:pStyle w:val="6"/>
              <w:spacing w:before="279" w:line="219" w:lineRule="auto"/>
              <w:ind w:left="134"/>
            </w:pPr>
            <w:r>
              <w:rPr>
                <w:spacing w:val="-3"/>
              </w:rPr>
              <w:t>指标值</w:t>
            </w:r>
          </w:p>
        </w:tc>
        <w:tc>
          <w:tcPr>
            <w:tcW w:w="819" w:type="dxa"/>
            <w:vAlign w:val="top"/>
          </w:tcPr>
          <w:p w14:paraId="519F5251">
            <w:pPr>
              <w:pStyle w:val="6"/>
              <w:spacing w:before="279" w:line="219" w:lineRule="auto"/>
              <w:ind w:left="135"/>
            </w:pPr>
            <w:r>
              <w:rPr>
                <w:spacing w:val="-2"/>
              </w:rPr>
              <w:t>子项值</w:t>
            </w:r>
          </w:p>
        </w:tc>
        <w:tc>
          <w:tcPr>
            <w:tcW w:w="839" w:type="dxa"/>
            <w:vAlign w:val="top"/>
          </w:tcPr>
          <w:p w14:paraId="251D2997">
            <w:pPr>
              <w:pStyle w:val="6"/>
              <w:spacing w:before="279" w:line="219" w:lineRule="auto"/>
              <w:ind w:left="146"/>
            </w:pPr>
            <w:r>
              <w:rPr>
                <w:spacing w:val="-2"/>
              </w:rPr>
              <w:t>母项值</w:t>
            </w:r>
          </w:p>
        </w:tc>
        <w:tc>
          <w:tcPr>
            <w:tcW w:w="839" w:type="dxa"/>
            <w:shd w:val="clear" w:color="auto" w:fill="D9D9D9"/>
            <w:vAlign w:val="top"/>
          </w:tcPr>
          <w:p w14:paraId="2EFB0B7C">
            <w:pPr>
              <w:pStyle w:val="6"/>
              <w:spacing w:before="279" w:line="219" w:lineRule="auto"/>
              <w:ind w:left="147"/>
            </w:pPr>
            <w:r>
              <w:rPr>
                <w:spacing w:val="-3"/>
              </w:rPr>
              <w:t>指标值</w:t>
            </w:r>
          </w:p>
        </w:tc>
        <w:tc>
          <w:tcPr>
            <w:tcW w:w="809" w:type="dxa"/>
            <w:shd w:val="clear" w:color="auto" w:fill="D9D9D9"/>
            <w:vAlign w:val="top"/>
          </w:tcPr>
          <w:p w14:paraId="7E79F8F4">
            <w:pPr>
              <w:pStyle w:val="6"/>
              <w:spacing w:before="279" w:line="219" w:lineRule="auto"/>
              <w:ind w:left="128"/>
            </w:pPr>
            <w:r>
              <w:rPr>
                <w:spacing w:val="-2"/>
              </w:rPr>
              <w:t>子项值</w:t>
            </w:r>
          </w:p>
        </w:tc>
        <w:tc>
          <w:tcPr>
            <w:tcW w:w="844" w:type="dxa"/>
            <w:shd w:val="clear" w:color="auto" w:fill="D9D9D9"/>
            <w:vAlign w:val="top"/>
          </w:tcPr>
          <w:p w14:paraId="46AD8F8D">
            <w:pPr>
              <w:pStyle w:val="6"/>
              <w:spacing w:before="279" w:line="219" w:lineRule="auto"/>
              <w:ind w:left="149"/>
            </w:pPr>
            <w:r>
              <w:rPr>
                <w:spacing w:val="-2"/>
              </w:rPr>
              <w:t>母项值</w:t>
            </w:r>
          </w:p>
        </w:tc>
      </w:tr>
      <w:tr w14:paraId="572107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964" w:type="dxa"/>
            <w:vAlign w:val="top"/>
          </w:tcPr>
          <w:p w14:paraId="028406FB">
            <w:pPr>
              <w:pStyle w:val="6"/>
              <w:spacing w:before="85" w:line="222" w:lineRule="auto"/>
              <w:ind w:left="385"/>
            </w:pPr>
            <w:r>
              <w:t>甲</w:t>
            </w:r>
          </w:p>
        </w:tc>
        <w:tc>
          <w:tcPr>
            <w:tcW w:w="679" w:type="dxa"/>
            <w:vAlign w:val="top"/>
          </w:tcPr>
          <w:p w14:paraId="3FBD114B">
            <w:pPr>
              <w:pStyle w:val="6"/>
              <w:spacing w:before="96" w:line="228" w:lineRule="auto"/>
              <w:ind w:left="241"/>
            </w:pPr>
            <w:r>
              <w:t>乙</w:t>
            </w:r>
          </w:p>
        </w:tc>
        <w:tc>
          <w:tcPr>
            <w:tcW w:w="700" w:type="dxa"/>
            <w:vAlign w:val="top"/>
          </w:tcPr>
          <w:p w14:paraId="60C7168B">
            <w:pPr>
              <w:pStyle w:val="6"/>
              <w:spacing w:before="82" w:line="220" w:lineRule="auto"/>
              <w:ind w:left="252"/>
            </w:pPr>
            <w:r>
              <w:t>丙</w:t>
            </w:r>
          </w:p>
        </w:tc>
        <w:tc>
          <w:tcPr>
            <w:tcW w:w="659" w:type="dxa"/>
            <w:vAlign w:val="top"/>
          </w:tcPr>
          <w:p w14:paraId="46F7F744">
            <w:pPr>
              <w:pStyle w:val="6"/>
              <w:spacing w:before="83" w:line="221" w:lineRule="auto"/>
              <w:ind w:left="232"/>
            </w:pPr>
            <w:r>
              <w:t>丁</w:t>
            </w:r>
          </w:p>
        </w:tc>
        <w:tc>
          <w:tcPr>
            <w:tcW w:w="690" w:type="dxa"/>
            <w:vAlign w:val="top"/>
          </w:tcPr>
          <w:p w14:paraId="29DB5789">
            <w:pPr>
              <w:pStyle w:val="6"/>
              <w:spacing w:before="83" w:line="221" w:lineRule="auto"/>
              <w:ind w:left="243"/>
            </w:pPr>
            <w:r>
              <w:t>戊</w:t>
            </w:r>
          </w:p>
        </w:tc>
        <w:tc>
          <w:tcPr>
            <w:tcW w:w="789" w:type="dxa"/>
            <w:vAlign w:val="top"/>
          </w:tcPr>
          <w:p w14:paraId="203EF680">
            <w:pPr>
              <w:pStyle w:val="6"/>
              <w:spacing w:before="127" w:line="184" w:lineRule="auto"/>
              <w:ind w:left="343"/>
            </w:pPr>
            <w:r>
              <w:t>1</w:t>
            </w:r>
          </w:p>
        </w:tc>
        <w:tc>
          <w:tcPr>
            <w:tcW w:w="829" w:type="dxa"/>
            <w:vAlign w:val="top"/>
          </w:tcPr>
          <w:p w14:paraId="655F4D89">
            <w:pPr>
              <w:pStyle w:val="6"/>
              <w:spacing w:before="128" w:line="183" w:lineRule="auto"/>
              <w:ind w:left="364"/>
            </w:pPr>
            <w:r>
              <w:t>2</w:t>
            </w:r>
          </w:p>
        </w:tc>
        <w:tc>
          <w:tcPr>
            <w:tcW w:w="819" w:type="dxa"/>
            <w:vAlign w:val="top"/>
          </w:tcPr>
          <w:p w14:paraId="25223CF8">
            <w:pPr>
              <w:pStyle w:val="6"/>
              <w:spacing w:before="128" w:line="183" w:lineRule="auto"/>
              <w:ind w:left="355"/>
            </w:pPr>
            <w:r>
              <w:t>3</w:t>
            </w:r>
          </w:p>
        </w:tc>
        <w:tc>
          <w:tcPr>
            <w:tcW w:w="839" w:type="dxa"/>
            <w:vAlign w:val="top"/>
          </w:tcPr>
          <w:p w14:paraId="335D51E0">
            <w:pPr>
              <w:pStyle w:val="6"/>
              <w:spacing w:before="128" w:line="183" w:lineRule="auto"/>
              <w:ind w:left="366"/>
            </w:pPr>
            <w:r>
              <w:t>4</w:t>
            </w:r>
          </w:p>
        </w:tc>
        <w:tc>
          <w:tcPr>
            <w:tcW w:w="839" w:type="dxa"/>
            <w:shd w:val="clear" w:color="auto" w:fill="D9D9D9"/>
            <w:vAlign w:val="top"/>
          </w:tcPr>
          <w:p w14:paraId="1F5A5C3F">
            <w:pPr>
              <w:pStyle w:val="6"/>
              <w:spacing w:before="129" w:line="182" w:lineRule="auto"/>
              <w:ind w:left="367"/>
            </w:pPr>
            <w:r>
              <w:t>5</w:t>
            </w:r>
          </w:p>
        </w:tc>
        <w:tc>
          <w:tcPr>
            <w:tcW w:w="809" w:type="dxa"/>
            <w:shd w:val="clear" w:color="auto" w:fill="D9D9D9"/>
            <w:vAlign w:val="top"/>
          </w:tcPr>
          <w:p w14:paraId="1BBCC097">
            <w:pPr>
              <w:pStyle w:val="6"/>
              <w:spacing w:before="128" w:line="183" w:lineRule="auto"/>
              <w:ind w:left="358"/>
            </w:pPr>
            <w:r>
              <w:t>6</w:t>
            </w:r>
          </w:p>
        </w:tc>
        <w:tc>
          <w:tcPr>
            <w:tcW w:w="844" w:type="dxa"/>
            <w:shd w:val="clear" w:color="auto" w:fill="D9D9D9"/>
            <w:vAlign w:val="top"/>
          </w:tcPr>
          <w:p w14:paraId="2DB4ED1A">
            <w:pPr>
              <w:pStyle w:val="6"/>
              <w:spacing w:before="129" w:line="182" w:lineRule="auto"/>
              <w:ind w:left="369"/>
            </w:pPr>
            <w:r>
              <w:t>7</w:t>
            </w:r>
          </w:p>
        </w:tc>
      </w:tr>
      <w:tr w14:paraId="404CA3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1" w:hRule="atLeast"/>
        </w:trPr>
        <w:tc>
          <w:tcPr>
            <w:tcW w:w="964" w:type="dxa"/>
            <w:vAlign w:val="top"/>
          </w:tcPr>
          <w:p w14:paraId="038C51A9">
            <w:pPr>
              <w:rPr>
                <w:rFonts w:ascii="Arial"/>
                <w:sz w:val="21"/>
              </w:rPr>
            </w:pPr>
          </w:p>
        </w:tc>
        <w:tc>
          <w:tcPr>
            <w:tcW w:w="679" w:type="dxa"/>
            <w:vAlign w:val="top"/>
          </w:tcPr>
          <w:p w14:paraId="6C031E78">
            <w:pPr>
              <w:rPr>
                <w:rFonts w:ascii="Arial"/>
                <w:sz w:val="21"/>
              </w:rPr>
            </w:pPr>
          </w:p>
        </w:tc>
        <w:tc>
          <w:tcPr>
            <w:tcW w:w="700" w:type="dxa"/>
            <w:vAlign w:val="top"/>
          </w:tcPr>
          <w:p w14:paraId="07DFA150">
            <w:pPr>
              <w:rPr>
                <w:rFonts w:ascii="Arial"/>
                <w:sz w:val="21"/>
              </w:rPr>
            </w:pPr>
          </w:p>
        </w:tc>
        <w:tc>
          <w:tcPr>
            <w:tcW w:w="659" w:type="dxa"/>
            <w:vAlign w:val="top"/>
          </w:tcPr>
          <w:p w14:paraId="617FEBA1">
            <w:pPr>
              <w:rPr>
                <w:rFonts w:ascii="Arial"/>
                <w:sz w:val="21"/>
              </w:rPr>
            </w:pPr>
          </w:p>
        </w:tc>
        <w:tc>
          <w:tcPr>
            <w:tcW w:w="690" w:type="dxa"/>
            <w:vAlign w:val="top"/>
          </w:tcPr>
          <w:p w14:paraId="5C2C31E5">
            <w:pPr>
              <w:rPr>
                <w:rFonts w:ascii="Arial"/>
                <w:sz w:val="21"/>
              </w:rPr>
            </w:pPr>
          </w:p>
        </w:tc>
        <w:tc>
          <w:tcPr>
            <w:tcW w:w="5768" w:type="dxa"/>
            <w:gridSpan w:val="7"/>
            <w:vAlign w:val="top"/>
          </w:tcPr>
          <w:p w14:paraId="1A0EE663">
            <w:pPr>
              <w:rPr>
                <w:rFonts w:ascii="Arial"/>
                <w:sz w:val="21"/>
              </w:rPr>
            </w:pPr>
          </w:p>
        </w:tc>
      </w:tr>
    </w:tbl>
    <w:p w14:paraId="5707CEFB">
      <w:pPr>
        <w:spacing w:before="32" w:line="230" w:lineRule="auto"/>
        <w:ind w:left="25"/>
        <w:rPr>
          <w:rFonts w:ascii="宋体" w:hAnsi="宋体" w:eastAsia="宋体" w:cs="宋体"/>
          <w:sz w:val="17"/>
          <w:szCs w:val="17"/>
        </w:rPr>
      </w:pPr>
      <w:r>
        <w:rPr>
          <w:rFonts w:ascii="宋体" w:hAnsi="宋体" w:eastAsia="宋体" w:cs="宋体"/>
          <w:spacing w:val="-8"/>
          <w:position w:val="-1"/>
          <w:sz w:val="17"/>
          <w:szCs w:val="17"/>
        </w:rPr>
        <w:t xml:space="preserve">单位负责人：             </w:t>
      </w:r>
      <w:r>
        <w:rPr>
          <w:rFonts w:ascii="宋体" w:hAnsi="宋体" w:eastAsia="宋体" w:cs="宋体"/>
          <w:spacing w:val="-8"/>
          <w:sz w:val="17"/>
          <w:szCs w:val="17"/>
        </w:rPr>
        <w:t xml:space="preserve">统计负责人：              填表人：           联系电话：           </w:t>
      </w:r>
      <w:r>
        <w:rPr>
          <w:rFonts w:ascii="宋体" w:hAnsi="宋体" w:eastAsia="宋体" w:cs="宋体"/>
          <w:spacing w:val="-8"/>
          <w:position w:val="1"/>
          <w:sz w:val="17"/>
          <w:szCs w:val="17"/>
        </w:rPr>
        <w:t>报出日期：20</w:t>
      </w:r>
      <w:r>
        <w:rPr>
          <w:rFonts w:ascii="宋体" w:hAnsi="宋体" w:eastAsia="宋体" w:cs="宋体"/>
          <w:spacing w:val="15"/>
          <w:position w:val="1"/>
          <w:sz w:val="17"/>
          <w:szCs w:val="17"/>
        </w:rPr>
        <w:t xml:space="preserve">  </w:t>
      </w:r>
      <w:r>
        <w:rPr>
          <w:rFonts w:ascii="宋体" w:hAnsi="宋体" w:eastAsia="宋体" w:cs="宋体"/>
          <w:spacing w:val="-8"/>
          <w:position w:val="1"/>
          <w:sz w:val="17"/>
          <w:szCs w:val="17"/>
        </w:rPr>
        <w:t>年</w:t>
      </w:r>
      <w:r>
        <w:rPr>
          <w:rFonts w:ascii="宋体" w:hAnsi="宋体" w:eastAsia="宋体" w:cs="宋体"/>
          <w:spacing w:val="9"/>
          <w:position w:val="1"/>
          <w:sz w:val="17"/>
          <w:szCs w:val="17"/>
        </w:rPr>
        <w:t xml:space="preserve">  </w:t>
      </w:r>
      <w:r>
        <w:rPr>
          <w:rFonts w:ascii="宋体" w:hAnsi="宋体" w:eastAsia="宋体" w:cs="宋体"/>
          <w:spacing w:val="-8"/>
          <w:position w:val="1"/>
          <w:sz w:val="17"/>
          <w:szCs w:val="17"/>
        </w:rPr>
        <w:t>月   日</w:t>
      </w:r>
    </w:p>
    <w:p w14:paraId="0A45E9B6">
      <w:pPr>
        <w:spacing w:before="268" w:line="219" w:lineRule="auto"/>
        <w:ind w:left="15"/>
        <w:rPr>
          <w:rFonts w:ascii="宋体" w:hAnsi="宋体" w:eastAsia="宋体" w:cs="宋体"/>
          <w:sz w:val="18"/>
          <w:szCs w:val="18"/>
        </w:rPr>
      </w:pPr>
      <w:r>
        <w:rPr>
          <w:rFonts w:ascii="宋体" w:hAnsi="宋体" w:eastAsia="宋体" w:cs="宋体"/>
          <w:spacing w:val="-1"/>
          <w:sz w:val="18"/>
          <w:szCs w:val="18"/>
        </w:rPr>
        <w:t>说明：1.统计范围：辖区内年综合能源消费量1万吨标准煤及以上的规模以上工业法人单位</w:t>
      </w:r>
      <w:r>
        <w:rPr>
          <w:rFonts w:hint="eastAsia" w:ascii="宋体" w:hAnsi="宋体" w:eastAsia="宋体" w:cs="宋体"/>
          <w:spacing w:val="-6"/>
          <w:sz w:val="18"/>
          <w:szCs w:val="18"/>
          <w:lang w:eastAsia="zh-CN"/>
        </w:rPr>
        <w:t>和规模以上工业个体经营户</w:t>
      </w:r>
      <w:r>
        <w:rPr>
          <w:rFonts w:ascii="宋体" w:hAnsi="宋体" w:eastAsia="宋体" w:cs="宋体"/>
          <w:spacing w:val="-1"/>
          <w:sz w:val="18"/>
          <w:szCs w:val="18"/>
        </w:rPr>
        <w:t>。</w:t>
      </w:r>
    </w:p>
    <w:p w14:paraId="71D59A7E">
      <w:pPr>
        <w:spacing w:before="56" w:line="254" w:lineRule="auto"/>
        <w:ind w:left="2185" w:right="53" w:hanging="1630"/>
        <w:rPr>
          <w:rFonts w:ascii="宋体" w:hAnsi="宋体" w:eastAsia="宋体" w:cs="宋体"/>
          <w:sz w:val="18"/>
          <w:szCs w:val="18"/>
        </w:rPr>
      </w:pPr>
      <w:r>
        <w:rPr>
          <w:rFonts w:ascii="宋体" w:hAnsi="宋体" w:eastAsia="宋体" w:cs="宋体"/>
          <w:spacing w:val="6"/>
          <w:sz w:val="18"/>
          <w:szCs w:val="18"/>
        </w:rPr>
        <w:t>2.报送日期及方式：调查单位上半年7月10日、下半年次年1月10日12:00前独</w:t>
      </w:r>
      <w:r>
        <w:rPr>
          <w:rFonts w:ascii="宋体" w:hAnsi="宋体" w:eastAsia="宋体" w:cs="宋体"/>
          <w:spacing w:val="5"/>
          <w:sz w:val="18"/>
          <w:szCs w:val="18"/>
        </w:rPr>
        <w:t>立自行网上填报；市级统计机构</w:t>
      </w:r>
      <w:r>
        <w:rPr>
          <w:rFonts w:ascii="宋体" w:hAnsi="宋体" w:eastAsia="宋体" w:cs="宋体"/>
          <w:sz w:val="18"/>
          <w:szCs w:val="18"/>
        </w:rPr>
        <w:t xml:space="preserve"> </w:t>
      </w:r>
      <w:r>
        <w:rPr>
          <w:rFonts w:ascii="宋体" w:hAnsi="宋体" w:eastAsia="宋体" w:cs="宋体"/>
          <w:spacing w:val="10"/>
          <w:sz w:val="18"/>
          <w:szCs w:val="18"/>
        </w:rPr>
        <w:t>上半年7月11日、下半年次年1月14日12:00前完成审核、验收、上报。</w:t>
      </w:r>
    </w:p>
    <w:p w14:paraId="019A878E">
      <w:pPr>
        <w:spacing w:before="75" w:line="270" w:lineRule="exact"/>
        <w:ind w:left="555"/>
        <w:rPr>
          <w:rFonts w:ascii="宋体" w:hAnsi="宋体" w:eastAsia="宋体" w:cs="宋体"/>
          <w:sz w:val="18"/>
          <w:szCs w:val="18"/>
        </w:rPr>
      </w:pPr>
      <w:r>
        <w:rPr>
          <w:rFonts w:ascii="宋体" w:hAnsi="宋体" w:eastAsia="宋体" w:cs="宋体"/>
          <w:spacing w:val="1"/>
          <w:position w:val="6"/>
          <w:sz w:val="18"/>
          <w:szCs w:val="18"/>
        </w:rPr>
        <w:t>3.本表为半年报，上半年报送1-6月份累</w:t>
      </w:r>
      <w:r>
        <w:rPr>
          <w:rFonts w:ascii="宋体" w:hAnsi="宋体" w:eastAsia="宋体" w:cs="宋体"/>
          <w:position w:val="6"/>
          <w:sz w:val="18"/>
          <w:szCs w:val="18"/>
        </w:rPr>
        <w:t>计数据，下半年报送1-12月份累计数据。</w:t>
      </w:r>
    </w:p>
    <w:p w14:paraId="210275F7">
      <w:pPr>
        <w:spacing w:before="1" w:line="218" w:lineRule="auto"/>
        <w:ind w:left="555"/>
        <w:rPr>
          <w:rFonts w:ascii="宋体" w:hAnsi="宋体" w:eastAsia="宋体" w:cs="宋体"/>
          <w:sz w:val="18"/>
          <w:szCs w:val="18"/>
        </w:rPr>
      </w:pPr>
      <w:r>
        <w:rPr>
          <w:rFonts w:ascii="宋体" w:hAnsi="宋体" w:eastAsia="宋体" w:cs="宋体"/>
          <w:spacing w:val="-2"/>
          <w:sz w:val="18"/>
          <w:szCs w:val="18"/>
        </w:rPr>
        <w:t>4.本表甲栏下按《主要耗能工业企业单位产品能源消费情况目录》填报。</w:t>
      </w:r>
    </w:p>
    <w:p w14:paraId="3D9F60C6">
      <w:pPr>
        <w:spacing w:before="58" w:line="264" w:lineRule="auto"/>
        <w:ind w:left="705" w:right="25" w:hanging="150"/>
        <w:rPr>
          <w:rFonts w:ascii="宋体" w:hAnsi="宋体" w:eastAsia="宋体" w:cs="宋体"/>
          <w:sz w:val="18"/>
          <w:szCs w:val="18"/>
        </w:rPr>
      </w:pPr>
      <w:r>
        <w:rPr>
          <w:rFonts w:ascii="宋体" w:hAnsi="宋体" w:eastAsia="宋体" w:cs="宋体"/>
          <w:spacing w:val="-2"/>
          <w:sz w:val="18"/>
          <w:szCs w:val="18"/>
        </w:rPr>
        <w:t>5.本表中“上年同期”数据统一由国家统计局在数据处理软件中复制，调查单位和各级统计机</w:t>
      </w:r>
      <w:r>
        <w:rPr>
          <w:rFonts w:ascii="宋体" w:hAnsi="宋体" w:eastAsia="宋体" w:cs="宋体"/>
          <w:spacing w:val="-3"/>
          <w:sz w:val="18"/>
          <w:szCs w:val="18"/>
        </w:rPr>
        <w:t>构原则上不得修改；</w:t>
      </w:r>
      <w:r>
        <w:rPr>
          <w:rFonts w:ascii="宋体" w:hAnsi="宋体" w:eastAsia="宋体" w:cs="宋体"/>
          <w:sz w:val="18"/>
          <w:szCs w:val="18"/>
        </w:rPr>
        <w:t xml:space="preserve"> </w:t>
      </w:r>
      <w:r>
        <w:rPr>
          <w:rFonts w:ascii="宋体" w:hAnsi="宋体" w:eastAsia="宋体" w:cs="宋体"/>
          <w:spacing w:val="-2"/>
          <w:sz w:val="18"/>
          <w:szCs w:val="18"/>
        </w:rPr>
        <w:t>本年新增的调查单位自行填报“上年同期”数据；涉及兼并、重组等情况的</w:t>
      </w:r>
      <w:r>
        <w:rPr>
          <w:rFonts w:ascii="宋体" w:hAnsi="宋体" w:eastAsia="宋体" w:cs="宋体"/>
          <w:spacing w:val="-3"/>
          <w:sz w:val="18"/>
          <w:szCs w:val="18"/>
        </w:rPr>
        <w:t>企业，经国家统计局批准后，调查单</w:t>
      </w:r>
      <w:r>
        <w:rPr>
          <w:rFonts w:ascii="宋体" w:hAnsi="宋体" w:eastAsia="宋体" w:cs="宋体"/>
          <w:sz w:val="18"/>
          <w:szCs w:val="18"/>
        </w:rPr>
        <w:t xml:space="preserve"> </w:t>
      </w:r>
      <w:r>
        <w:rPr>
          <w:rFonts w:ascii="宋体" w:hAnsi="宋体" w:eastAsia="宋体" w:cs="宋体"/>
          <w:spacing w:val="-2"/>
          <w:sz w:val="18"/>
          <w:szCs w:val="18"/>
        </w:rPr>
        <w:t>位可调整同期数；本年新增指标的同期数由调查单位自行</w:t>
      </w:r>
      <w:r>
        <w:rPr>
          <w:rFonts w:ascii="宋体" w:hAnsi="宋体" w:eastAsia="宋体" w:cs="宋体"/>
          <w:spacing w:val="-3"/>
          <w:sz w:val="18"/>
          <w:szCs w:val="18"/>
        </w:rPr>
        <w:t>填报。</w:t>
      </w:r>
    </w:p>
    <w:p w14:paraId="66756ADA">
      <w:pPr>
        <w:spacing w:before="88" w:line="220" w:lineRule="auto"/>
        <w:ind w:left="555"/>
        <w:rPr>
          <w:rFonts w:ascii="宋体" w:hAnsi="宋体" w:eastAsia="宋体" w:cs="宋体"/>
          <w:sz w:val="18"/>
          <w:szCs w:val="18"/>
        </w:rPr>
      </w:pPr>
      <w:r>
        <w:rPr>
          <w:rFonts w:ascii="宋体" w:hAnsi="宋体" w:eastAsia="宋体" w:cs="宋体"/>
          <w:spacing w:val="-11"/>
          <w:sz w:val="18"/>
          <w:szCs w:val="18"/>
        </w:rPr>
        <w:t>6.审核关系：</w:t>
      </w:r>
    </w:p>
    <w:p w14:paraId="2D8714D2">
      <w:pPr>
        <w:spacing w:before="55" w:line="184" w:lineRule="auto"/>
        <w:ind w:left="705"/>
        <w:rPr>
          <w:rFonts w:ascii="宋体" w:hAnsi="宋体" w:eastAsia="宋体" w:cs="宋体"/>
          <w:sz w:val="18"/>
          <w:szCs w:val="18"/>
        </w:rPr>
      </w:pPr>
      <w:r>
        <w:rPr>
          <w:rFonts w:ascii="宋体" w:hAnsi="宋体" w:eastAsia="宋体" w:cs="宋体"/>
          <w:spacing w:val="-8"/>
          <w:sz w:val="18"/>
          <w:szCs w:val="18"/>
        </w:rPr>
        <w:t>指标值=子项值/母项值×单位换算系数</w:t>
      </w:r>
    </w:p>
    <w:p w14:paraId="7C5985EB">
      <w:pPr>
        <w:spacing w:line="184" w:lineRule="auto"/>
        <w:rPr>
          <w:rFonts w:ascii="宋体" w:hAnsi="宋体" w:eastAsia="宋体" w:cs="宋体"/>
          <w:sz w:val="18"/>
          <w:szCs w:val="18"/>
        </w:rPr>
        <w:sectPr>
          <w:type w:val="continuous"/>
          <w:pgSz w:w="11910" w:h="16840"/>
          <w:pgMar w:top="1109" w:right="1214" w:bottom="0" w:left="1224" w:header="867" w:footer="0" w:gutter="0"/>
          <w:cols w:equalWidth="0" w:num="1">
            <w:col w:w="9471"/>
          </w:cols>
        </w:sectPr>
      </w:pPr>
    </w:p>
    <w:p w14:paraId="6926D79D">
      <w:pPr>
        <w:spacing w:before="32"/>
      </w:pPr>
    </w:p>
    <w:p w14:paraId="7AE029DC">
      <w:pPr>
        <w:spacing w:before="32"/>
      </w:pPr>
    </w:p>
    <w:p w14:paraId="7CC0E35D">
      <w:pPr>
        <w:spacing w:before="32"/>
      </w:pPr>
    </w:p>
    <w:p w14:paraId="58A1B568">
      <w:pPr>
        <w:sectPr>
          <w:headerReference r:id="rId12" w:type="default"/>
          <w:pgSz w:w="11910" w:h="16840"/>
          <w:pgMar w:top="1055" w:right="1112" w:bottom="0" w:left="1120" w:header="876" w:footer="0" w:gutter="0"/>
          <w:cols w:equalWidth="0" w:num="1">
            <w:col w:w="9678"/>
          </w:cols>
        </w:sectPr>
      </w:pPr>
    </w:p>
    <w:p w14:paraId="4EB73F82">
      <w:pPr>
        <w:pStyle w:val="2"/>
        <w:spacing w:line="305" w:lineRule="auto"/>
      </w:pPr>
    </w:p>
    <w:p w14:paraId="59A6B60C">
      <w:pPr>
        <w:pStyle w:val="2"/>
        <w:spacing w:line="305" w:lineRule="auto"/>
      </w:pPr>
    </w:p>
    <w:p w14:paraId="5BD7102A">
      <w:pPr>
        <w:pStyle w:val="2"/>
        <w:spacing w:line="306" w:lineRule="auto"/>
      </w:pPr>
    </w:p>
    <w:p w14:paraId="1098AFC5">
      <w:pPr>
        <w:spacing w:before="58" w:line="512" w:lineRule="exact"/>
        <w:ind w:left="90"/>
        <w:rPr>
          <w:rFonts w:ascii="宋体" w:hAnsi="宋体" w:eastAsia="宋体" w:cs="宋体"/>
          <w:sz w:val="18"/>
          <w:szCs w:val="18"/>
        </w:rPr>
      </w:pPr>
      <w:r>
        <w:rPr>
          <w:rFonts w:ascii="宋体" w:hAnsi="宋体" w:eastAsia="宋体" w:cs="宋体"/>
          <w:spacing w:val="-1"/>
          <w:position w:val="25"/>
          <w:sz w:val="18"/>
          <w:szCs w:val="18"/>
        </w:rPr>
        <w:t>统一社会信用代码□□□I</w:t>
      </w:r>
    </w:p>
    <w:p w14:paraId="43E4BA7E">
      <w:pPr>
        <w:spacing w:line="193" w:lineRule="auto"/>
        <w:ind w:left="99"/>
        <w:rPr>
          <w:rFonts w:ascii="宋体" w:hAnsi="宋体" w:eastAsia="宋体" w:cs="宋体"/>
          <w:sz w:val="19"/>
          <w:szCs w:val="19"/>
        </w:rPr>
      </w:pPr>
      <w:r>
        <w:rPr>
          <w:rFonts w:ascii="宋体" w:hAnsi="宋体" w:eastAsia="宋体" w:cs="宋体"/>
          <w:spacing w:val="-1"/>
          <w:sz w:val="19"/>
          <w:szCs w:val="19"/>
        </w:rPr>
        <w:t>单位详细名称：</w:t>
      </w:r>
    </w:p>
    <w:p w14:paraId="20211E10">
      <w:pPr>
        <w:pStyle w:val="2"/>
        <w:spacing w:line="14" w:lineRule="auto"/>
        <w:rPr>
          <w:sz w:val="2"/>
        </w:rPr>
      </w:pPr>
      <w:r>
        <w:rPr>
          <w:sz w:val="2"/>
          <w:szCs w:val="2"/>
        </w:rPr>
        <w:br w:type="column"/>
      </w:r>
    </w:p>
    <w:p w14:paraId="718C1DFE">
      <w:pPr>
        <w:spacing w:before="61" w:line="219" w:lineRule="auto"/>
        <w:rPr>
          <w:rFonts w:ascii="宋体" w:hAnsi="宋体" w:eastAsia="宋体" w:cs="宋体"/>
          <w:sz w:val="31"/>
          <w:szCs w:val="31"/>
        </w:rPr>
      </w:pPr>
      <w:bookmarkStart w:id="7" w:name="bookmark10"/>
      <w:bookmarkEnd w:id="7"/>
      <w:r>
        <w:rPr>
          <w:rFonts w:ascii="宋体" w:hAnsi="宋体" w:eastAsia="宋体" w:cs="宋体"/>
          <w:b/>
          <w:bCs/>
          <w:spacing w:val="-2"/>
          <w:sz w:val="31"/>
          <w:szCs w:val="31"/>
        </w:rPr>
        <w:t>工业企业用水情况</w:t>
      </w:r>
    </w:p>
    <w:p w14:paraId="3AE5528D">
      <w:pPr>
        <w:pStyle w:val="2"/>
        <w:spacing w:line="248" w:lineRule="auto"/>
      </w:pPr>
    </w:p>
    <w:p w14:paraId="20C0057F">
      <w:pPr>
        <w:pStyle w:val="2"/>
        <w:spacing w:line="248" w:lineRule="auto"/>
      </w:pPr>
    </w:p>
    <w:p w14:paraId="3C8EF1FD">
      <w:pPr>
        <w:pStyle w:val="2"/>
        <w:spacing w:line="248" w:lineRule="auto"/>
      </w:pPr>
    </w:p>
    <w:p w14:paraId="618284D9">
      <w:pPr>
        <w:pStyle w:val="2"/>
        <w:spacing w:line="249" w:lineRule="auto"/>
      </w:pPr>
    </w:p>
    <w:p w14:paraId="3A37EFAE">
      <w:pPr>
        <w:spacing w:before="61" w:line="175" w:lineRule="auto"/>
        <w:ind w:left="375"/>
        <w:rPr>
          <w:rFonts w:ascii="宋体" w:hAnsi="宋体" w:eastAsia="宋体" w:cs="宋体"/>
          <w:sz w:val="19"/>
          <w:szCs w:val="19"/>
        </w:rPr>
      </w:pPr>
      <w:r>
        <w:rPr>
          <w:rFonts w:ascii="宋体" w:hAnsi="宋体" w:eastAsia="宋体" w:cs="宋体"/>
          <w:spacing w:val="-1"/>
          <w:position w:val="-2"/>
          <w:sz w:val="19"/>
          <w:szCs w:val="19"/>
        </w:rPr>
        <w:t>20</w:t>
      </w:r>
      <w:r>
        <w:rPr>
          <w:rFonts w:ascii="宋体" w:hAnsi="宋体" w:eastAsia="宋体" w:cs="宋体"/>
          <w:spacing w:val="5"/>
          <w:position w:val="-2"/>
          <w:sz w:val="19"/>
          <w:szCs w:val="19"/>
        </w:rPr>
        <w:t xml:space="preserve">     </w:t>
      </w:r>
      <w:r>
        <w:rPr>
          <w:rFonts w:ascii="宋体" w:hAnsi="宋体" w:eastAsia="宋体" w:cs="宋体"/>
          <w:spacing w:val="-1"/>
          <w:sz w:val="19"/>
          <w:szCs w:val="19"/>
        </w:rPr>
        <w:t>年1一</w:t>
      </w:r>
      <w:r>
        <w:rPr>
          <w:rFonts w:ascii="宋体" w:hAnsi="宋体" w:eastAsia="宋体" w:cs="宋体"/>
          <w:spacing w:val="20"/>
          <w:sz w:val="19"/>
          <w:szCs w:val="19"/>
        </w:rPr>
        <w:t xml:space="preserve">  </w:t>
      </w:r>
      <w:r>
        <w:rPr>
          <w:rFonts w:ascii="宋体" w:hAnsi="宋体" w:eastAsia="宋体" w:cs="宋体"/>
          <w:spacing w:val="-1"/>
          <w:sz w:val="19"/>
          <w:szCs w:val="19"/>
        </w:rPr>
        <w:t>月</w:t>
      </w:r>
    </w:p>
    <w:p w14:paraId="312D6768">
      <w:pPr>
        <w:pStyle w:val="2"/>
        <w:spacing w:line="14" w:lineRule="auto"/>
        <w:rPr>
          <w:sz w:val="2"/>
        </w:rPr>
      </w:pPr>
      <w:r>
        <w:rPr>
          <w:sz w:val="2"/>
          <w:szCs w:val="2"/>
        </w:rPr>
        <w:br w:type="column"/>
      </w:r>
    </w:p>
    <w:p w14:paraId="0F937E8D">
      <w:pPr>
        <w:pStyle w:val="2"/>
        <w:spacing w:line="329" w:lineRule="auto"/>
      </w:pPr>
    </w:p>
    <w:p w14:paraId="4F5A3C2F">
      <w:pPr>
        <w:pStyle w:val="2"/>
        <w:spacing w:line="329" w:lineRule="auto"/>
      </w:pPr>
    </w:p>
    <w:p w14:paraId="7CA82FED">
      <w:pPr>
        <w:spacing w:before="58" w:line="221" w:lineRule="auto"/>
        <w:rPr>
          <w:rFonts w:ascii="宋体" w:hAnsi="宋体" w:eastAsia="宋体" w:cs="宋体"/>
          <w:sz w:val="18"/>
          <w:szCs w:val="18"/>
        </w:rPr>
      </w:pPr>
      <w:r>
        <w:rPr>
          <w:rFonts w:ascii="宋体" w:hAnsi="宋体" w:eastAsia="宋体" w:cs="宋体"/>
          <w:spacing w:val="-3"/>
          <w:sz w:val="18"/>
          <w:szCs w:val="18"/>
        </w:rPr>
        <w:t>表</w:t>
      </w:r>
      <w:r>
        <w:rPr>
          <w:rFonts w:ascii="宋体" w:hAnsi="宋体" w:eastAsia="宋体" w:cs="宋体"/>
          <w:spacing w:val="25"/>
          <w:sz w:val="18"/>
          <w:szCs w:val="18"/>
        </w:rPr>
        <w:t xml:space="preserve">   </w:t>
      </w:r>
      <w:r>
        <w:rPr>
          <w:rFonts w:ascii="宋体" w:hAnsi="宋体" w:eastAsia="宋体" w:cs="宋体"/>
          <w:spacing w:val="-3"/>
          <w:sz w:val="18"/>
          <w:szCs w:val="18"/>
        </w:rPr>
        <w:t>号：2  0  5—4</w:t>
      </w:r>
      <w:r>
        <w:rPr>
          <w:rFonts w:ascii="宋体" w:hAnsi="宋体" w:eastAsia="宋体" w:cs="宋体"/>
          <w:spacing w:val="10"/>
          <w:sz w:val="18"/>
          <w:szCs w:val="18"/>
        </w:rPr>
        <w:t xml:space="preserve">    </w:t>
      </w:r>
      <w:r>
        <w:rPr>
          <w:rFonts w:ascii="宋体" w:hAnsi="宋体" w:eastAsia="宋体" w:cs="宋体"/>
          <w:spacing w:val="-3"/>
          <w:sz w:val="18"/>
          <w:szCs w:val="18"/>
        </w:rPr>
        <w:t>表</w:t>
      </w:r>
    </w:p>
    <w:p w14:paraId="255CC434">
      <w:pPr>
        <w:spacing w:before="42" w:line="219" w:lineRule="auto"/>
        <w:rPr>
          <w:rFonts w:ascii="宋体" w:hAnsi="宋体" w:eastAsia="宋体" w:cs="宋体"/>
          <w:sz w:val="18"/>
          <w:szCs w:val="18"/>
        </w:rPr>
      </w:pPr>
      <w:r>
        <w:rPr>
          <w:rFonts w:ascii="宋体" w:hAnsi="宋体" w:eastAsia="宋体" w:cs="宋体"/>
          <w:spacing w:val="-1"/>
          <w:sz w:val="18"/>
          <w:szCs w:val="18"/>
        </w:rPr>
        <w:t>制定机关：国</w:t>
      </w:r>
      <w:r>
        <w:rPr>
          <w:rFonts w:ascii="宋体" w:hAnsi="宋体" w:eastAsia="宋体" w:cs="宋体"/>
          <w:spacing w:val="26"/>
          <w:sz w:val="18"/>
          <w:szCs w:val="18"/>
        </w:rPr>
        <w:t xml:space="preserve"> </w:t>
      </w:r>
      <w:r>
        <w:rPr>
          <w:rFonts w:ascii="宋体" w:hAnsi="宋体" w:eastAsia="宋体" w:cs="宋体"/>
          <w:spacing w:val="-1"/>
          <w:sz w:val="18"/>
          <w:szCs w:val="18"/>
        </w:rPr>
        <w:t>家</w:t>
      </w:r>
      <w:r>
        <w:rPr>
          <w:rFonts w:ascii="宋体" w:hAnsi="宋体" w:eastAsia="宋体" w:cs="宋体"/>
          <w:spacing w:val="24"/>
          <w:sz w:val="18"/>
          <w:szCs w:val="18"/>
        </w:rPr>
        <w:t xml:space="preserve"> </w:t>
      </w:r>
      <w:r>
        <w:rPr>
          <w:rFonts w:ascii="宋体" w:hAnsi="宋体" w:eastAsia="宋体" w:cs="宋体"/>
          <w:spacing w:val="-1"/>
          <w:sz w:val="18"/>
          <w:szCs w:val="18"/>
        </w:rPr>
        <w:t>统</w:t>
      </w:r>
      <w:r>
        <w:rPr>
          <w:rFonts w:ascii="宋体" w:hAnsi="宋体" w:eastAsia="宋体" w:cs="宋体"/>
          <w:spacing w:val="51"/>
          <w:w w:val="101"/>
          <w:sz w:val="18"/>
          <w:szCs w:val="18"/>
        </w:rPr>
        <w:t xml:space="preserve"> </w:t>
      </w:r>
      <w:r>
        <w:rPr>
          <w:rFonts w:ascii="宋体" w:hAnsi="宋体" w:eastAsia="宋体" w:cs="宋体"/>
          <w:spacing w:val="-1"/>
          <w:sz w:val="18"/>
          <w:szCs w:val="18"/>
        </w:rPr>
        <w:t>计</w:t>
      </w:r>
      <w:r>
        <w:rPr>
          <w:rFonts w:ascii="宋体" w:hAnsi="宋体" w:eastAsia="宋体" w:cs="宋体"/>
          <w:spacing w:val="67"/>
          <w:sz w:val="18"/>
          <w:szCs w:val="18"/>
        </w:rPr>
        <w:t xml:space="preserve"> </w:t>
      </w:r>
      <w:r>
        <w:rPr>
          <w:rFonts w:ascii="宋体" w:hAnsi="宋体" w:eastAsia="宋体" w:cs="宋体"/>
          <w:spacing w:val="-1"/>
          <w:sz w:val="18"/>
          <w:szCs w:val="18"/>
        </w:rPr>
        <w:t>局</w:t>
      </w:r>
    </w:p>
    <w:p w14:paraId="2809F2D7">
      <w:pPr>
        <w:spacing w:before="47" w:line="219" w:lineRule="auto"/>
        <w:rPr>
          <w:rFonts w:ascii="宋体" w:hAnsi="宋体" w:eastAsia="宋体" w:cs="宋体"/>
          <w:sz w:val="18"/>
          <w:szCs w:val="18"/>
        </w:rPr>
      </w:pPr>
      <w:r>
        <w:rPr>
          <w:rFonts w:ascii="宋体" w:hAnsi="宋体" w:eastAsia="宋体" w:cs="宋体"/>
          <w:sz w:val="18"/>
          <w:szCs w:val="18"/>
        </w:rPr>
        <w:t>文</w:t>
      </w:r>
      <w:r>
        <w:rPr>
          <w:rFonts w:ascii="宋体" w:hAnsi="宋体" w:eastAsia="宋体" w:cs="宋体"/>
          <w:spacing w:val="30"/>
          <w:sz w:val="18"/>
          <w:szCs w:val="18"/>
        </w:rPr>
        <w:t xml:space="preserve">   </w:t>
      </w:r>
      <w:r>
        <w:rPr>
          <w:rFonts w:ascii="宋体" w:hAnsi="宋体" w:eastAsia="宋体" w:cs="宋体"/>
          <w:sz w:val="18"/>
          <w:szCs w:val="18"/>
        </w:rPr>
        <w:t>号：国统字(202</w:t>
      </w:r>
      <w:r>
        <w:rPr>
          <w:rFonts w:hint="eastAsia" w:ascii="宋体" w:hAnsi="宋体" w:eastAsia="宋体" w:cs="宋体"/>
          <w:sz w:val="18"/>
          <w:szCs w:val="18"/>
          <w:lang w:val="en-US" w:eastAsia="zh-CN"/>
        </w:rPr>
        <w:t>4</w:t>
      </w:r>
      <w:r>
        <w:rPr>
          <w:rFonts w:ascii="宋体" w:hAnsi="宋体" w:eastAsia="宋体" w:cs="宋体"/>
          <w:sz w:val="18"/>
          <w:szCs w:val="18"/>
        </w:rPr>
        <w:t>)</w:t>
      </w:r>
      <w:r>
        <w:rPr>
          <w:rFonts w:hint="eastAsia" w:ascii="宋体" w:hAnsi="宋体" w:eastAsia="宋体" w:cs="宋体"/>
          <w:sz w:val="18"/>
          <w:szCs w:val="18"/>
          <w:lang w:val="en-US" w:eastAsia="zh-CN"/>
        </w:rPr>
        <w:t>77</w:t>
      </w:r>
      <w:r>
        <w:rPr>
          <w:rFonts w:ascii="宋体" w:hAnsi="宋体" w:eastAsia="宋体" w:cs="宋体"/>
          <w:sz w:val="18"/>
          <w:szCs w:val="18"/>
        </w:rPr>
        <w:t>号</w:t>
      </w:r>
    </w:p>
    <w:p w14:paraId="1AF0AF54">
      <w:pPr>
        <w:spacing w:before="47" w:line="184" w:lineRule="auto"/>
        <w:rPr>
          <w:rFonts w:ascii="宋体" w:hAnsi="宋体" w:eastAsia="宋体" w:cs="宋体"/>
          <w:sz w:val="19"/>
          <w:szCs w:val="19"/>
        </w:rPr>
      </w:pPr>
      <w:r>
        <w:rPr>
          <w:rFonts w:ascii="宋体" w:hAnsi="宋体" w:eastAsia="宋体" w:cs="宋体"/>
          <w:spacing w:val="2"/>
          <w:sz w:val="19"/>
          <w:szCs w:val="19"/>
        </w:rPr>
        <w:t>有效期至：202</w:t>
      </w:r>
      <w:r>
        <w:rPr>
          <w:rFonts w:hint="eastAsia" w:ascii="宋体" w:hAnsi="宋体" w:eastAsia="宋体" w:cs="宋体"/>
          <w:spacing w:val="2"/>
          <w:sz w:val="19"/>
          <w:szCs w:val="19"/>
          <w:lang w:val="en-US" w:eastAsia="zh-CN"/>
        </w:rPr>
        <w:t>6</w:t>
      </w:r>
      <w:r>
        <w:rPr>
          <w:rFonts w:ascii="宋体" w:hAnsi="宋体" w:eastAsia="宋体" w:cs="宋体"/>
          <w:spacing w:val="2"/>
          <w:sz w:val="19"/>
          <w:szCs w:val="19"/>
        </w:rPr>
        <w:t>年1月</w:t>
      </w:r>
    </w:p>
    <w:p w14:paraId="4E1FF28E">
      <w:pPr>
        <w:spacing w:line="184" w:lineRule="auto"/>
        <w:rPr>
          <w:rFonts w:ascii="宋体" w:hAnsi="宋体" w:eastAsia="宋体" w:cs="宋体"/>
          <w:sz w:val="19"/>
          <w:szCs w:val="19"/>
        </w:rPr>
        <w:sectPr>
          <w:type w:val="continuous"/>
          <w:pgSz w:w="11910" w:h="16840"/>
          <w:pgMar w:top="1055" w:right="1112" w:bottom="0" w:left="1120" w:header="876" w:footer="0" w:gutter="0"/>
          <w:cols w:equalWidth="0" w:num="3">
            <w:col w:w="3495" w:space="100"/>
            <w:col w:w="3546" w:space="100"/>
            <w:col w:w="2438"/>
          </w:cols>
        </w:sectPr>
      </w:pPr>
    </w:p>
    <w:p w14:paraId="04035ECA">
      <w:pPr>
        <w:spacing w:line="79" w:lineRule="auto"/>
        <w:rPr>
          <w:rFonts w:ascii="Arial"/>
          <w:sz w:val="2"/>
        </w:rPr>
      </w:pPr>
    </w:p>
    <w:tbl>
      <w:tblPr>
        <w:tblStyle w:val="5"/>
        <w:tblW w:w="9489" w:type="dxa"/>
        <w:tblInd w:w="9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92"/>
        <w:gridCol w:w="1228"/>
        <w:gridCol w:w="809"/>
        <w:gridCol w:w="1249"/>
        <w:gridCol w:w="1248"/>
        <w:gridCol w:w="1259"/>
        <w:gridCol w:w="1104"/>
      </w:tblGrid>
      <w:tr w14:paraId="7AA2F9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2592" w:type="dxa"/>
            <w:vMerge w:val="restart"/>
            <w:tcBorders>
              <w:bottom w:val="nil"/>
            </w:tcBorders>
            <w:vAlign w:val="top"/>
          </w:tcPr>
          <w:p w14:paraId="3FCC3B22">
            <w:pPr>
              <w:pStyle w:val="6"/>
              <w:spacing w:before="202" w:line="220" w:lineRule="auto"/>
              <w:ind w:left="944"/>
            </w:pPr>
            <w:r>
              <w:rPr>
                <w:spacing w:val="-2"/>
              </w:rPr>
              <w:t>指标名称</w:t>
            </w:r>
          </w:p>
        </w:tc>
        <w:tc>
          <w:tcPr>
            <w:tcW w:w="1228" w:type="dxa"/>
            <w:vMerge w:val="restart"/>
            <w:tcBorders>
              <w:bottom w:val="nil"/>
            </w:tcBorders>
            <w:vAlign w:val="top"/>
          </w:tcPr>
          <w:p w14:paraId="67ED9BD5">
            <w:pPr>
              <w:pStyle w:val="6"/>
              <w:spacing w:before="202" w:line="220" w:lineRule="auto"/>
              <w:ind w:left="242"/>
            </w:pPr>
            <w:r>
              <w:rPr>
                <w:spacing w:val="-2"/>
              </w:rPr>
              <w:t>计量单位</w:t>
            </w:r>
          </w:p>
        </w:tc>
        <w:tc>
          <w:tcPr>
            <w:tcW w:w="809" w:type="dxa"/>
            <w:vMerge w:val="restart"/>
            <w:tcBorders>
              <w:bottom w:val="nil"/>
            </w:tcBorders>
            <w:vAlign w:val="top"/>
          </w:tcPr>
          <w:p w14:paraId="411C2646">
            <w:pPr>
              <w:pStyle w:val="6"/>
              <w:spacing w:before="202" w:line="219" w:lineRule="auto"/>
              <w:ind w:left="214"/>
            </w:pPr>
            <w:r>
              <w:rPr>
                <w:spacing w:val="-2"/>
              </w:rPr>
              <w:t>代码</w:t>
            </w:r>
          </w:p>
        </w:tc>
        <w:tc>
          <w:tcPr>
            <w:tcW w:w="2497" w:type="dxa"/>
            <w:gridSpan w:val="2"/>
            <w:vAlign w:val="top"/>
          </w:tcPr>
          <w:p w14:paraId="3E39D304">
            <w:pPr>
              <w:pStyle w:val="6"/>
              <w:spacing w:before="62" w:line="219" w:lineRule="auto"/>
              <w:ind w:left="995"/>
            </w:pPr>
            <w:r>
              <w:rPr>
                <w:spacing w:val="-3"/>
              </w:rPr>
              <w:t>取水量</w:t>
            </w:r>
          </w:p>
        </w:tc>
        <w:tc>
          <w:tcPr>
            <w:tcW w:w="2363" w:type="dxa"/>
            <w:gridSpan w:val="2"/>
            <w:vAlign w:val="top"/>
          </w:tcPr>
          <w:p w14:paraId="47C4EB12">
            <w:pPr>
              <w:pStyle w:val="6"/>
              <w:spacing w:before="61" w:line="219" w:lineRule="auto"/>
              <w:ind w:left="828"/>
            </w:pPr>
            <w:r>
              <w:rPr>
                <w:spacing w:val="-2"/>
              </w:rPr>
              <w:t>外供水量</w:t>
            </w:r>
          </w:p>
        </w:tc>
      </w:tr>
      <w:tr w14:paraId="7C9AD5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2592" w:type="dxa"/>
            <w:vMerge w:val="continue"/>
            <w:tcBorders>
              <w:top w:val="nil"/>
            </w:tcBorders>
            <w:vAlign w:val="top"/>
          </w:tcPr>
          <w:p w14:paraId="4FC65368">
            <w:pPr>
              <w:rPr>
                <w:rFonts w:ascii="Arial"/>
                <w:sz w:val="21"/>
              </w:rPr>
            </w:pPr>
          </w:p>
        </w:tc>
        <w:tc>
          <w:tcPr>
            <w:tcW w:w="1228" w:type="dxa"/>
            <w:vMerge w:val="continue"/>
            <w:tcBorders>
              <w:top w:val="nil"/>
            </w:tcBorders>
            <w:vAlign w:val="top"/>
          </w:tcPr>
          <w:p w14:paraId="11D4D6AB">
            <w:pPr>
              <w:rPr>
                <w:rFonts w:ascii="Arial"/>
                <w:sz w:val="21"/>
              </w:rPr>
            </w:pPr>
          </w:p>
        </w:tc>
        <w:tc>
          <w:tcPr>
            <w:tcW w:w="809" w:type="dxa"/>
            <w:vMerge w:val="continue"/>
            <w:tcBorders>
              <w:top w:val="nil"/>
            </w:tcBorders>
            <w:vAlign w:val="top"/>
          </w:tcPr>
          <w:p w14:paraId="4A74507F">
            <w:pPr>
              <w:rPr>
                <w:rFonts w:ascii="Arial"/>
                <w:sz w:val="21"/>
              </w:rPr>
            </w:pPr>
          </w:p>
        </w:tc>
        <w:tc>
          <w:tcPr>
            <w:tcW w:w="1249" w:type="dxa"/>
            <w:vAlign w:val="top"/>
          </w:tcPr>
          <w:p w14:paraId="5A4E6464">
            <w:pPr>
              <w:pStyle w:val="6"/>
              <w:spacing w:before="47" w:line="219" w:lineRule="auto"/>
              <w:ind w:left="445"/>
            </w:pPr>
            <w:r>
              <w:rPr>
                <w:spacing w:val="-2"/>
              </w:rPr>
              <w:t>本期</w:t>
            </w:r>
          </w:p>
        </w:tc>
        <w:tc>
          <w:tcPr>
            <w:tcW w:w="1248" w:type="dxa"/>
            <w:shd w:val="clear" w:color="auto" w:fill="D9D9D9"/>
            <w:vAlign w:val="top"/>
          </w:tcPr>
          <w:p w14:paraId="18739B8E">
            <w:pPr>
              <w:pStyle w:val="6"/>
              <w:spacing w:before="48" w:line="219" w:lineRule="auto"/>
              <w:ind w:left="256"/>
            </w:pPr>
            <w:r>
              <w:rPr>
                <w:spacing w:val="2"/>
              </w:rPr>
              <w:t>上年同期</w:t>
            </w:r>
          </w:p>
        </w:tc>
        <w:tc>
          <w:tcPr>
            <w:tcW w:w="1259" w:type="dxa"/>
            <w:vAlign w:val="top"/>
          </w:tcPr>
          <w:p w14:paraId="586F94B7">
            <w:pPr>
              <w:pStyle w:val="6"/>
              <w:spacing w:before="47" w:line="219" w:lineRule="auto"/>
              <w:ind w:left="448"/>
            </w:pPr>
            <w:r>
              <w:rPr>
                <w:spacing w:val="-2"/>
              </w:rPr>
              <w:t>本期</w:t>
            </w:r>
          </w:p>
        </w:tc>
        <w:tc>
          <w:tcPr>
            <w:tcW w:w="1104" w:type="dxa"/>
            <w:shd w:val="clear" w:color="auto" w:fill="D9D9D9"/>
            <w:vAlign w:val="top"/>
          </w:tcPr>
          <w:p w14:paraId="2633D81D">
            <w:pPr>
              <w:pStyle w:val="6"/>
              <w:spacing w:before="48" w:line="219" w:lineRule="auto"/>
              <w:ind w:left="189"/>
            </w:pPr>
            <w:r>
              <w:rPr>
                <w:spacing w:val="2"/>
              </w:rPr>
              <w:t>上年同期</w:t>
            </w:r>
          </w:p>
        </w:tc>
      </w:tr>
      <w:tr w14:paraId="550C5C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2592" w:type="dxa"/>
            <w:vAlign w:val="top"/>
          </w:tcPr>
          <w:p w14:paraId="4FD60A47">
            <w:pPr>
              <w:pStyle w:val="6"/>
              <w:spacing w:before="62" w:line="222" w:lineRule="auto"/>
              <w:ind w:left="1204"/>
            </w:pPr>
            <w:r>
              <w:t>甲</w:t>
            </w:r>
          </w:p>
        </w:tc>
        <w:tc>
          <w:tcPr>
            <w:tcW w:w="1228" w:type="dxa"/>
            <w:vAlign w:val="top"/>
          </w:tcPr>
          <w:p w14:paraId="4CB4F141">
            <w:pPr>
              <w:pStyle w:val="6"/>
              <w:spacing w:before="73" w:line="221" w:lineRule="auto"/>
              <w:ind w:left="512"/>
            </w:pPr>
            <w:r>
              <w:t>乙</w:t>
            </w:r>
          </w:p>
        </w:tc>
        <w:tc>
          <w:tcPr>
            <w:tcW w:w="809" w:type="dxa"/>
            <w:vAlign w:val="top"/>
          </w:tcPr>
          <w:p w14:paraId="097EBF5C">
            <w:pPr>
              <w:pStyle w:val="6"/>
              <w:spacing w:before="60" w:line="220" w:lineRule="auto"/>
              <w:ind w:left="304"/>
            </w:pPr>
            <w:r>
              <w:t>丙</w:t>
            </w:r>
          </w:p>
        </w:tc>
        <w:tc>
          <w:tcPr>
            <w:tcW w:w="1249" w:type="dxa"/>
            <w:vAlign w:val="top"/>
          </w:tcPr>
          <w:p w14:paraId="0D1E320F">
            <w:pPr>
              <w:rPr>
                <w:rFonts w:ascii="Arial"/>
                <w:sz w:val="21"/>
              </w:rPr>
            </w:pPr>
          </w:p>
        </w:tc>
        <w:tc>
          <w:tcPr>
            <w:tcW w:w="1248" w:type="dxa"/>
            <w:shd w:val="clear" w:color="auto" w:fill="D9D9D9"/>
            <w:vAlign w:val="top"/>
          </w:tcPr>
          <w:p w14:paraId="672344D0">
            <w:pPr>
              <w:pStyle w:val="6"/>
              <w:spacing w:before="105" w:line="183" w:lineRule="auto"/>
              <w:ind w:left="576"/>
            </w:pPr>
            <w:r>
              <w:t>2</w:t>
            </w:r>
          </w:p>
        </w:tc>
        <w:tc>
          <w:tcPr>
            <w:tcW w:w="1259" w:type="dxa"/>
            <w:vAlign w:val="top"/>
          </w:tcPr>
          <w:p w14:paraId="0DCFC5F6">
            <w:pPr>
              <w:pStyle w:val="6"/>
              <w:spacing w:before="105" w:line="183" w:lineRule="auto"/>
              <w:ind w:left="578"/>
            </w:pPr>
            <w:r>
              <w:t>3</w:t>
            </w:r>
          </w:p>
        </w:tc>
        <w:tc>
          <w:tcPr>
            <w:tcW w:w="1104" w:type="dxa"/>
            <w:shd w:val="clear" w:color="auto" w:fill="D9D9D9"/>
            <w:vAlign w:val="top"/>
          </w:tcPr>
          <w:p w14:paraId="02A07AFD">
            <w:pPr>
              <w:pStyle w:val="6"/>
              <w:spacing w:before="105" w:line="183" w:lineRule="auto"/>
              <w:ind w:left="499"/>
            </w:pPr>
            <w:r>
              <w:t>4</w:t>
            </w:r>
          </w:p>
        </w:tc>
      </w:tr>
      <w:tr w14:paraId="4DCB56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87" w:hRule="atLeast"/>
        </w:trPr>
        <w:tc>
          <w:tcPr>
            <w:tcW w:w="2592" w:type="dxa"/>
            <w:vAlign w:val="top"/>
          </w:tcPr>
          <w:p w14:paraId="381FB013">
            <w:pPr>
              <w:pStyle w:val="6"/>
              <w:spacing w:before="61" w:line="221" w:lineRule="auto"/>
              <w:ind w:left="104"/>
            </w:pPr>
            <w:r>
              <w:rPr>
                <w:spacing w:val="-2"/>
              </w:rPr>
              <w:t>合计</w:t>
            </w:r>
          </w:p>
          <w:p w14:paraId="535D8C16">
            <w:pPr>
              <w:pStyle w:val="6"/>
              <w:spacing w:before="52" w:line="270" w:lineRule="exact"/>
              <w:ind w:left="284"/>
            </w:pPr>
            <w:r>
              <w:rPr>
                <w:spacing w:val="1"/>
                <w:position w:val="6"/>
              </w:rPr>
              <w:t>1.地表淡水</w:t>
            </w:r>
          </w:p>
          <w:p w14:paraId="028B98FD">
            <w:pPr>
              <w:pStyle w:val="6"/>
              <w:spacing w:line="218" w:lineRule="auto"/>
              <w:ind w:left="284"/>
            </w:pPr>
            <w:r>
              <w:rPr>
                <w:spacing w:val="-2"/>
              </w:rPr>
              <w:t>2.地下淡水</w:t>
            </w:r>
          </w:p>
          <w:p w14:paraId="25CB8069">
            <w:pPr>
              <w:pStyle w:val="6"/>
              <w:spacing w:before="57" w:line="219" w:lineRule="auto"/>
              <w:ind w:left="284"/>
            </w:pPr>
            <w:r>
              <w:rPr>
                <w:spacing w:val="-3"/>
              </w:rPr>
              <w:t>3.自来水</w:t>
            </w:r>
          </w:p>
          <w:p w14:paraId="6E7C0FD4">
            <w:pPr>
              <w:pStyle w:val="6"/>
              <w:spacing w:before="56" w:line="219" w:lineRule="auto"/>
              <w:ind w:left="284"/>
            </w:pPr>
            <w:r>
              <w:rPr>
                <w:spacing w:val="-2"/>
              </w:rPr>
              <w:t>4.海水</w:t>
            </w:r>
          </w:p>
          <w:p w14:paraId="573A8EC6">
            <w:pPr>
              <w:pStyle w:val="6"/>
              <w:spacing w:before="57" w:line="270" w:lineRule="exact"/>
              <w:ind w:left="284"/>
            </w:pPr>
            <w:r>
              <w:rPr>
                <w:spacing w:val="-2"/>
                <w:position w:val="6"/>
              </w:rPr>
              <w:t>5.陆地苦咸水</w:t>
            </w:r>
          </w:p>
          <w:p w14:paraId="11D54630">
            <w:pPr>
              <w:pStyle w:val="6"/>
              <w:spacing w:line="219" w:lineRule="auto"/>
              <w:ind w:left="284"/>
            </w:pPr>
            <w:r>
              <w:rPr>
                <w:spacing w:val="-2"/>
              </w:rPr>
              <w:t>6.矿井水</w:t>
            </w:r>
          </w:p>
          <w:p w14:paraId="389E5C5D">
            <w:pPr>
              <w:pStyle w:val="6"/>
              <w:spacing w:before="56" w:line="219" w:lineRule="auto"/>
              <w:ind w:left="284"/>
            </w:pPr>
            <w:r>
              <w:rPr>
                <w:spacing w:val="-3"/>
              </w:rPr>
              <w:t>7.雨水</w:t>
            </w:r>
          </w:p>
          <w:p w14:paraId="66115759">
            <w:pPr>
              <w:pStyle w:val="6"/>
              <w:spacing w:before="66" w:line="260" w:lineRule="exact"/>
              <w:ind w:left="284"/>
            </w:pPr>
            <w:r>
              <w:rPr>
                <w:spacing w:val="4"/>
                <w:position w:val="5"/>
              </w:rPr>
              <w:t>8.再生水(中水)</w:t>
            </w:r>
          </w:p>
          <w:p w14:paraId="7B6F6443">
            <w:pPr>
              <w:pStyle w:val="6"/>
              <w:spacing w:before="1" w:line="218" w:lineRule="auto"/>
              <w:ind w:left="284"/>
            </w:pPr>
            <w:r>
              <w:rPr>
                <w:spacing w:val="-2"/>
              </w:rPr>
              <w:t>9.海水淡化水</w:t>
            </w:r>
          </w:p>
          <w:p w14:paraId="687385CB">
            <w:pPr>
              <w:pStyle w:val="6"/>
              <w:spacing w:before="67" w:line="212" w:lineRule="auto"/>
              <w:ind w:left="284"/>
            </w:pPr>
            <w:r>
              <w:rPr>
                <w:spacing w:val="1"/>
              </w:rPr>
              <w:t>10.其他水</w:t>
            </w:r>
          </w:p>
        </w:tc>
        <w:tc>
          <w:tcPr>
            <w:tcW w:w="1228" w:type="dxa"/>
            <w:vAlign w:val="top"/>
          </w:tcPr>
          <w:p w14:paraId="23C45CFD">
            <w:pPr>
              <w:pStyle w:val="6"/>
              <w:spacing w:before="60" w:line="270" w:lineRule="exact"/>
              <w:ind w:left="332"/>
            </w:pPr>
            <w:r>
              <w:rPr>
                <w:spacing w:val="-2"/>
                <w:position w:val="6"/>
              </w:rPr>
              <w:t>立方米</w:t>
            </w:r>
          </w:p>
          <w:p w14:paraId="08DAD329">
            <w:pPr>
              <w:pStyle w:val="6"/>
              <w:spacing w:line="219" w:lineRule="auto"/>
              <w:ind w:left="332"/>
            </w:pPr>
            <w:r>
              <w:rPr>
                <w:spacing w:val="-2"/>
              </w:rPr>
              <w:t>立方米</w:t>
            </w:r>
          </w:p>
          <w:p w14:paraId="40E204CE">
            <w:pPr>
              <w:pStyle w:val="6"/>
              <w:spacing w:before="46" w:line="219" w:lineRule="auto"/>
              <w:ind w:left="332"/>
            </w:pPr>
            <w:r>
              <w:rPr>
                <w:spacing w:val="-2"/>
              </w:rPr>
              <w:t>立方米</w:t>
            </w:r>
          </w:p>
          <w:p w14:paraId="0AACDC1D">
            <w:pPr>
              <w:pStyle w:val="6"/>
              <w:spacing w:before="56" w:line="219" w:lineRule="auto"/>
              <w:ind w:left="332"/>
            </w:pPr>
            <w:r>
              <w:rPr>
                <w:spacing w:val="-2"/>
              </w:rPr>
              <w:t>立方米</w:t>
            </w:r>
          </w:p>
          <w:p w14:paraId="4DA01280">
            <w:pPr>
              <w:pStyle w:val="6"/>
              <w:spacing w:before="66" w:line="219" w:lineRule="auto"/>
              <w:ind w:left="332"/>
            </w:pPr>
            <w:r>
              <w:rPr>
                <w:spacing w:val="-2"/>
              </w:rPr>
              <w:t>立方米</w:t>
            </w:r>
          </w:p>
          <w:p w14:paraId="2EEAAE52">
            <w:pPr>
              <w:pStyle w:val="6"/>
              <w:spacing w:before="56" w:line="219" w:lineRule="auto"/>
              <w:ind w:left="332"/>
            </w:pPr>
            <w:r>
              <w:rPr>
                <w:spacing w:val="-2"/>
              </w:rPr>
              <w:t>立方米</w:t>
            </w:r>
          </w:p>
          <w:p w14:paraId="0AAB60DF">
            <w:pPr>
              <w:pStyle w:val="6"/>
              <w:spacing w:before="56" w:line="219" w:lineRule="auto"/>
              <w:ind w:left="332"/>
            </w:pPr>
            <w:r>
              <w:rPr>
                <w:spacing w:val="-2"/>
              </w:rPr>
              <w:t>立方米</w:t>
            </w:r>
          </w:p>
          <w:p w14:paraId="22CAB8D6">
            <w:pPr>
              <w:pStyle w:val="6"/>
              <w:spacing w:before="47" w:line="219" w:lineRule="auto"/>
              <w:ind w:left="332"/>
            </w:pPr>
            <w:r>
              <w:rPr>
                <w:spacing w:val="-2"/>
              </w:rPr>
              <w:t>立方米</w:t>
            </w:r>
          </w:p>
          <w:p w14:paraId="0111D59E">
            <w:pPr>
              <w:pStyle w:val="6"/>
              <w:spacing w:before="66" w:line="219" w:lineRule="auto"/>
              <w:ind w:left="332"/>
            </w:pPr>
            <w:r>
              <w:rPr>
                <w:spacing w:val="-2"/>
              </w:rPr>
              <w:t>立方米</w:t>
            </w:r>
          </w:p>
          <w:p w14:paraId="66824429">
            <w:pPr>
              <w:pStyle w:val="6"/>
              <w:spacing w:before="57" w:line="219" w:lineRule="auto"/>
              <w:ind w:left="332"/>
            </w:pPr>
            <w:r>
              <w:rPr>
                <w:spacing w:val="-2"/>
              </w:rPr>
              <w:t>立方米</w:t>
            </w:r>
          </w:p>
          <w:p w14:paraId="1F0C1FC9">
            <w:pPr>
              <w:pStyle w:val="6"/>
              <w:spacing w:before="36" w:line="219" w:lineRule="auto"/>
              <w:ind w:left="332"/>
            </w:pPr>
            <w:r>
              <w:rPr>
                <w:spacing w:val="-2"/>
              </w:rPr>
              <w:t>立方米</w:t>
            </w:r>
          </w:p>
        </w:tc>
        <w:tc>
          <w:tcPr>
            <w:tcW w:w="809" w:type="dxa"/>
            <w:vAlign w:val="top"/>
          </w:tcPr>
          <w:p w14:paraId="06BA75C7">
            <w:pPr>
              <w:pStyle w:val="6"/>
              <w:spacing w:before="116" w:line="183" w:lineRule="auto"/>
              <w:ind w:left="304"/>
            </w:pPr>
            <w:r>
              <w:rPr>
                <w:spacing w:val="-3"/>
              </w:rPr>
              <w:t>00</w:t>
            </w:r>
          </w:p>
          <w:p w14:paraId="652F3CF6">
            <w:pPr>
              <w:pStyle w:val="6"/>
              <w:spacing w:before="100" w:line="184" w:lineRule="auto"/>
              <w:ind w:left="304"/>
            </w:pPr>
            <w:r>
              <w:rPr>
                <w:spacing w:val="-3"/>
              </w:rPr>
              <w:t>01</w:t>
            </w:r>
          </w:p>
          <w:p w14:paraId="24A4C617">
            <w:pPr>
              <w:pStyle w:val="6"/>
              <w:spacing w:before="91" w:line="183" w:lineRule="auto"/>
              <w:ind w:left="304"/>
            </w:pPr>
            <w:r>
              <w:rPr>
                <w:spacing w:val="-3"/>
              </w:rPr>
              <w:t>02</w:t>
            </w:r>
          </w:p>
          <w:p w14:paraId="020FF010">
            <w:pPr>
              <w:pStyle w:val="6"/>
              <w:spacing w:before="81" w:line="183" w:lineRule="auto"/>
              <w:ind w:left="304"/>
            </w:pPr>
            <w:r>
              <w:rPr>
                <w:spacing w:val="-3"/>
              </w:rPr>
              <w:t>03</w:t>
            </w:r>
          </w:p>
          <w:p w14:paraId="3E9D2880">
            <w:pPr>
              <w:pStyle w:val="6"/>
              <w:spacing w:before="112" w:line="183" w:lineRule="auto"/>
              <w:ind w:left="304"/>
            </w:pPr>
            <w:r>
              <w:rPr>
                <w:spacing w:val="-3"/>
              </w:rPr>
              <w:t>04</w:t>
            </w:r>
          </w:p>
          <w:p w14:paraId="2114E172">
            <w:pPr>
              <w:pStyle w:val="6"/>
              <w:spacing w:before="91" w:line="183" w:lineRule="auto"/>
              <w:ind w:left="304"/>
            </w:pPr>
            <w:r>
              <w:rPr>
                <w:spacing w:val="-3"/>
              </w:rPr>
              <w:t>05</w:t>
            </w:r>
          </w:p>
          <w:p w14:paraId="53FE1273">
            <w:pPr>
              <w:pStyle w:val="6"/>
              <w:spacing w:before="82" w:line="183" w:lineRule="auto"/>
              <w:ind w:left="304"/>
            </w:pPr>
            <w:r>
              <w:rPr>
                <w:spacing w:val="-3"/>
              </w:rPr>
              <w:t>06</w:t>
            </w:r>
          </w:p>
          <w:p w14:paraId="686CEF73">
            <w:pPr>
              <w:pStyle w:val="6"/>
              <w:spacing w:before="91" w:line="183" w:lineRule="auto"/>
              <w:ind w:left="304"/>
            </w:pPr>
            <w:r>
              <w:rPr>
                <w:spacing w:val="-3"/>
              </w:rPr>
              <w:t>07</w:t>
            </w:r>
          </w:p>
          <w:p w14:paraId="4B3F36E4">
            <w:pPr>
              <w:pStyle w:val="6"/>
              <w:spacing w:before="102" w:line="183" w:lineRule="auto"/>
              <w:ind w:left="304"/>
            </w:pPr>
            <w:r>
              <w:rPr>
                <w:spacing w:val="-3"/>
              </w:rPr>
              <w:t>08</w:t>
            </w:r>
          </w:p>
          <w:p w14:paraId="1DBF5E72">
            <w:pPr>
              <w:pStyle w:val="6"/>
              <w:spacing w:before="92" w:line="183" w:lineRule="auto"/>
              <w:ind w:left="304"/>
            </w:pPr>
            <w:r>
              <w:rPr>
                <w:spacing w:val="-3"/>
              </w:rPr>
              <w:t>09</w:t>
            </w:r>
          </w:p>
          <w:p w14:paraId="07C6B6DC">
            <w:pPr>
              <w:pStyle w:val="6"/>
              <w:spacing w:before="90" w:line="141" w:lineRule="exact"/>
              <w:ind w:left="304"/>
            </w:pPr>
            <w:r>
              <w:rPr>
                <w:spacing w:val="-6"/>
                <w:position w:val="-2"/>
              </w:rPr>
              <w:t>10</w:t>
            </w:r>
          </w:p>
        </w:tc>
        <w:tc>
          <w:tcPr>
            <w:tcW w:w="4860" w:type="dxa"/>
            <w:gridSpan w:val="4"/>
            <w:vAlign w:val="top"/>
          </w:tcPr>
          <w:p w14:paraId="5FB824A8">
            <w:pPr>
              <w:rPr>
                <w:rFonts w:ascii="Arial"/>
                <w:sz w:val="21"/>
              </w:rPr>
            </w:pPr>
          </w:p>
        </w:tc>
      </w:tr>
    </w:tbl>
    <w:p w14:paraId="14BC4613">
      <w:pPr>
        <w:spacing w:before="43" w:line="220" w:lineRule="auto"/>
        <w:ind w:left="4479"/>
        <w:rPr>
          <w:rFonts w:ascii="宋体" w:hAnsi="宋体" w:eastAsia="宋体" w:cs="宋体"/>
          <w:sz w:val="19"/>
          <w:szCs w:val="19"/>
        </w:rPr>
      </w:pPr>
      <w:r>
        <w:rPr>
          <w:rFonts w:ascii="宋体" w:hAnsi="宋体" w:eastAsia="宋体" w:cs="宋体"/>
          <w:spacing w:val="-2"/>
          <w:sz w:val="19"/>
          <w:szCs w:val="19"/>
        </w:rPr>
        <w:t>补充指标</w:t>
      </w:r>
    </w:p>
    <w:p w14:paraId="7A57F90C">
      <w:pPr>
        <w:spacing w:line="105" w:lineRule="auto"/>
        <w:rPr>
          <w:rFonts w:ascii="Arial"/>
          <w:sz w:val="2"/>
        </w:rPr>
      </w:pPr>
    </w:p>
    <w:tbl>
      <w:tblPr>
        <w:tblStyle w:val="5"/>
        <w:tblW w:w="9489" w:type="dxa"/>
        <w:tblInd w:w="9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92"/>
        <w:gridCol w:w="1229"/>
        <w:gridCol w:w="809"/>
        <w:gridCol w:w="2497"/>
        <w:gridCol w:w="2362"/>
      </w:tblGrid>
      <w:tr w14:paraId="1FE355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2592" w:type="dxa"/>
            <w:vAlign w:val="top"/>
          </w:tcPr>
          <w:p w14:paraId="4A2E4C2B">
            <w:pPr>
              <w:pStyle w:val="6"/>
              <w:spacing w:before="53" w:line="216" w:lineRule="auto"/>
              <w:ind w:left="954"/>
            </w:pPr>
            <w:r>
              <w:rPr>
                <w:spacing w:val="-2"/>
              </w:rPr>
              <w:t>指标名称</w:t>
            </w:r>
          </w:p>
        </w:tc>
        <w:tc>
          <w:tcPr>
            <w:tcW w:w="1229" w:type="dxa"/>
            <w:vAlign w:val="top"/>
          </w:tcPr>
          <w:p w14:paraId="27DA32F2">
            <w:pPr>
              <w:pStyle w:val="6"/>
              <w:spacing w:before="53" w:line="216" w:lineRule="auto"/>
              <w:ind w:left="242"/>
            </w:pPr>
            <w:r>
              <w:rPr>
                <w:spacing w:val="-2"/>
              </w:rPr>
              <w:t>计量单位</w:t>
            </w:r>
          </w:p>
        </w:tc>
        <w:tc>
          <w:tcPr>
            <w:tcW w:w="809" w:type="dxa"/>
            <w:vAlign w:val="top"/>
          </w:tcPr>
          <w:p w14:paraId="189EF053">
            <w:pPr>
              <w:pStyle w:val="6"/>
              <w:spacing w:before="52" w:line="217" w:lineRule="auto"/>
              <w:ind w:left="213"/>
            </w:pPr>
            <w:r>
              <w:rPr>
                <w:spacing w:val="-2"/>
              </w:rPr>
              <w:t>代码</w:t>
            </w:r>
          </w:p>
        </w:tc>
        <w:tc>
          <w:tcPr>
            <w:tcW w:w="2497" w:type="dxa"/>
            <w:vAlign w:val="top"/>
          </w:tcPr>
          <w:p w14:paraId="507234B4">
            <w:pPr>
              <w:pStyle w:val="6"/>
              <w:spacing w:before="51" w:line="218" w:lineRule="auto"/>
              <w:ind w:left="1064"/>
            </w:pPr>
            <w:r>
              <w:rPr>
                <w:spacing w:val="-2"/>
              </w:rPr>
              <w:t>本期</w:t>
            </w:r>
          </w:p>
        </w:tc>
        <w:tc>
          <w:tcPr>
            <w:tcW w:w="2362" w:type="dxa"/>
            <w:shd w:val="clear" w:color="auto" w:fill="D9D9D9"/>
            <w:vAlign w:val="top"/>
          </w:tcPr>
          <w:p w14:paraId="60289E0F">
            <w:pPr>
              <w:pStyle w:val="6"/>
              <w:spacing w:before="52" w:line="217" w:lineRule="auto"/>
              <w:ind w:left="817"/>
            </w:pPr>
            <w:r>
              <w:rPr>
                <w:spacing w:val="2"/>
              </w:rPr>
              <w:t>上年同期</w:t>
            </w:r>
          </w:p>
        </w:tc>
      </w:tr>
      <w:tr w14:paraId="15A8A1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8" w:hRule="atLeast"/>
        </w:trPr>
        <w:tc>
          <w:tcPr>
            <w:tcW w:w="2592" w:type="dxa"/>
            <w:vAlign w:val="top"/>
          </w:tcPr>
          <w:p w14:paraId="0FFC78F6">
            <w:pPr>
              <w:pStyle w:val="6"/>
              <w:spacing w:before="61" w:line="222" w:lineRule="auto"/>
              <w:ind w:left="1204"/>
            </w:pPr>
            <w:r>
              <w:t>甲</w:t>
            </w:r>
          </w:p>
        </w:tc>
        <w:tc>
          <w:tcPr>
            <w:tcW w:w="1229" w:type="dxa"/>
            <w:vAlign w:val="top"/>
          </w:tcPr>
          <w:p w14:paraId="4DDC8815">
            <w:pPr>
              <w:pStyle w:val="6"/>
              <w:spacing w:before="72" w:line="221" w:lineRule="auto"/>
              <w:ind w:left="512"/>
            </w:pPr>
            <w:r>
              <w:t>乙</w:t>
            </w:r>
          </w:p>
        </w:tc>
        <w:tc>
          <w:tcPr>
            <w:tcW w:w="809" w:type="dxa"/>
            <w:vAlign w:val="top"/>
          </w:tcPr>
          <w:p w14:paraId="4FA4460A">
            <w:pPr>
              <w:pStyle w:val="6"/>
              <w:spacing w:before="58" w:line="220" w:lineRule="auto"/>
              <w:ind w:left="303"/>
            </w:pPr>
            <w:r>
              <w:t>丙</w:t>
            </w:r>
          </w:p>
        </w:tc>
        <w:tc>
          <w:tcPr>
            <w:tcW w:w="2497" w:type="dxa"/>
            <w:vAlign w:val="top"/>
          </w:tcPr>
          <w:p w14:paraId="68D794F5">
            <w:pPr>
              <w:pStyle w:val="6"/>
              <w:spacing w:before="103" w:line="184" w:lineRule="auto"/>
              <w:ind w:left="1194"/>
            </w:pPr>
            <w:r>
              <w:t>1</w:t>
            </w:r>
          </w:p>
        </w:tc>
        <w:tc>
          <w:tcPr>
            <w:tcW w:w="2362" w:type="dxa"/>
            <w:shd w:val="clear" w:color="auto" w:fill="D9D9D9"/>
            <w:vAlign w:val="top"/>
          </w:tcPr>
          <w:p w14:paraId="31CF54E0">
            <w:pPr>
              <w:pStyle w:val="6"/>
              <w:spacing w:before="104" w:line="183" w:lineRule="auto"/>
              <w:ind w:left="1127"/>
            </w:pPr>
            <w:r>
              <w:t>2</w:t>
            </w:r>
          </w:p>
        </w:tc>
      </w:tr>
      <w:tr w14:paraId="7C9D54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8" w:hRule="atLeast"/>
        </w:trPr>
        <w:tc>
          <w:tcPr>
            <w:tcW w:w="2592" w:type="dxa"/>
            <w:vAlign w:val="top"/>
          </w:tcPr>
          <w:p w14:paraId="257BB290">
            <w:pPr>
              <w:pStyle w:val="6"/>
              <w:spacing w:before="60" w:line="219" w:lineRule="auto"/>
              <w:ind w:left="114"/>
            </w:pPr>
            <w:r>
              <w:rPr>
                <w:spacing w:val="-2"/>
              </w:rPr>
              <w:t>外排水量</w:t>
            </w:r>
          </w:p>
          <w:p w14:paraId="0C4A160F">
            <w:pPr>
              <w:pStyle w:val="6"/>
              <w:spacing w:before="56" w:line="219" w:lineRule="auto"/>
              <w:ind w:left="114"/>
            </w:pPr>
            <w:r>
              <w:rPr>
                <w:spacing w:val="-2"/>
              </w:rPr>
              <w:t>重复用水量</w:t>
            </w:r>
          </w:p>
          <w:p w14:paraId="355FE46E">
            <w:pPr>
              <w:pStyle w:val="6"/>
              <w:spacing w:before="46" w:line="270" w:lineRule="exact"/>
              <w:ind w:left="114"/>
            </w:pPr>
            <w:r>
              <w:rPr>
                <w:spacing w:val="3"/>
                <w:position w:val="6"/>
              </w:rPr>
              <w:t>直流冷却水量(河湖水)</w:t>
            </w:r>
          </w:p>
          <w:p w14:paraId="4CBAAD7B">
            <w:pPr>
              <w:pStyle w:val="6"/>
              <w:spacing w:line="219" w:lineRule="auto"/>
              <w:ind w:left="114"/>
            </w:pPr>
            <w:r>
              <w:rPr>
                <w:spacing w:val="3"/>
              </w:rPr>
              <w:t>直流冷却水量(海水)</w:t>
            </w:r>
          </w:p>
          <w:p w14:paraId="21D6961A">
            <w:pPr>
              <w:pStyle w:val="6"/>
              <w:spacing w:before="56" w:line="213" w:lineRule="auto"/>
              <w:ind w:left="114"/>
            </w:pPr>
            <w:r>
              <w:rPr>
                <w:spacing w:val="-2"/>
              </w:rPr>
              <w:t>污水处理量</w:t>
            </w:r>
          </w:p>
        </w:tc>
        <w:tc>
          <w:tcPr>
            <w:tcW w:w="1229" w:type="dxa"/>
            <w:vAlign w:val="top"/>
          </w:tcPr>
          <w:p w14:paraId="2D5266E3">
            <w:pPr>
              <w:pStyle w:val="6"/>
              <w:spacing w:before="60" w:line="270" w:lineRule="exact"/>
              <w:ind w:left="332"/>
            </w:pPr>
            <w:r>
              <w:rPr>
                <w:spacing w:val="-2"/>
                <w:position w:val="6"/>
              </w:rPr>
              <w:t>立方米</w:t>
            </w:r>
          </w:p>
          <w:p w14:paraId="2CE75028">
            <w:pPr>
              <w:pStyle w:val="6"/>
              <w:spacing w:line="219" w:lineRule="auto"/>
              <w:ind w:left="332"/>
            </w:pPr>
            <w:r>
              <w:rPr>
                <w:spacing w:val="-2"/>
              </w:rPr>
              <w:t>立方米</w:t>
            </w:r>
          </w:p>
          <w:p w14:paraId="5C25A8B4">
            <w:pPr>
              <w:pStyle w:val="6"/>
              <w:spacing w:before="36" w:line="219" w:lineRule="auto"/>
              <w:ind w:left="332"/>
            </w:pPr>
            <w:r>
              <w:rPr>
                <w:spacing w:val="-2"/>
              </w:rPr>
              <w:t>立方米</w:t>
            </w:r>
          </w:p>
          <w:p w14:paraId="5BE8503D">
            <w:pPr>
              <w:pStyle w:val="6"/>
              <w:spacing w:before="56" w:line="219" w:lineRule="auto"/>
              <w:ind w:left="332"/>
            </w:pPr>
            <w:r>
              <w:rPr>
                <w:spacing w:val="-2"/>
              </w:rPr>
              <w:t>立方米</w:t>
            </w:r>
          </w:p>
          <w:p w14:paraId="54E9C66C">
            <w:pPr>
              <w:pStyle w:val="6"/>
              <w:spacing w:before="46" w:line="219" w:lineRule="auto"/>
              <w:ind w:left="332"/>
            </w:pPr>
            <w:r>
              <w:rPr>
                <w:spacing w:val="-2"/>
              </w:rPr>
              <w:t>立方米</w:t>
            </w:r>
          </w:p>
        </w:tc>
        <w:tc>
          <w:tcPr>
            <w:tcW w:w="809" w:type="dxa"/>
            <w:vAlign w:val="top"/>
          </w:tcPr>
          <w:p w14:paraId="0BB4966E">
            <w:pPr>
              <w:pStyle w:val="6"/>
              <w:spacing w:before="125" w:line="184" w:lineRule="auto"/>
              <w:ind w:left="303"/>
            </w:pPr>
            <w:r>
              <w:rPr>
                <w:spacing w:val="-6"/>
              </w:rPr>
              <w:t>11</w:t>
            </w:r>
          </w:p>
          <w:p w14:paraId="5C17F60E">
            <w:pPr>
              <w:pStyle w:val="6"/>
              <w:spacing w:before="90" w:line="184" w:lineRule="auto"/>
              <w:ind w:left="303"/>
            </w:pPr>
            <w:r>
              <w:rPr>
                <w:spacing w:val="-6"/>
              </w:rPr>
              <w:t>12</w:t>
            </w:r>
          </w:p>
          <w:p w14:paraId="57D6C27D">
            <w:pPr>
              <w:pStyle w:val="6"/>
              <w:spacing w:before="90" w:line="184" w:lineRule="auto"/>
              <w:ind w:left="303"/>
            </w:pPr>
            <w:r>
              <w:rPr>
                <w:spacing w:val="-6"/>
              </w:rPr>
              <w:t>13</w:t>
            </w:r>
          </w:p>
          <w:p w14:paraId="5D7A6326">
            <w:pPr>
              <w:pStyle w:val="6"/>
              <w:spacing w:before="90" w:line="184" w:lineRule="auto"/>
              <w:ind w:left="303"/>
            </w:pPr>
            <w:r>
              <w:rPr>
                <w:spacing w:val="-6"/>
              </w:rPr>
              <w:t>14</w:t>
            </w:r>
          </w:p>
          <w:p w14:paraId="15AD3005">
            <w:pPr>
              <w:pStyle w:val="6"/>
              <w:spacing w:before="71" w:line="152" w:lineRule="exact"/>
              <w:ind w:left="303"/>
            </w:pPr>
            <w:r>
              <w:rPr>
                <w:spacing w:val="-6"/>
                <w:position w:val="-2"/>
              </w:rPr>
              <w:t>15</w:t>
            </w:r>
          </w:p>
        </w:tc>
        <w:tc>
          <w:tcPr>
            <w:tcW w:w="4859" w:type="dxa"/>
            <w:gridSpan w:val="2"/>
            <w:vAlign w:val="top"/>
          </w:tcPr>
          <w:p w14:paraId="5F036ADA">
            <w:pPr>
              <w:rPr>
                <w:rFonts w:ascii="Arial"/>
                <w:sz w:val="21"/>
              </w:rPr>
            </w:pPr>
          </w:p>
        </w:tc>
      </w:tr>
    </w:tbl>
    <w:p w14:paraId="4234ABA3">
      <w:pPr>
        <w:spacing w:before="12" w:line="231" w:lineRule="auto"/>
        <w:rPr>
          <w:rFonts w:ascii="宋体" w:hAnsi="宋体" w:eastAsia="宋体" w:cs="宋体"/>
          <w:sz w:val="19"/>
          <w:szCs w:val="19"/>
        </w:rPr>
      </w:pPr>
      <w:r>
        <w:rPr>
          <w:rFonts w:ascii="宋体" w:hAnsi="宋体" w:eastAsia="宋体" w:cs="宋体"/>
          <w:spacing w:val="-7"/>
          <w:position w:val="1"/>
          <w:sz w:val="19"/>
          <w:szCs w:val="19"/>
        </w:rPr>
        <w:t>单位负责人</w:t>
      </w:r>
      <w:r>
        <w:rPr>
          <w:rFonts w:ascii="宋体" w:hAnsi="宋体" w:eastAsia="宋体" w:cs="宋体"/>
          <w:spacing w:val="1"/>
          <w:position w:val="1"/>
          <w:sz w:val="19"/>
          <w:szCs w:val="19"/>
        </w:rPr>
        <w:t xml:space="preserve">         </w:t>
      </w:r>
      <w:r>
        <w:rPr>
          <w:rFonts w:ascii="宋体" w:hAnsi="宋体" w:eastAsia="宋体" w:cs="宋体"/>
          <w:spacing w:val="-7"/>
          <w:sz w:val="19"/>
          <w:szCs w:val="19"/>
        </w:rPr>
        <w:t>统计负责人：          填表人：          联系电话：            报</w:t>
      </w:r>
      <w:r>
        <w:rPr>
          <w:rFonts w:ascii="宋体" w:hAnsi="宋体" w:eastAsia="宋体" w:cs="宋体"/>
          <w:spacing w:val="-8"/>
          <w:sz w:val="19"/>
          <w:szCs w:val="19"/>
        </w:rPr>
        <w:t>出日期：20</w:t>
      </w:r>
      <w:r>
        <w:rPr>
          <w:rFonts w:ascii="宋体" w:hAnsi="宋体" w:eastAsia="宋体" w:cs="宋体"/>
          <w:spacing w:val="10"/>
          <w:sz w:val="19"/>
          <w:szCs w:val="19"/>
        </w:rPr>
        <w:t xml:space="preserve">  </w:t>
      </w:r>
      <w:r>
        <w:rPr>
          <w:rFonts w:ascii="宋体" w:hAnsi="宋体" w:eastAsia="宋体" w:cs="宋体"/>
          <w:spacing w:val="-8"/>
          <w:sz w:val="19"/>
          <w:szCs w:val="19"/>
        </w:rPr>
        <w:t>年</w:t>
      </w:r>
      <w:r>
        <w:rPr>
          <w:rFonts w:ascii="宋体" w:hAnsi="宋体" w:eastAsia="宋体" w:cs="宋体"/>
          <w:spacing w:val="10"/>
          <w:sz w:val="19"/>
          <w:szCs w:val="19"/>
        </w:rPr>
        <w:t xml:space="preserve">  </w:t>
      </w:r>
      <w:r>
        <w:rPr>
          <w:rFonts w:ascii="宋体" w:hAnsi="宋体" w:eastAsia="宋体" w:cs="宋体"/>
          <w:spacing w:val="-8"/>
          <w:sz w:val="19"/>
          <w:szCs w:val="19"/>
        </w:rPr>
        <w:t>月   日</w:t>
      </w:r>
    </w:p>
    <w:p w14:paraId="78F0E9BA">
      <w:pPr>
        <w:spacing w:before="271" w:line="219" w:lineRule="auto"/>
        <w:ind w:left="50"/>
        <w:rPr>
          <w:rFonts w:ascii="宋体" w:hAnsi="宋体" w:eastAsia="宋体" w:cs="宋体"/>
          <w:sz w:val="18"/>
          <w:szCs w:val="18"/>
        </w:rPr>
      </w:pPr>
      <w:r>
        <w:rPr>
          <w:rFonts w:ascii="宋体" w:hAnsi="宋体" w:eastAsia="宋体" w:cs="宋体"/>
          <w:spacing w:val="-4"/>
          <w:sz w:val="18"/>
          <w:szCs w:val="18"/>
        </w:rPr>
        <w:t>说明：1.统计范围：辖区内规模以上工业法人单位</w:t>
      </w:r>
      <w:r>
        <w:rPr>
          <w:rFonts w:hint="eastAsia" w:ascii="宋体" w:hAnsi="宋体" w:eastAsia="宋体" w:cs="宋体"/>
          <w:spacing w:val="-6"/>
          <w:sz w:val="18"/>
          <w:szCs w:val="18"/>
          <w:lang w:eastAsia="zh-CN"/>
        </w:rPr>
        <w:t>和规模以上工业个体经营户</w:t>
      </w:r>
      <w:r>
        <w:rPr>
          <w:rFonts w:ascii="宋体" w:hAnsi="宋体" w:eastAsia="宋体" w:cs="宋体"/>
          <w:spacing w:val="-4"/>
          <w:sz w:val="18"/>
          <w:szCs w:val="18"/>
        </w:rPr>
        <w:t>。</w:t>
      </w:r>
    </w:p>
    <w:p w14:paraId="0961D9D8">
      <w:pPr>
        <w:spacing w:before="67" w:line="219" w:lineRule="auto"/>
        <w:jc w:val="right"/>
        <w:rPr>
          <w:rFonts w:ascii="宋体" w:hAnsi="宋体" w:eastAsia="宋体" w:cs="宋体"/>
          <w:sz w:val="18"/>
          <w:szCs w:val="18"/>
        </w:rPr>
      </w:pPr>
      <w:r>
        <w:rPr>
          <w:rFonts w:ascii="宋体" w:hAnsi="宋体" w:eastAsia="宋体" w:cs="宋体"/>
          <w:spacing w:val="7"/>
          <w:sz w:val="18"/>
          <w:szCs w:val="18"/>
        </w:rPr>
        <w:t>2.报送日期及方式：调查单位上半年7月10日、下半年次年1月10日12:</w:t>
      </w:r>
      <w:r>
        <w:rPr>
          <w:rFonts w:ascii="宋体" w:hAnsi="宋体" w:eastAsia="宋体" w:cs="宋体"/>
          <w:spacing w:val="6"/>
          <w:sz w:val="18"/>
          <w:szCs w:val="18"/>
        </w:rPr>
        <w:t>00前独立自行网上填报；市级统计机构上</w:t>
      </w:r>
    </w:p>
    <w:p w14:paraId="6DCEF117">
      <w:pPr>
        <w:spacing w:before="67" w:line="219" w:lineRule="auto"/>
        <w:ind w:left="2170"/>
        <w:rPr>
          <w:rFonts w:ascii="宋体" w:hAnsi="宋体" w:eastAsia="宋体" w:cs="宋体"/>
          <w:sz w:val="18"/>
          <w:szCs w:val="18"/>
        </w:rPr>
      </w:pPr>
      <w:r>
        <w:rPr>
          <w:rFonts w:ascii="宋体" w:hAnsi="宋体" w:eastAsia="宋体" w:cs="宋体"/>
          <w:spacing w:val="10"/>
          <w:sz w:val="18"/>
          <w:szCs w:val="18"/>
        </w:rPr>
        <w:t>半年7月15日、下半年次年1月15日12:00前完成</w:t>
      </w:r>
      <w:r>
        <w:rPr>
          <w:rFonts w:ascii="宋体" w:hAnsi="宋体" w:eastAsia="宋体" w:cs="宋体"/>
          <w:spacing w:val="9"/>
          <w:sz w:val="18"/>
          <w:szCs w:val="18"/>
        </w:rPr>
        <w:t>数据审核、验收、上报。</w:t>
      </w:r>
    </w:p>
    <w:p w14:paraId="674215B3">
      <w:pPr>
        <w:spacing w:before="45" w:line="219" w:lineRule="auto"/>
        <w:ind w:left="580"/>
        <w:rPr>
          <w:rFonts w:ascii="宋体" w:hAnsi="宋体" w:eastAsia="宋体" w:cs="宋体"/>
          <w:sz w:val="18"/>
          <w:szCs w:val="18"/>
        </w:rPr>
      </w:pPr>
      <w:r>
        <w:rPr>
          <w:rFonts w:ascii="宋体" w:hAnsi="宋体" w:eastAsia="宋体" w:cs="宋体"/>
          <w:spacing w:val="1"/>
          <w:sz w:val="18"/>
          <w:szCs w:val="18"/>
        </w:rPr>
        <w:t>3.本表为半年报，上半年报送1-6月份累计数据，下半年报送1-12月份累计数据。</w:t>
      </w:r>
    </w:p>
    <w:p w14:paraId="447C506F">
      <w:pPr>
        <w:spacing w:before="76" w:line="258" w:lineRule="auto"/>
        <w:ind w:left="719" w:right="145" w:hanging="139"/>
        <w:rPr>
          <w:rFonts w:ascii="宋体" w:hAnsi="宋体" w:eastAsia="宋体" w:cs="宋体"/>
          <w:sz w:val="18"/>
          <w:szCs w:val="18"/>
        </w:rPr>
      </w:pPr>
      <w:r>
        <w:rPr>
          <w:rFonts w:ascii="宋体" w:hAnsi="宋体" w:eastAsia="宋体" w:cs="宋体"/>
          <w:spacing w:val="-1"/>
          <w:sz w:val="18"/>
          <w:szCs w:val="18"/>
        </w:rPr>
        <w:t>4.本表中“上年同期”数据统一由国家统计</w:t>
      </w:r>
      <w:r>
        <w:rPr>
          <w:rFonts w:ascii="宋体" w:hAnsi="宋体" w:eastAsia="宋体" w:cs="宋体"/>
          <w:spacing w:val="-2"/>
          <w:sz w:val="18"/>
          <w:szCs w:val="18"/>
        </w:rPr>
        <w:t>局在数据处理软件中复制，调查单位和各级统计机构原则上不得修改；</w:t>
      </w:r>
      <w:r>
        <w:rPr>
          <w:rFonts w:ascii="宋体" w:hAnsi="宋体" w:eastAsia="宋体" w:cs="宋体"/>
          <w:sz w:val="18"/>
          <w:szCs w:val="18"/>
        </w:rPr>
        <w:t xml:space="preserve"> 本年新增的调查单位自行填报“上年同期”数据；涉及兼并、重组等情况的企业，经国家统</w:t>
      </w:r>
      <w:r>
        <w:rPr>
          <w:rFonts w:ascii="宋体" w:hAnsi="宋体" w:eastAsia="宋体" w:cs="宋体"/>
          <w:spacing w:val="-1"/>
          <w:sz w:val="18"/>
          <w:szCs w:val="18"/>
        </w:rPr>
        <w:t>计局批准后，调查单</w:t>
      </w:r>
      <w:r>
        <w:rPr>
          <w:rFonts w:ascii="宋体" w:hAnsi="宋体" w:eastAsia="宋体" w:cs="宋体"/>
          <w:sz w:val="18"/>
          <w:szCs w:val="18"/>
        </w:rPr>
        <w:t xml:space="preserve"> </w:t>
      </w:r>
      <w:r>
        <w:rPr>
          <w:rFonts w:ascii="宋体" w:hAnsi="宋体" w:eastAsia="宋体" w:cs="宋体"/>
          <w:spacing w:val="-1"/>
          <w:sz w:val="18"/>
          <w:szCs w:val="18"/>
        </w:rPr>
        <w:t>位可调整同期数；本年新增指标的同期数由调查单位</w:t>
      </w:r>
      <w:r>
        <w:rPr>
          <w:rFonts w:ascii="宋体" w:hAnsi="宋体" w:eastAsia="宋体" w:cs="宋体"/>
          <w:spacing w:val="-2"/>
          <w:sz w:val="18"/>
          <w:szCs w:val="18"/>
        </w:rPr>
        <w:t>自行填报。</w:t>
      </w:r>
    </w:p>
    <w:p w14:paraId="02E8107F">
      <w:pPr>
        <w:spacing w:before="66" w:line="253" w:lineRule="auto"/>
        <w:ind w:left="2369" w:right="159" w:hanging="1789"/>
        <w:rPr>
          <w:rFonts w:ascii="宋体" w:hAnsi="宋体" w:eastAsia="宋体" w:cs="宋体"/>
          <w:sz w:val="18"/>
          <w:szCs w:val="18"/>
        </w:rPr>
      </w:pPr>
      <w:r>
        <w:rPr>
          <w:rFonts w:ascii="宋体" w:hAnsi="宋体" w:eastAsia="宋体" w:cs="宋体"/>
          <w:spacing w:val="16"/>
          <w:sz w:val="18"/>
          <w:szCs w:val="18"/>
        </w:rPr>
        <w:t>5.审核关系：(1)合计=地表淡水+地下淡水+自来水+海水+陆地苦咸水+矿井水+雨水</w:t>
      </w:r>
      <w:r>
        <w:rPr>
          <w:rFonts w:ascii="宋体" w:hAnsi="宋体" w:eastAsia="宋体" w:cs="宋体"/>
          <w:spacing w:val="15"/>
          <w:sz w:val="18"/>
          <w:szCs w:val="18"/>
        </w:rPr>
        <w:t>+再生水(中水)+海水</w:t>
      </w:r>
      <w:r>
        <w:rPr>
          <w:rFonts w:ascii="宋体" w:hAnsi="宋体" w:eastAsia="宋体" w:cs="宋体"/>
          <w:sz w:val="18"/>
          <w:szCs w:val="18"/>
        </w:rPr>
        <w:t xml:space="preserve"> </w:t>
      </w:r>
      <w:r>
        <w:rPr>
          <w:rFonts w:ascii="宋体" w:hAnsi="宋体" w:eastAsia="宋体" w:cs="宋体"/>
          <w:spacing w:val="12"/>
          <w:sz w:val="18"/>
          <w:szCs w:val="18"/>
        </w:rPr>
        <w:t>淡化水+其他水</w:t>
      </w:r>
    </w:p>
    <w:p w14:paraId="1A13F0B7">
      <w:pPr>
        <w:spacing w:before="77" w:line="271" w:lineRule="exact"/>
        <w:ind w:left="1589"/>
        <w:rPr>
          <w:rFonts w:ascii="宋体" w:hAnsi="宋体" w:eastAsia="宋体" w:cs="宋体"/>
          <w:sz w:val="18"/>
          <w:szCs w:val="18"/>
        </w:rPr>
      </w:pPr>
      <w:r>
        <w:rPr>
          <w:rFonts w:ascii="宋体" w:hAnsi="宋体" w:eastAsia="宋体" w:cs="宋体"/>
          <w:spacing w:val="8"/>
          <w:position w:val="6"/>
          <w:sz w:val="18"/>
          <w:szCs w:val="18"/>
        </w:rPr>
        <w:t>(2)取水量合计+污水处理量&gt;外供水量合计+外</w:t>
      </w:r>
      <w:r>
        <w:rPr>
          <w:rFonts w:ascii="宋体" w:hAnsi="宋体" w:eastAsia="宋体" w:cs="宋体"/>
          <w:spacing w:val="7"/>
          <w:position w:val="6"/>
          <w:sz w:val="18"/>
          <w:szCs w:val="18"/>
        </w:rPr>
        <w:t>排水量</w:t>
      </w:r>
    </w:p>
    <w:p w14:paraId="77E7E7FC">
      <w:pPr>
        <w:spacing w:line="219" w:lineRule="auto"/>
        <w:ind w:left="580"/>
        <w:rPr>
          <w:rFonts w:ascii="宋体" w:hAnsi="宋体" w:eastAsia="宋体" w:cs="宋体"/>
          <w:sz w:val="18"/>
          <w:szCs w:val="18"/>
        </w:rPr>
      </w:pPr>
      <w:r>
        <w:rPr>
          <w:rFonts w:ascii="宋体" w:hAnsi="宋体" w:eastAsia="宋体" w:cs="宋体"/>
          <w:spacing w:val="-8"/>
          <w:sz w:val="18"/>
          <w:szCs w:val="18"/>
        </w:rPr>
        <w:t>6.企业用新水量说明：</w:t>
      </w:r>
    </w:p>
    <w:p w14:paraId="5CB0D5D7">
      <w:pPr>
        <w:spacing w:before="65" w:line="219" w:lineRule="auto"/>
        <w:ind w:left="719"/>
        <w:rPr>
          <w:rFonts w:ascii="宋体" w:hAnsi="宋体" w:eastAsia="宋体" w:cs="宋体"/>
          <w:sz w:val="18"/>
          <w:szCs w:val="18"/>
        </w:rPr>
      </w:pPr>
      <w:r>
        <w:rPr>
          <w:rFonts w:ascii="宋体" w:hAnsi="宋体" w:eastAsia="宋体" w:cs="宋体"/>
          <w:spacing w:val="1"/>
          <w:sz w:val="18"/>
          <w:szCs w:val="18"/>
        </w:rPr>
        <w:t>(1)没有外供水的企业：用新水量=取水量合计</w:t>
      </w:r>
    </w:p>
    <w:p w14:paraId="212ECFBB">
      <w:pPr>
        <w:spacing w:before="66" w:line="254" w:lineRule="auto"/>
        <w:ind w:left="719" w:right="1539"/>
        <w:rPr>
          <w:rFonts w:ascii="宋体" w:hAnsi="宋体" w:eastAsia="宋体" w:cs="宋体"/>
          <w:sz w:val="18"/>
          <w:szCs w:val="18"/>
        </w:rPr>
      </w:pPr>
      <w:r>
        <w:rPr>
          <w:rFonts w:ascii="宋体" w:hAnsi="宋体" w:eastAsia="宋体" w:cs="宋体"/>
          <w:spacing w:val="1"/>
          <w:sz w:val="18"/>
          <w:szCs w:val="18"/>
        </w:rPr>
        <w:t>(2)有外供水的企业，比如自来水厂、矿泉水生产企业，用新水量=取水量合计</w:t>
      </w:r>
      <w:r>
        <w:rPr>
          <w:rFonts w:ascii="宋体" w:hAnsi="宋体" w:eastAsia="宋体" w:cs="宋体"/>
          <w:sz w:val="18"/>
          <w:szCs w:val="18"/>
        </w:rPr>
        <w:t xml:space="preserve">一外供水量合计 </w:t>
      </w:r>
      <w:r>
        <w:rPr>
          <w:rFonts w:ascii="宋体" w:hAnsi="宋体" w:eastAsia="宋体" w:cs="宋体"/>
          <w:spacing w:val="2"/>
          <w:sz w:val="18"/>
          <w:szCs w:val="18"/>
        </w:rPr>
        <w:t>(3)有污水处理设备的企业取水量不包括污水和自用的再</w:t>
      </w:r>
      <w:r>
        <w:rPr>
          <w:rFonts w:ascii="宋体" w:hAnsi="宋体" w:eastAsia="宋体" w:cs="宋体"/>
          <w:spacing w:val="1"/>
          <w:sz w:val="18"/>
          <w:szCs w:val="18"/>
        </w:rPr>
        <w:t>生水(中水)</w:t>
      </w:r>
    </w:p>
    <w:p w14:paraId="2CF37AC3">
      <w:pPr>
        <w:spacing w:before="36" w:line="290" w:lineRule="exact"/>
        <w:ind w:left="580"/>
        <w:rPr>
          <w:rFonts w:ascii="宋体" w:hAnsi="宋体" w:eastAsia="宋体" w:cs="宋体"/>
          <w:sz w:val="18"/>
          <w:szCs w:val="18"/>
        </w:rPr>
      </w:pPr>
      <w:r>
        <w:rPr>
          <w:rFonts w:ascii="宋体" w:hAnsi="宋体" w:eastAsia="宋体" w:cs="宋体"/>
          <w:spacing w:val="-3"/>
          <w:position w:val="8"/>
          <w:sz w:val="18"/>
          <w:szCs w:val="18"/>
        </w:rPr>
        <w:t>7.用新水量计算说明：汇总国家或地区的用新水量的计算公式如下：</w:t>
      </w:r>
    </w:p>
    <w:p w14:paraId="72EA045B">
      <w:pPr>
        <w:spacing w:before="1" w:line="218" w:lineRule="auto"/>
        <w:ind w:left="719"/>
        <w:rPr>
          <w:rFonts w:ascii="宋体" w:hAnsi="宋体" w:eastAsia="宋体" w:cs="宋体"/>
          <w:sz w:val="18"/>
          <w:szCs w:val="18"/>
        </w:rPr>
      </w:pPr>
      <w:r>
        <w:rPr>
          <w:rFonts w:ascii="宋体" w:hAnsi="宋体" w:eastAsia="宋体" w:cs="宋体"/>
          <w:spacing w:val="3"/>
          <w:sz w:val="18"/>
          <w:szCs w:val="18"/>
        </w:rPr>
        <w:t>用新水量汇总数=取水量汇总数一外供水量汇总数</w:t>
      </w:r>
    </w:p>
    <w:p w14:paraId="0B5F798E">
      <w:pPr>
        <w:spacing w:before="67" w:line="219" w:lineRule="auto"/>
        <w:ind w:left="580"/>
        <w:rPr>
          <w:rFonts w:ascii="宋体" w:hAnsi="宋体" w:eastAsia="宋体" w:cs="宋体"/>
          <w:sz w:val="18"/>
          <w:szCs w:val="18"/>
        </w:rPr>
      </w:pPr>
      <w:r>
        <w:rPr>
          <w:rFonts w:ascii="宋体" w:hAnsi="宋体" w:eastAsia="宋体" w:cs="宋体"/>
          <w:spacing w:val="-2"/>
          <w:sz w:val="18"/>
          <w:szCs w:val="18"/>
        </w:rPr>
        <w:t>8.重复用水率=重复用水量/(用新水量+重复用水量)×100%</w:t>
      </w:r>
    </w:p>
    <w:p w14:paraId="3DF9D6D7">
      <w:pPr>
        <w:spacing w:before="56" w:line="226" w:lineRule="auto"/>
        <w:ind w:left="580" w:right="156"/>
        <w:rPr>
          <w:rFonts w:ascii="宋体" w:hAnsi="宋体" w:eastAsia="宋体" w:cs="宋体"/>
          <w:sz w:val="18"/>
          <w:szCs w:val="18"/>
        </w:rPr>
      </w:pPr>
      <w:r>
        <w:rPr>
          <w:rFonts w:ascii="宋体" w:hAnsi="宋体" w:eastAsia="宋体" w:cs="宋体"/>
          <w:spacing w:val="-1"/>
          <w:sz w:val="18"/>
          <w:szCs w:val="18"/>
        </w:rPr>
        <w:t>9.取水量不包括为转供给其他企业、居民等而取的自来水，外供水量不包括取来直接转供给</w:t>
      </w:r>
      <w:r>
        <w:rPr>
          <w:rFonts w:ascii="宋体" w:hAnsi="宋体" w:eastAsia="宋体" w:cs="宋体"/>
          <w:spacing w:val="-2"/>
          <w:sz w:val="18"/>
          <w:szCs w:val="18"/>
        </w:rPr>
        <w:t>其他企业、居民等的自</w:t>
      </w:r>
      <w:r>
        <w:rPr>
          <w:rFonts w:ascii="宋体" w:hAnsi="宋体" w:eastAsia="宋体" w:cs="宋体"/>
          <w:sz w:val="18"/>
          <w:szCs w:val="18"/>
        </w:rPr>
        <w:t xml:space="preserve"> </w:t>
      </w:r>
      <w:r>
        <w:rPr>
          <w:rFonts w:ascii="宋体" w:hAnsi="宋体" w:eastAsia="宋体" w:cs="宋体"/>
          <w:spacing w:val="-8"/>
          <w:sz w:val="18"/>
          <w:szCs w:val="18"/>
        </w:rPr>
        <w:t>来水。</w:t>
      </w:r>
    </w:p>
    <w:p w14:paraId="1BBDFD6C">
      <w:pPr>
        <w:spacing w:line="226" w:lineRule="auto"/>
        <w:rPr>
          <w:rFonts w:ascii="宋体" w:hAnsi="宋体" w:eastAsia="宋体" w:cs="宋体"/>
          <w:sz w:val="18"/>
          <w:szCs w:val="18"/>
        </w:rPr>
        <w:sectPr>
          <w:type w:val="continuous"/>
          <w:pgSz w:w="11910" w:h="16840"/>
          <w:pgMar w:top="1055" w:right="1112" w:bottom="0" w:left="1120" w:header="876" w:footer="0" w:gutter="0"/>
          <w:cols w:equalWidth="0" w:num="1">
            <w:col w:w="9678"/>
          </w:cols>
        </w:sectPr>
      </w:pPr>
    </w:p>
    <w:p w14:paraId="7D95A460">
      <w:pPr>
        <w:pStyle w:val="2"/>
        <w:spacing w:line="258" w:lineRule="auto"/>
      </w:pPr>
      <w:r>
        <w:pict>
          <v:rect id="_x0000_s1027" o:spid="_x0000_s1027" o:spt="1" style="position:absolute;left:0pt;margin-left:60.85pt;margin-top:52.75pt;height:0.5pt;width:20.25pt;mso-position-horizontal-relative:page;mso-position-vertical-relative:page;z-index:251670528;mso-width-relative:page;mso-height-relative:page;" fillcolor="#000000" filled="t" stroked="f" coordsize="21600,21600" o:allowincell="f">
            <v:path/>
            <v:fill on="t" focussize="0,0"/>
            <v:stroke on="f"/>
            <v:imagedata o:title=""/>
            <o:lock v:ext="edit"/>
            <v:textbox>
              <w:txbxContent>
                <w:p w14:paraId="6AC6C3C4"/>
              </w:txbxContent>
            </v:textbox>
          </v:rect>
        </w:pict>
      </w:r>
    </w:p>
    <w:p w14:paraId="02E0E73B">
      <w:pPr>
        <w:pStyle w:val="2"/>
        <w:spacing w:line="259" w:lineRule="auto"/>
      </w:pPr>
    </w:p>
    <w:p w14:paraId="7D13D427">
      <w:pPr>
        <w:pStyle w:val="2"/>
        <w:spacing w:line="259" w:lineRule="auto"/>
      </w:pPr>
    </w:p>
    <w:p w14:paraId="2D84893A">
      <w:pPr>
        <w:spacing w:before="100" w:line="219" w:lineRule="auto"/>
        <w:ind w:left="2376"/>
        <w:rPr>
          <w:rFonts w:ascii="宋体" w:hAnsi="宋体" w:eastAsia="宋体" w:cs="宋体"/>
          <w:sz w:val="31"/>
          <w:szCs w:val="31"/>
        </w:rPr>
      </w:pPr>
      <w:bookmarkStart w:id="8" w:name="bookmark11"/>
      <w:bookmarkEnd w:id="8"/>
      <w:r>
        <w:rPr>
          <w:rFonts w:ascii="宋体" w:hAnsi="宋体" w:eastAsia="宋体" w:cs="宋体"/>
          <w:b/>
          <w:bCs/>
          <w:spacing w:val="2"/>
          <w:sz w:val="31"/>
          <w:szCs w:val="31"/>
        </w:rPr>
        <w:t>非工业重点耗能单位能源消费情况</w:t>
      </w:r>
    </w:p>
    <w:p w14:paraId="2971E3C8">
      <w:pPr>
        <w:spacing w:before="292" w:line="221" w:lineRule="auto"/>
        <w:ind w:left="7042"/>
        <w:rPr>
          <w:rFonts w:ascii="宋体" w:hAnsi="宋体" w:eastAsia="宋体" w:cs="宋体"/>
          <w:sz w:val="18"/>
          <w:szCs w:val="18"/>
        </w:rPr>
      </w:pPr>
      <w:r>
        <w:rPr>
          <w:rFonts w:ascii="宋体" w:hAnsi="宋体" w:eastAsia="宋体" w:cs="宋体"/>
          <w:spacing w:val="-2"/>
          <w:sz w:val="18"/>
          <w:szCs w:val="18"/>
        </w:rPr>
        <w:t>表</w:t>
      </w:r>
      <w:r>
        <w:rPr>
          <w:rFonts w:ascii="宋体" w:hAnsi="宋体" w:eastAsia="宋体" w:cs="宋体"/>
          <w:spacing w:val="28"/>
          <w:sz w:val="18"/>
          <w:szCs w:val="18"/>
        </w:rPr>
        <w:t xml:space="preserve">   </w:t>
      </w:r>
      <w:r>
        <w:rPr>
          <w:rFonts w:ascii="宋体" w:hAnsi="宋体" w:eastAsia="宋体" w:cs="宋体"/>
          <w:spacing w:val="-2"/>
          <w:sz w:val="18"/>
          <w:szCs w:val="18"/>
        </w:rPr>
        <w:t>号：2</w:t>
      </w:r>
      <w:r>
        <w:rPr>
          <w:rFonts w:ascii="宋体" w:hAnsi="宋体" w:eastAsia="宋体" w:cs="宋体"/>
          <w:spacing w:val="80"/>
          <w:sz w:val="18"/>
          <w:szCs w:val="18"/>
        </w:rPr>
        <w:t xml:space="preserve"> </w:t>
      </w:r>
      <w:r>
        <w:rPr>
          <w:rFonts w:ascii="宋体" w:hAnsi="宋体" w:eastAsia="宋体" w:cs="宋体"/>
          <w:spacing w:val="-2"/>
          <w:sz w:val="18"/>
          <w:szCs w:val="18"/>
        </w:rPr>
        <w:t>0  5</w:t>
      </w:r>
      <w:r>
        <w:rPr>
          <w:rFonts w:ascii="宋体" w:hAnsi="宋体" w:eastAsia="宋体" w:cs="宋体"/>
          <w:spacing w:val="51"/>
          <w:sz w:val="18"/>
          <w:szCs w:val="18"/>
        </w:rPr>
        <w:t xml:space="preserve"> </w:t>
      </w:r>
      <w:r>
        <w:rPr>
          <w:rFonts w:ascii="宋体" w:hAnsi="宋体" w:eastAsia="宋体" w:cs="宋体"/>
          <w:spacing w:val="-2"/>
          <w:sz w:val="18"/>
          <w:szCs w:val="18"/>
        </w:rPr>
        <w:t>—</w:t>
      </w:r>
      <w:r>
        <w:rPr>
          <w:rFonts w:ascii="宋体" w:hAnsi="宋体" w:eastAsia="宋体" w:cs="宋体"/>
          <w:spacing w:val="55"/>
          <w:sz w:val="18"/>
          <w:szCs w:val="18"/>
        </w:rPr>
        <w:t xml:space="preserve"> </w:t>
      </w:r>
      <w:r>
        <w:rPr>
          <w:rFonts w:ascii="宋体" w:hAnsi="宋体" w:eastAsia="宋体" w:cs="宋体"/>
          <w:spacing w:val="-2"/>
          <w:sz w:val="18"/>
          <w:szCs w:val="18"/>
        </w:rPr>
        <w:t>5</w:t>
      </w:r>
      <w:r>
        <w:rPr>
          <w:rFonts w:ascii="宋体" w:hAnsi="宋体" w:eastAsia="宋体" w:cs="宋体"/>
          <w:spacing w:val="61"/>
          <w:sz w:val="18"/>
          <w:szCs w:val="18"/>
        </w:rPr>
        <w:t xml:space="preserve"> </w:t>
      </w:r>
      <w:r>
        <w:rPr>
          <w:rFonts w:ascii="宋体" w:hAnsi="宋体" w:eastAsia="宋体" w:cs="宋体"/>
          <w:spacing w:val="-2"/>
          <w:sz w:val="18"/>
          <w:szCs w:val="18"/>
        </w:rPr>
        <w:t>表</w:t>
      </w:r>
    </w:p>
    <w:p w14:paraId="4AF8936A">
      <w:pPr>
        <w:spacing w:before="52" w:line="219" w:lineRule="auto"/>
        <w:ind w:left="42"/>
        <w:rPr>
          <w:rFonts w:ascii="宋体" w:hAnsi="宋体" w:eastAsia="宋体" w:cs="宋体"/>
          <w:sz w:val="18"/>
          <w:szCs w:val="18"/>
        </w:rPr>
      </w:pPr>
      <w:r>
        <w:rPr>
          <w:rFonts w:ascii="宋体" w:hAnsi="宋体" w:eastAsia="宋体" w:cs="宋体"/>
          <w:spacing w:val="-2"/>
          <w:sz w:val="18"/>
          <w:szCs w:val="18"/>
        </w:rPr>
        <w:t xml:space="preserve">统一社会信用代码口□□          </w:t>
      </w:r>
      <w:r>
        <w:rPr>
          <w:rFonts w:ascii="宋体" w:hAnsi="宋体" w:eastAsia="宋体" w:cs="宋体"/>
          <w:spacing w:val="-2"/>
          <w:position w:val="2"/>
          <w:sz w:val="15"/>
          <w:szCs w:val="15"/>
        </w:rPr>
        <w:t xml:space="preserve">][                                                        </w:t>
      </w:r>
      <w:r>
        <w:rPr>
          <w:rFonts w:ascii="宋体" w:hAnsi="宋体" w:eastAsia="宋体" w:cs="宋体"/>
          <w:spacing w:val="-2"/>
          <w:sz w:val="18"/>
          <w:szCs w:val="18"/>
        </w:rPr>
        <w:t>制定机关：国  家</w:t>
      </w:r>
      <w:r>
        <w:rPr>
          <w:rFonts w:ascii="宋体" w:hAnsi="宋体" w:eastAsia="宋体" w:cs="宋体"/>
          <w:spacing w:val="39"/>
          <w:sz w:val="18"/>
          <w:szCs w:val="18"/>
        </w:rPr>
        <w:t xml:space="preserve"> </w:t>
      </w:r>
      <w:r>
        <w:rPr>
          <w:rFonts w:ascii="宋体" w:hAnsi="宋体" w:eastAsia="宋体" w:cs="宋体"/>
          <w:spacing w:val="-2"/>
          <w:sz w:val="18"/>
          <w:szCs w:val="18"/>
        </w:rPr>
        <w:t>统</w:t>
      </w:r>
      <w:r>
        <w:rPr>
          <w:rFonts w:ascii="宋体" w:hAnsi="宋体" w:eastAsia="宋体" w:cs="宋体"/>
          <w:spacing w:val="27"/>
          <w:sz w:val="18"/>
          <w:szCs w:val="18"/>
        </w:rPr>
        <w:t xml:space="preserve"> </w:t>
      </w:r>
      <w:r>
        <w:rPr>
          <w:rFonts w:ascii="宋体" w:hAnsi="宋体" w:eastAsia="宋体" w:cs="宋体"/>
          <w:spacing w:val="-2"/>
          <w:sz w:val="18"/>
          <w:szCs w:val="18"/>
        </w:rPr>
        <w:t>计</w:t>
      </w:r>
      <w:r>
        <w:rPr>
          <w:rFonts w:ascii="宋体" w:hAnsi="宋体" w:eastAsia="宋体" w:cs="宋体"/>
          <w:spacing w:val="30"/>
          <w:sz w:val="18"/>
          <w:szCs w:val="18"/>
        </w:rPr>
        <w:t xml:space="preserve"> </w:t>
      </w:r>
      <w:r>
        <w:rPr>
          <w:rFonts w:ascii="宋体" w:hAnsi="宋体" w:eastAsia="宋体" w:cs="宋体"/>
          <w:spacing w:val="-2"/>
          <w:sz w:val="18"/>
          <w:szCs w:val="18"/>
        </w:rPr>
        <w:t>局</w:t>
      </w:r>
    </w:p>
    <w:p w14:paraId="040C3B98">
      <w:pPr>
        <w:spacing w:before="47" w:line="219" w:lineRule="auto"/>
        <w:ind w:left="7042"/>
        <w:rPr>
          <w:rFonts w:ascii="宋体" w:hAnsi="宋体" w:eastAsia="宋体" w:cs="宋体"/>
          <w:sz w:val="18"/>
          <w:szCs w:val="18"/>
        </w:rPr>
      </w:pPr>
      <w:r>
        <w:rPr>
          <w:rFonts w:ascii="宋体" w:hAnsi="宋体" w:eastAsia="宋体" w:cs="宋体"/>
          <w:spacing w:val="-7"/>
          <w:sz w:val="18"/>
          <w:szCs w:val="18"/>
        </w:rPr>
        <w:t>文    号：国统字〔202</w:t>
      </w:r>
      <w:r>
        <w:rPr>
          <w:rFonts w:hint="eastAsia" w:ascii="宋体" w:hAnsi="宋体" w:eastAsia="宋体" w:cs="宋体"/>
          <w:spacing w:val="-7"/>
          <w:sz w:val="18"/>
          <w:szCs w:val="18"/>
          <w:lang w:val="en-US" w:eastAsia="zh-CN"/>
        </w:rPr>
        <w:t>4</w:t>
      </w:r>
      <w:r>
        <w:rPr>
          <w:rFonts w:ascii="宋体" w:hAnsi="宋体" w:eastAsia="宋体" w:cs="宋体"/>
          <w:spacing w:val="-7"/>
          <w:sz w:val="18"/>
          <w:szCs w:val="18"/>
        </w:rPr>
        <w:t>〕</w:t>
      </w:r>
      <w:r>
        <w:rPr>
          <w:rFonts w:hint="eastAsia" w:ascii="宋体" w:hAnsi="宋体" w:eastAsia="宋体" w:cs="宋体"/>
          <w:spacing w:val="-7"/>
          <w:sz w:val="18"/>
          <w:szCs w:val="18"/>
          <w:lang w:val="en-US" w:eastAsia="zh-CN"/>
        </w:rPr>
        <w:t>77</w:t>
      </w:r>
      <w:r>
        <w:rPr>
          <w:rFonts w:ascii="宋体" w:hAnsi="宋体" w:eastAsia="宋体" w:cs="宋体"/>
          <w:spacing w:val="-7"/>
          <w:sz w:val="18"/>
          <w:szCs w:val="18"/>
        </w:rPr>
        <w:t>号</w:t>
      </w:r>
    </w:p>
    <w:p w14:paraId="4E864DD9">
      <w:pPr>
        <w:spacing w:before="18" w:line="190" w:lineRule="auto"/>
        <w:ind w:left="32"/>
        <w:rPr>
          <w:rFonts w:ascii="宋体" w:hAnsi="宋体" w:eastAsia="宋体" w:cs="宋体"/>
          <w:sz w:val="20"/>
          <w:szCs w:val="20"/>
        </w:rPr>
      </w:pPr>
      <w:r>
        <w:rPr>
          <w:rFonts w:ascii="宋体" w:hAnsi="宋体" w:eastAsia="宋体" w:cs="宋体"/>
          <w:position w:val="2"/>
          <w:sz w:val="20"/>
          <w:szCs w:val="20"/>
        </w:rPr>
        <w:t xml:space="preserve">单位详细名称                             </w:t>
      </w:r>
      <w:r>
        <w:rPr>
          <w:rFonts w:ascii="宋体" w:hAnsi="宋体" w:eastAsia="宋体" w:cs="宋体"/>
          <w:position w:val="-3"/>
          <w:sz w:val="20"/>
          <w:szCs w:val="20"/>
        </w:rPr>
        <w:t xml:space="preserve">20     </w:t>
      </w:r>
      <w:r>
        <w:rPr>
          <w:rFonts w:ascii="宋体" w:hAnsi="宋体" w:eastAsia="宋体" w:cs="宋体"/>
          <w:position w:val="-1"/>
          <w:sz w:val="20"/>
          <w:szCs w:val="20"/>
        </w:rPr>
        <w:t>年   1一季</w:t>
      </w:r>
      <w:r>
        <w:rPr>
          <w:rFonts w:ascii="宋体" w:hAnsi="宋体" w:eastAsia="宋体" w:cs="宋体"/>
          <w:spacing w:val="4"/>
          <w:position w:val="-1"/>
          <w:sz w:val="20"/>
          <w:szCs w:val="20"/>
        </w:rPr>
        <w:t xml:space="preserve">            </w:t>
      </w:r>
      <w:r>
        <w:rPr>
          <w:rFonts w:ascii="宋体" w:hAnsi="宋体" w:eastAsia="宋体" w:cs="宋体"/>
          <w:position w:val="-1"/>
          <w:sz w:val="20"/>
          <w:szCs w:val="20"/>
        </w:rPr>
        <w:t>有效期至：202</w:t>
      </w:r>
      <w:r>
        <w:rPr>
          <w:rFonts w:hint="eastAsia" w:ascii="宋体" w:hAnsi="宋体" w:eastAsia="宋体" w:cs="宋体"/>
          <w:position w:val="-1"/>
          <w:sz w:val="20"/>
          <w:szCs w:val="20"/>
          <w:lang w:val="en-US" w:eastAsia="zh-CN"/>
        </w:rPr>
        <w:t>6</w:t>
      </w:r>
      <w:r>
        <w:rPr>
          <w:rFonts w:ascii="宋体" w:hAnsi="宋体" w:eastAsia="宋体" w:cs="宋体"/>
          <w:position w:val="-1"/>
          <w:sz w:val="20"/>
          <w:szCs w:val="20"/>
        </w:rPr>
        <w:t>年1月</w:t>
      </w:r>
    </w:p>
    <w:tbl>
      <w:tblPr>
        <w:tblStyle w:val="5"/>
        <w:tblW w:w="9430"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90"/>
        <w:gridCol w:w="1130"/>
        <w:gridCol w:w="570"/>
        <w:gridCol w:w="910"/>
        <w:gridCol w:w="1010"/>
        <w:gridCol w:w="990"/>
        <w:gridCol w:w="1010"/>
        <w:gridCol w:w="2520"/>
      </w:tblGrid>
      <w:tr w14:paraId="3FA909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1290" w:type="dxa"/>
            <w:vMerge w:val="restart"/>
            <w:tcBorders>
              <w:left w:val="nil"/>
              <w:bottom w:val="nil"/>
            </w:tcBorders>
            <w:vAlign w:val="top"/>
          </w:tcPr>
          <w:p w14:paraId="3C05A89E">
            <w:pPr>
              <w:spacing w:line="345" w:lineRule="auto"/>
              <w:rPr>
                <w:rFonts w:ascii="Arial"/>
                <w:sz w:val="21"/>
              </w:rPr>
            </w:pPr>
          </w:p>
          <w:p w14:paraId="1819E0ED">
            <w:pPr>
              <w:pStyle w:val="6"/>
              <w:spacing w:before="55" w:line="221" w:lineRule="auto"/>
              <w:ind w:left="300"/>
              <w:rPr>
                <w:sz w:val="17"/>
                <w:szCs w:val="17"/>
              </w:rPr>
            </w:pPr>
            <w:r>
              <w:rPr>
                <w:spacing w:val="2"/>
                <w:sz w:val="17"/>
                <w:szCs w:val="17"/>
              </w:rPr>
              <w:t>能源名称</w:t>
            </w:r>
          </w:p>
        </w:tc>
        <w:tc>
          <w:tcPr>
            <w:tcW w:w="1130" w:type="dxa"/>
            <w:vMerge w:val="restart"/>
            <w:tcBorders>
              <w:bottom w:val="nil"/>
            </w:tcBorders>
            <w:vAlign w:val="top"/>
          </w:tcPr>
          <w:p w14:paraId="1AEA4D25">
            <w:pPr>
              <w:spacing w:line="345" w:lineRule="auto"/>
              <w:rPr>
                <w:rFonts w:ascii="Arial"/>
                <w:sz w:val="21"/>
              </w:rPr>
            </w:pPr>
          </w:p>
          <w:p w14:paraId="788F008B">
            <w:pPr>
              <w:pStyle w:val="6"/>
              <w:spacing w:before="55" w:line="220" w:lineRule="auto"/>
              <w:ind w:left="215"/>
              <w:rPr>
                <w:sz w:val="17"/>
                <w:szCs w:val="17"/>
              </w:rPr>
            </w:pPr>
            <w:r>
              <w:rPr>
                <w:spacing w:val="-2"/>
                <w:sz w:val="17"/>
                <w:szCs w:val="17"/>
              </w:rPr>
              <w:t>计量单位</w:t>
            </w:r>
          </w:p>
        </w:tc>
        <w:tc>
          <w:tcPr>
            <w:tcW w:w="570" w:type="dxa"/>
            <w:vMerge w:val="restart"/>
            <w:tcBorders>
              <w:bottom w:val="nil"/>
            </w:tcBorders>
            <w:textDirection w:val="tbRlV"/>
            <w:vAlign w:val="top"/>
          </w:tcPr>
          <w:p w14:paraId="32D28002">
            <w:pPr>
              <w:pStyle w:val="6"/>
              <w:spacing w:before="195" w:line="216" w:lineRule="auto"/>
              <w:ind w:left="256"/>
              <w:rPr>
                <w:sz w:val="17"/>
                <w:szCs w:val="17"/>
              </w:rPr>
            </w:pPr>
            <w:r>
              <w:rPr>
                <w:sz w:val="17"/>
                <w:szCs w:val="17"/>
              </w:rPr>
              <w:t>代</w:t>
            </w:r>
            <w:r>
              <w:rPr>
                <w:spacing w:val="29"/>
                <w:sz w:val="17"/>
                <w:szCs w:val="17"/>
              </w:rPr>
              <w:t xml:space="preserve"> </w:t>
            </w:r>
            <w:r>
              <w:rPr>
                <w:sz w:val="17"/>
                <w:szCs w:val="17"/>
              </w:rPr>
              <w:t>码</w:t>
            </w:r>
          </w:p>
        </w:tc>
        <w:tc>
          <w:tcPr>
            <w:tcW w:w="1920" w:type="dxa"/>
            <w:gridSpan w:val="2"/>
            <w:vAlign w:val="top"/>
          </w:tcPr>
          <w:p w14:paraId="1D93A620">
            <w:pPr>
              <w:pStyle w:val="6"/>
              <w:spacing w:before="121" w:line="219" w:lineRule="auto"/>
              <w:ind w:left="665"/>
              <w:rPr>
                <w:sz w:val="17"/>
                <w:szCs w:val="17"/>
              </w:rPr>
            </w:pPr>
            <w:r>
              <w:rPr>
                <w:sz w:val="17"/>
                <w:szCs w:val="17"/>
              </w:rPr>
              <w:t>1一本季</w:t>
            </w:r>
          </w:p>
        </w:tc>
        <w:tc>
          <w:tcPr>
            <w:tcW w:w="2000" w:type="dxa"/>
            <w:gridSpan w:val="2"/>
            <w:shd w:val="clear" w:color="auto" w:fill="D9D9D9"/>
            <w:vAlign w:val="top"/>
          </w:tcPr>
          <w:p w14:paraId="1021E70C">
            <w:pPr>
              <w:pStyle w:val="6"/>
              <w:spacing w:before="122" w:line="219" w:lineRule="auto"/>
              <w:ind w:left="655"/>
              <w:rPr>
                <w:sz w:val="17"/>
                <w:szCs w:val="17"/>
              </w:rPr>
            </w:pPr>
            <w:r>
              <w:rPr>
                <w:spacing w:val="-2"/>
                <w:sz w:val="17"/>
                <w:szCs w:val="17"/>
              </w:rPr>
              <w:t>上年同期</w:t>
            </w:r>
          </w:p>
        </w:tc>
        <w:tc>
          <w:tcPr>
            <w:tcW w:w="2520" w:type="dxa"/>
            <w:vMerge w:val="restart"/>
            <w:tcBorders>
              <w:bottom w:val="nil"/>
              <w:right w:val="nil"/>
            </w:tcBorders>
            <w:vAlign w:val="top"/>
          </w:tcPr>
          <w:p w14:paraId="7B1CCD48">
            <w:pPr>
              <w:spacing w:line="344" w:lineRule="auto"/>
              <w:rPr>
                <w:rFonts w:ascii="Arial"/>
                <w:sz w:val="21"/>
              </w:rPr>
            </w:pPr>
          </w:p>
          <w:p w14:paraId="2B844AB9">
            <w:pPr>
              <w:pStyle w:val="6"/>
              <w:spacing w:before="56" w:line="219" w:lineRule="auto"/>
              <w:ind w:left="535"/>
              <w:rPr>
                <w:sz w:val="17"/>
                <w:szCs w:val="17"/>
              </w:rPr>
            </w:pPr>
            <w:r>
              <w:rPr>
                <w:spacing w:val="-1"/>
                <w:sz w:val="17"/>
                <w:szCs w:val="17"/>
              </w:rPr>
              <w:t>参考折标准煤系数</w:t>
            </w:r>
          </w:p>
        </w:tc>
      </w:tr>
      <w:tr w14:paraId="46C2E5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1290" w:type="dxa"/>
            <w:vMerge w:val="continue"/>
            <w:tcBorders>
              <w:top w:val="nil"/>
              <w:left w:val="nil"/>
            </w:tcBorders>
            <w:vAlign w:val="top"/>
          </w:tcPr>
          <w:p w14:paraId="3C159180">
            <w:pPr>
              <w:rPr>
                <w:rFonts w:ascii="Arial"/>
                <w:sz w:val="21"/>
              </w:rPr>
            </w:pPr>
          </w:p>
        </w:tc>
        <w:tc>
          <w:tcPr>
            <w:tcW w:w="1130" w:type="dxa"/>
            <w:vMerge w:val="continue"/>
            <w:tcBorders>
              <w:top w:val="nil"/>
            </w:tcBorders>
            <w:vAlign w:val="top"/>
          </w:tcPr>
          <w:p w14:paraId="7915BD3F">
            <w:pPr>
              <w:rPr>
                <w:rFonts w:ascii="Arial"/>
                <w:sz w:val="21"/>
              </w:rPr>
            </w:pPr>
          </w:p>
        </w:tc>
        <w:tc>
          <w:tcPr>
            <w:tcW w:w="570" w:type="dxa"/>
            <w:vMerge w:val="continue"/>
            <w:tcBorders>
              <w:top w:val="nil"/>
            </w:tcBorders>
            <w:textDirection w:val="tbRlV"/>
            <w:vAlign w:val="top"/>
          </w:tcPr>
          <w:p w14:paraId="3171A58E">
            <w:pPr>
              <w:rPr>
                <w:rFonts w:ascii="Arial"/>
                <w:sz w:val="21"/>
              </w:rPr>
            </w:pPr>
          </w:p>
        </w:tc>
        <w:tc>
          <w:tcPr>
            <w:tcW w:w="910" w:type="dxa"/>
            <w:vAlign w:val="top"/>
          </w:tcPr>
          <w:p w14:paraId="73219781">
            <w:pPr>
              <w:pStyle w:val="6"/>
              <w:spacing w:before="198" w:line="220" w:lineRule="auto"/>
              <w:ind w:left="195"/>
              <w:rPr>
                <w:sz w:val="17"/>
                <w:szCs w:val="17"/>
              </w:rPr>
            </w:pPr>
            <w:r>
              <w:rPr>
                <w:spacing w:val="-3"/>
                <w:sz w:val="17"/>
                <w:szCs w:val="17"/>
              </w:rPr>
              <w:t>消费量</w:t>
            </w:r>
          </w:p>
        </w:tc>
        <w:tc>
          <w:tcPr>
            <w:tcW w:w="1010" w:type="dxa"/>
            <w:vAlign w:val="top"/>
          </w:tcPr>
          <w:p w14:paraId="3E14D944">
            <w:pPr>
              <w:pStyle w:val="6"/>
              <w:spacing w:before="77" w:line="241" w:lineRule="auto"/>
              <w:ind w:left="284" w:right="175" w:hanging="130"/>
              <w:rPr>
                <w:sz w:val="17"/>
                <w:szCs w:val="17"/>
              </w:rPr>
            </w:pPr>
            <w:r>
              <w:rPr>
                <w:spacing w:val="-3"/>
                <w:sz w:val="17"/>
                <w:szCs w:val="17"/>
              </w:rPr>
              <w:t>消费金额</w:t>
            </w:r>
            <w:r>
              <w:rPr>
                <w:sz w:val="17"/>
                <w:szCs w:val="17"/>
              </w:rPr>
              <w:t xml:space="preserve"> (千元</w:t>
            </w:r>
          </w:p>
        </w:tc>
        <w:tc>
          <w:tcPr>
            <w:tcW w:w="990" w:type="dxa"/>
            <w:shd w:val="clear" w:color="auto" w:fill="D9D9D9"/>
            <w:vAlign w:val="top"/>
          </w:tcPr>
          <w:p w14:paraId="5B1991B9">
            <w:pPr>
              <w:pStyle w:val="6"/>
              <w:spacing w:before="198" w:line="220" w:lineRule="auto"/>
              <w:ind w:left="235"/>
              <w:rPr>
                <w:sz w:val="17"/>
                <w:szCs w:val="17"/>
              </w:rPr>
            </w:pPr>
            <w:r>
              <w:rPr>
                <w:spacing w:val="-3"/>
                <w:sz w:val="17"/>
                <w:szCs w:val="17"/>
              </w:rPr>
              <w:t>消费量</w:t>
            </w:r>
          </w:p>
        </w:tc>
        <w:tc>
          <w:tcPr>
            <w:tcW w:w="1010" w:type="dxa"/>
            <w:shd w:val="clear" w:color="auto" w:fill="D8D8D8"/>
            <w:vAlign w:val="top"/>
          </w:tcPr>
          <w:p w14:paraId="6E9F95EE">
            <w:pPr>
              <w:pStyle w:val="6"/>
              <w:spacing w:before="88" w:line="235" w:lineRule="auto"/>
              <w:ind w:left="285" w:right="174" w:hanging="130"/>
              <w:rPr>
                <w:sz w:val="17"/>
                <w:szCs w:val="17"/>
              </w:rPr>
            </w:pPr>
            <w:r>
              <w:rPr>
                <w:spacing w:val="-3"/>
                <w:sz w:val="17"/>
                <w:szCs w:val="17"/>
              </w:rPr>
              <w:t>消费金额</w:t>
            </w:r>
            <w:r>
              <w:rPr>
                <w:sz w:val="17"/>
                <w:szCs w:val="17"/>
              </w:rPr>
              <w:t xml:space="preserve"> (千元</w:t>
            </w:r>
          </w:p>
        </w:tc>
        <w:tc>
          <w:tcPr>
            <w:tcW w:w="2520" w:type="dxa"/>
            <w:vMerge w:val="continue"/>
            <w:tcBorders>
              <w:top w:val="nil"/>
              <w:right w:val="nil"/>
            </w:tcBorders>
            <w:vAlign w:val="top"/>
          </w:tcPr>
          <w:p w14:paraId="669BDA5F">
            <w:pPr>
              <w:rPr>
                <w:rFonts w:ascii="Arial"/>
                <w:sz w:val="21"/>
              </w:rPr>
            </w:pPr>
          </w:p>
        </w:tc>
      </w:tr>
      <w:tr w14:paraId="6D7BB0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1290" w:type="dxa"/>
            <w:tcBorders>
              <w:left w:val="nil"/>
            </w:tcBorders>
            <w:vAlign w:val="top"/>
          </w:tcPr>
          <w:p w14:paraId="1FBA1DA2">
            <w:pPr>
              <w:pStyle w:val="6"/>
              <w:spacing w:before="71" w:line="222" w:lineRule="auto"/>
              <w:ind w:left="560"/>
              <w:rPr>
                <w:sz w:val="17"/>
                <w:szCs w:val="17"/>
              </w:rPr>
            </w:pPr>
            <w:r>
              <w:rPr>
                <w:sz w:val="17"/>
                <w:szCs w:val="17"/>
              </w:rPr>
              <w:t>甲</w:t>
            </w:r>
          </w:p>
        </w:tc>
        <w:tc>
          <w:tcPr>
            <w:tcW w:w="1130" w:type="dxa"/>
            <w:vAlign w:val="top"/>
          </w:tcPr>
          <w:p w14:paraId="4BD5C5BC">
            <w:pPr>
              <w:pStyle w:val="6"/>
              <w:spacing w:before="82" w:line="224" w:lineRule="auto"/>
              <w:ind w:left="475"/>
              <w:rPr>
                <w:sz w:val="17"/>
                <w:szCs w:val="17"/>
              </w:rPr>
            </w:pPr>
            <w:r>
              <w:rPr>
                <w:sz w:val="17"/>
                <w:szCs w:val="17"/>
              </w:rPr>
              <w:t>乙</w:t>
            </w:r>
          </w:p>
        </w:tc>
        <w:tc>
          <w:tcPr>
            <w:tcW w:w="570" w:type="dxa"/>
            <w:vAlign w:val="top"/>
          </w:tcPr>
          <w:p w14:paraId="3671EDF8">
            <w:pPr>
              <w:pStyle w:val="6"/>
              <w:spacing w:before="69" w:line="220" w:lineRule="auto"/>
              <w:ind w:left="195"/>
              <w:rPr>
                <w:sz w:val="17"/>
                <w:szCs w:val="17"/>
              </w:rPr>
            </w:pPr>
            <w:r>
              <w:rPr>
                <w:sz w:val="17"/>
                <w:szCs w:val="17"/>
              </w:rPr>
              <w:t>丙</w:t>
            </w:r>
          </w:p>
        </w:tc>
        <w:tc>
          <w:tcPr>
            <w:tcW w:w="910" w:type="dxa"/>
            <w:vAlign w:val="top"/>
          </w:tcPr>
          <w:p w14:paraId="0F578FB1">
            <w:pPr>
              <w:pStyle w:val="6"/>
              <w:spacing w:before="111" w:line="184" w:lineRule="auto"/>
              <w:ind w:left="405"/>
              <w:rPr>
                <w:sz w:val="17"/>
                <w:szCs w:val="17"/>
              </w:rPr>
            </w:pPr>
            <w:r>
              <w:rPr>
                <w:sz w:val="17"/>
                <w:szCs w:val="17"/>
              </w:rPr>
              <w:t>1</w:t>
            </w:r>
          </w:p>
        </w:tc>
        <w:tc>
          <w:tcPr>
            <w:tcW w:w="1010" w:type="dxa"/>
            <w:vAlign w:val="top"/>
          </w:tcPr>
          <w:p w14:paraId="16F127FD">
            <w:pPr>
              <w:pStyle w:val="6"/>
              <w:spacing w:before="112" w:line="183" w:lineRule="auto"/>
              <w:ind w:left="455"/>
              <w:rPr>
                <w:sz w:val="17"/>
                <w:szCs w:val="17"/>
              </w:rPr>
            </w:pPr>
            <w:r>
              <w:rPr>
                <w:sz w:val="17"/>
                <w:szCs w:val="17"/>
              </w:rPr>
              <w:t>2</w:t>
            </w:r>
          </w:p>
        </w:tc>
        <w:tc>
          <w:tcPr>
            <w:tcW w:w="990" w:type="dxa"/>
            <w:shd w:val="clear" w:color="auto" w:fill="D9D9D9"/>
            <w:vAlign w:val="top"/>
          </w:tcPr>
          <w:p w14:paraId="0D83474C">
            <w:pPr>
              <w:pStyle w:val="6"/>
              <w:spacing w:before="112" w:line="183" w:lineRule="auto"/>
              <w:ind w:left="445"/>
              <w:rPr>
                <w:sz w:val="17"/>
                <w:szCs w:val="17"/>
              </w:rPr>
            </w:pPr>
            <w:r>
              <w:rPr>
                <w:sz w:val="17"/>
                <w:szCs w:val="17"/>
              </w:rPr>
              <w:t>3</w:t>
            </w:r>
          </w:p>
        </w:tc>
        <w:tc>
          <w:tcPr>
            <w:tcW w:w="1010" w:type="dxa"/>
            <w:shd w:val="clear" w:color="auto" w:fill="D9D9D9"/>
            <w:vAlign w:val="top"/>
          </w:tcPr>
          <w:p w14:paraId="26C438EB">
            <w:pPr>
              <w:pStyle w:val="6"/>
              <w:spacing w:before="112" w:line="183" w:lineRule="auto"/>
              <w:ind w:left="455"/>
              <w:rPr>
                <w:sz w:val="17"/>
                <w:szCs w:val="17"/>
              </w:rPr>
            </w:pPr>
            <w:r>
              <w:rPr>
                <w:sz w:val="17"/>
                <w:szCs w:val="17"/>
              </w:rPr>
              <w:t>4</w:t>
            </w:r>
          </w:p>
        </w:tc>
        <w:tc>
          <w:tcPr>
            <w:tcW w:w="2520" w:type="dxa"/>
            <w:tcBorders>
              <w:right w:val="nil"/>
            </w:tcBorders>
            <w:vAlign w:val="top"/>
          </w:tcPr>
          <w:p w14:paraId="4695319A">
            <w:pPr>
              <w:pStyle w:val="6"/>
              <w:spacing w:before="70" w:line="221" w:lineRule="auto"/>
              <w:ind w:left="1175"/>
              <w:rPr>
                <w:sz w:val="17"/>
                <w:szCs w:val="17"/>
              </w:rPr>
            </w:pPr>
            <w:r>
              <w:rPr>
                <w:sz w:val="17"/>
                <w:szCs w:val="17"/>
              </w:rPr>
              <w:t>丁</w:t>
            </w:r>
          </w:p>
        </w:tc>
      </w:tr>
      <w:tr w14:paraId="15BD5E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3" w:hRule="atLeast"/>
        </w:trPr>
        <w:tc>
          <w:tcPr>
            <w:tcW w:w="1290" w:type="dxa"/>
            <w:tcBorders>
              <w:left w:val="nil"/>
            </w:tcBorders>
            <w:vAlign w:val="top"/>
          </w:tcPr>
          <w:p w14:paraId="366DB4B0">
            <w:pPr>
              <w:pStyle w:val="6"/>
              <w:spacing w:before="100" w:line="219" w:lineRule="auto"/>
              <w:ind w:left="110"/>
              <w:rPr>
                <w:sz w:val="17"/>
                <w:szCs w:val="17"/>
              </w:rPr>
            </w:pPr>
            <w:r>
              <w:rPr>
                <w:spacing w:val="12"/>
                <w:sz w:val="17"/>
                <w:szCs w:val="17"/>
              </w:rPr>
              <w:t>电力</w:t>
            </w:r>
          </w:p>
          <w:p w14:paraId="61F09C2E">
            <w:pPr>
              <w:pStyle w:val="6"/>
              <w:spacing w:before="118" w:line="220" w:lineRule="auto"/>
              <w:ind w:left="110"/>
              <w:rPr>
                <w:sz w:val="17"/>
                <w:szCs w:val="17"/>
              </w:rPr>
            </w:pPr>
            <w:r>
              <w:rPr>
                <w:spacing w:val="-2"/>
                <w:sz w:val="17"/>
                <w:szCs w:val="17"/>
              </w:rPr>
              <w:t>煤炭</w:t>
            </w:r>
          </w:p>
          <w:p w14:paraId="02EA084E">
            <w:pPr>
              <w:pStyle w:val="6"/>
              <w:spacing w:before="127" w:line="221" w:lineRule="auto"/>
              <w:ind w:left="110"/>
              <w:rPr>
                <w:sz w:val="17"/>
                <w:szCs w:val="17"/>
              </w:rPr>
            </w:pPr>
            <w:r>
              <w:rPr>
                <w:spacing w:val="-2"/>
                <w:sz w:val="17"/>
                <w:szCs w:val="17"/>
              </w:rPr>
              <w:t>焦炭</w:t>
            </w:r>
          </w:p>
          <w:p w14:paraId="527A682A">
            <w:pPr>
              <w:pStyle w:val="6"/>
              <w:spacing w:before="106" w:line="220" w:lineRule="auto"/>
              <w:ind w:left="110"/>
              <w:rPr>
                <w:sz w:val="17"/>
                <w:szCs w:val="17"/>
              </w:rPr>
            </w:pPr>
            <w:r>
              <w:rPr>
                <w:spacing w:val="-2"/>
                <w:sz w:val="17"/>
                <w:szCs w:val="17"/>
              </w:rPr>
              <w:t>煤气</w:t>
            </w:r>
          </w:p>
          <w:p w14:paraId="0A73D5A6">
            <w:pPr>
              <w:pStyle w:val="6"/>
              <w:spacing w:before="127" w:line="220" w:lineRule="auto"/>
              <w:ind w:left="110"/>
              <w:rPr>
                <w:sz w:val="17"/>
                <w:szCs w:val="17"/>
              </w:rPr>
            </w:pPr>
            <w:r>
              <w:rPr>
                <w:spacing w:val="3"/>
                <w:sz w:val="17"/>
                <w:szCs w:val="17"/>
              </w:rPr>
              <w:t>天然气</w:t>
            </w:r>
          </w:p>
          <w:p w14:paraId="590DF78B">
            <w:pPr>
              <w:pStyle w:val="6"/>
              <w:spacing w:before="117" w:line="220" w:lineRule="auto"/>
              <w:ind w:left="110"/>
              <w:rPr>
                <w:sz w:val="17"/>
                <w:szCs w:val="17"/>
              </w:rPr>
            </w:pPr>
            <w:r>
              <w:rPr>
                <w:spacing w:val="-2"/>
                <w:sz w:val="17"/>
                <w:szCs w:val="17"/>
              </w:rPr>
              <w:t>液化石油气</w:t>
            </w:r>
          </w:p>
          <w:p w14:paraId="533BCEB9">
            <w:pPr>
              <w:pStyle w:val="6"/>
              <w:spacing w:before="130" w:line="223" w:lineRule="auto"/>
              <w:ind w:left="110"/>
              <w:rPr>
                <w:sz w:val="17"/>
                <w:szCs w:val="17"/>
              </w:rPr>
            </w:pPr>
            <w:r>
              <w:rPr>
                <w:spacing w:val="8"/>
                <w:sz w:val="17"/>
                <w:szCs w:val="17"/>
              </w:rPr>
              <w:t>汽油</w:t>
            </w:r>
          </w:p>
          <w:p w14:paraId="6243B5FD">
            <w:pPr>
              <w:pStyle w:val="6"/>
              <w:spacing w:before="102" w:line="220" w:lineRule="auto"/>
              <w:ind w:left="110"/>
              <w:rPr>
                <w:sz w:val="17"/>
                <w:szCs w:val="17"/>
              </w:rPr>
            </w:pPr>
            <w:r>
              <w:rPr>
                <w:spacing w:val="8"/>
                <w:sz w:val="17"/>
                <w:szCs w:val="17"/>
              </w:rPr>
              <w:t>煤油</w:t>
            </w:r>
          </w:p>
          <w:p w14:paraId="1E910AC2">
            <w:pPr>
              <w:pStyle w:val="6"/>
              <w:spacing w:before="108" w:line="220" w:lineRule="auto"/>
              <w:ind w:left="110"/>
              <w:rPr>
                <w:sz w:val="17"/>
                <w:szCs w:val="17"/>
              </w:rPr>
            </w:pPr>
            <w:r>
              <w:rPr>
                <w:spacing w:val="8"/>
                <w:sz w:val="17"/>
                <w:szCs w:val="17"/>
              </w:rPr>
              <w:t>柴油</w:t>
            </w:r>
          </w:p>
          <w:p w14:paraId="5C695978">
            <w:pPr>
              <w:pStyle w:val="6"/>
              <w:spacing w:before="127" w:line="220" w:lineRule="auto"/>
              <w:ind w:left="110"/>
              <w:rPr>
                <w:sz w:val="17"/>
                <w:szCs w:val="17"/>
              </w:rPr>
            </w:pPr>
            <w:r>
              <w:rPr>
                <w:spacing w:val="5"/>
                <w:sz w:val="17"/>
                <w:szCs w:val="17"/>
              </w:rPr>
              <w:t>燃料油</w:t>
            </w:r>
          </w:p>
          <w:p w14:paraId="59B1C1AE">
            <w:pPr>
              <w:pStyle w:val="6"/>
              <w:spacing w:before="117" w:line="188" w:lineRule="auto"/>
              <w:ind w:left="110"/>
              <w:rPr>
                <w:sz w:val="17"/>
                <w:szCs w:val="17"/>
              </w:rPr>
            </w:pPr>
            <w:r>
              <w:rPr>
                <w:spacing w:val="3"/>
                <w:sz w:val="17"/>
                <w:szCs w:val="17"/>
              </w:rPr>
              <w:t>外购热力</w:t>
            </w:r>
          </w:p>
        </w:tc>
        <w:tc>
          <w:tcPr>
            <w:tcW w:w="1130" w:type="dxa"/>
            <w:vAlign w:val="top"/>
          </w:tcPr>
          <w:p w14:paraId="21608C40">
            <w:pPr>
              <w:pStyle w:val="6"/>
              <w:spacing w:before="110" w:line="220" w:lineRule="auto"/>
              <w:ind w:left="135"/>
              <w:rPr>
                <w:sz w:val="17"/>
                <w:szCs w:val="17"/>
              </w:rPr>
            </w:pPr>
            <w:r>
              <w:pict>
                <v:shape id="_x0000_s1028" o:spid="_x0000_s1028" o:spt="202" type="#_x0000_t202" style="position:absolute;left:0pt;margin-left:20.85pt;margin-top:19.65pt;height:140.6pt;width:12.7pt;mso-position-horizontal-relative:page;mso-position-vertical-relative:page;z-index:251671552;mso-width-relative:page;mso-height-relative:page;" filled="f" stroked="f" coordsize="21600,21600">
                  <v:path/>
                  <v:fill on="f" focussize="0,0"/>
                  <v:stroke on="f"/>
                  <v:imagedata o:title=""/>
                  <o:lock v:ext="edit" aspectratio="f"/>
                  <v:textbox inset="0mm,0mm,0mm,0mm" style="layout-flow:vertical-ideographic;">
                    <w:txbxContent>
                      <w:p w14:paraId="678A5BA9">
                        <w:pPr>
                          <w:pStyle w:val="6"/>
                          <w:spacing w:before="20" w:line="225" w:lineRule="auto"/>
                          <w:ind w:left="20"/>
                          <w:rPr>
                            <w:sz w:val="17"/>
                            <w:szCs w:val="17"/>
                          </w:rPr>
                        </w:pPr>
                        <w:r>
                          <w:rPr>
                            <w:sz w:val="17"/>
                            <w:szCs w:val="17"/>
                          </w:rPr>
                          <w:t>吨</w:t>
                        </w:r>
                        <w:r>
                          <w:rPr>
                            <w:spacing w:val="15"/>
                            <w:sz w:val="17"/>
                            <w:szCs w:val="17"/>
                          </w:rPr>
                          <w:t xml:space="preserve">  </w:t>
                        </w:r>
                        <w:r>
                          <w:rPr>
                            <w:sz w:val="17"/>
                            <w:szCs w:val="17"/>
                          </w:rPr>
                          <w:t>吨</w:t>
                        </w:r>
                        <w:r>
                          <w:rPr>
                            <w:spacing w:val="8"/>
                            <w:sz w:val="17"/>
                            <w:szCs w:val="17"/>
                          </w:rPr>
                          <w:t xml:space="preserve">        </w:t>
                        </w:r>
                        <w:r>
                          <w:rPr>
                            <w:sz w:val="17"/>
                            <w:szCs w:val="17"/>
                          </w:rPr>
                          <w:t>吨</w:t>
                        </w:r>
                        <w:r>
                          <w:rPr>
                            <w:spacing w:val="77"/>
                            <w:sz w:val="17"/>
                            <w:szCs w:val="17"/>
                          </w:rPr>
                          <w:t xml:space="preserve"> </w:t>
                        </w:r>
                        <w:r>
                          <w:rPr>
                            <w:sz w:val="17"/>
                            <w:szCs w:val="17"/>
                          </w:rPr>
                          <w:t>吨</w:t>
                        </w:r>
                        <w:r>
                          <w:rPr>
                            <w:spacing w:val="73"/>
                            <w:sz w:val="17"/>
                            <w:szCs w:val="17"/>
                          </w:rPr>
                          <w:t xml:space="preserve"> </w:t>
                        </w:r>
                        <w:r>
                          <w:rPr>
                            <w:sz w:val="17"/>
                            <w:szCs w:val="17"/>
                          </w:rPr>
                          <w:t>吨</w:t>
                        </w:r>
                        <w:r>
                          <w:rPr>
                            <w:spacing w:val="73"/>
                            <w:sz w:val="17"/>
                            <w:szCs w:val="17"/>
                          </w:rPr>
                          <w:t xml:space="preserve"> </w:t>
                        </w:r>
                        <w:r>
                          <w:rPr>
                            <w:sz w:val="17"/>
                            <w:szCs w:val="17"/>
                          </w:rPr>
                          <w:t>吨</w:t>
                        </w:r>
                        <w:r>
                          <w:rPr>
                            <w:spacing w:val="73"/>
                            <w:sz w:val="17"/>
                            <w:szCs w:val="17"/>
                          </w:rPr>
                          <w:t xml:space="preserve"> </w:t>
                        </w:r>
                        <w:r>
                          <w:rPr>
                            <w:sz w:val="17"/>
                            <w:szCs w:val="17"/>
                          </w:rPr>
                          <w:t>吨</w:t>
                        </w:r>
                      </w:p>
                    </w:txbxContent>
                  </v:textbox>
                </v:shape>
              </w:pict>
            </w:r>
            <w:r>
              <w:rPr>
                <w:spacing w:val="6"/>
                <w:sz w:val="17"/>
                <w:szCs w:val="17"/>
              </w:rPr>
              <w:t>千瓦时(度)</w:t>
            </w:r>
          </w:p>
          <w:p w14:paraId="4C26D40F">
            <w:pPr>
              <w:spacing w:line="348" w:lineRule="auto"/>
              <w:rPr>
                <w:rFonts w:ascii="Arial"/>
                <w:sz w:val="21"/>
              </w:rPr>
            </w:pPr>
          </w:p>
          <w:p w14:paraId="115DA38C">
            <w:pPr>
              <w:spacing w:line="349" w:lineRule="auto"/>
              <w:rPr>
                <w:rFonts w:ascii="Arial"/>
                <w:sz w:val="21"/>
              </w:rPr>
            </w:pPr>
          </w:p>
          <w:p w14:paraId="28968279">
            <w:pPr>
              <w:pStyle w:val="6"/>
              <w:spacing w:before="55" w:line="320" w:lineRule="exact"/>
              <w:ind w:left="305"/>
              <w:rPr>
                <w:sz w:val="17"/>
                <w:szCs w:val="17"/>
              </w:rPr>
            </w:pPr>
            <w:r>
              <w:rPr>
                <w:spacing w:val="-2"/>
                <w:position w:val="11"/>
                <w:sz w:val="17"/>
                <w:szCs w:val="17"/>
              </w:rPr>
              <w:t>立方米</w:t>
            </w:r>
          </w:p>
          <w:p w14:paraId="49C35E48">
            <w:pPr>
              <w:pStyle w:val="6"/>
              <w:spacing w:line="219" w:lineRule="auto"/>
              <w:ind w:left="305"/>
              <w:rPr>
                <w:sz w:val="17"/>
                <w:szCs w:val="17"/>
              </w:rPr>
            </w:pPr>
            <w:r>
              <w:rPr>
                <w:spacing w:val="-2"/>
                <w:sz w:val="17"/>
                <w:szCs w:val="17"/>
              </w:rPr>
              <w:t>立方米</w:t>
            </w:r>
          </w:p>
          <w:p w14:paraId="30081BAF">
            <w:pPr>
              <w:spacing w:line="275" w:lineRule="auto"/>
              <w:rPr>
                <w:rFonts w:ascii="Arial"/>
                <w:sz w:val="21"/>
              </w:rPr>
            </w:pPr>
          </w:p>
          <w:p w14:paraId="1DA2A41C">
            <w:pPr>
              <w:spacing w:line="275" w:lineRule="auto"/>
              <w:rPr>
                <w:rFonts w:ascii="Arial"/>
                <w:sz w:val="21"/>
              </w:rPr>
            </w:pPr>
          </w:p>
          <w:p w14:paraId="565FC4FD">
            <w:pPr>
              <w:spacing w:line="275" w:lineRule="auto"/>
              <w:rPr>
                <w:rFonts w:ascii="Arial"/>
                <w:sz w:val="21"/>
              </w:rPr>
            </w:pPr>
          </w:p>
          <w:p w14:paraId="7610CB61">
            <w:pPr>
              <w:spacing w:line="276" w:lineRule="auto"/>
              <w:rPr>
                <w:rFonts w:ascii="Arial"/>
                <w:sz w:val="21"/>
              </w:rPr>
            </w:pPr>
          </w:p>
          <w:p w14:paraId="70ABC60E">
            <w:pPr>
              <w:spacing w:line="276" w:lineRule="auto"/>
              <w:rPr>
                <w:rFonts w:ascii="Arial"/>
                <w:sz w:val="21"/>
              </w:rPr>
            </w:pPr>
          </w:p>
          <w:p w14:paraId="450022B1">
            <w:pPr>
              <w:spacing w:line="276" w:lineRule="auto"/>
              <w:rPr>
                <w:rFonts w:ascii="Arial"/>
                <w:sz w:val="21"/>
              </w:rPr>
            </w:pPr>
          </w:p>
          <w:p w14:paraId="41360353">
            <w:pPr>
              <w:pStyle w:val="6"/>
              <w:spacing w:before="55" w:line="187" w:lineRule="auto"/>
              <w:ind w:left="215"/>
              <w:rPr>
                <w:sz w:val="17"/>
                <w:szCs w:val="17"/>
              </w:rPr>
            </w:pPr>
            <w:r>
              <w:rPr>
                <w:spacing w:val="2"/>
                <w:sz w:val="17"/>
                <w:szCs w:val="17"/>
              </w:rPr>
              <w:t>百万千焦</w:t>
            </w:r>
          </w:p>
        </w:tc>
        <w:tc>
          <w:tcPr>
            <w:tcW w:w="570" w:type="dxa"/>
            <w:vAlign w:val="top"/>
          </w:tcPr>
          <w:p w14:paraId="1723D5C3">
            <w:pPr>
              <w:pStyle w:val="6"/>
              <w:spacing w:before="142" w:line="184" w:lineRule="auto"/>
              <w:ind w:left="195"/>
              <w:rPr>
                <w:sz w:val="17"/>
                <w:szCs w:val="17"/>
              </w:rPr>
            </w:pPr>
            <w:r>
              <w:rPr>
                <w:spacing w:val="-2"/>
                <w:sz w:val="17"/>
                <w:szCs w:val="17"/>
              </w:rPr>
              <w:t>01</w:t>
            </w:r>
          </w:p>
          <w:p w14:paraId="6B3F2C66">
            <w:pPr>
              <w:pStyle w:val="6"/>
              <w:spacing w:before="151" w:line="183" w:lineRule="auto"/>
              <w:ind w:left="195"/>
              <w:rPr>
                <w:sz w:val="17"/>
                <w:szCs w:val="17"/>
              </w:rPr>
            </w:pPr>
            <w:r>
              <w:rPr>
                <w:spacing w:val="-2"/>
                <w:sz w:val="17"/>
                <w:szCs w:val="17"/>
              </w:rPr>
              <w:t>02</w:t>
            </w:r>
          </w:p>
          <w:p w14:paraId="2CD76643">
            <w:pPr>
              <w:pStyle w:val="6"/>
              <w:spacing w:before="151" w:line="183" w:lineRule="auto"/>
              <w:ind w:left="195"/>
              <w:rPr>
                <w:sz w:val="17"/>
                <w:szCs w:val="17"/>
              </w:rPr>
            </w:pPr>
            <w:r>
              <w:rPr>
                <w:spacing w:val="-2"/>
                <w:sz w:val="17"/>
                <w:szCs w:val="17"/>
              </w:rPr>
              <w:t>03</w:t>
            </w:r>
          </w:p>
          <w:p w14:paraId="3C48C0F8">
            <w:pPr>
              <w:pStyle w:val="6"/>
              <w:spacing w:before="151" w:line="183" w:lineRule="auto"/>
              <w:ind w:left="195"/>
              <w:rPr>
                <w:sz w:val="17"/>
                <w:szCs w:val="17"/>
              </w:rPr>
            </w:pPr>
            <w:r>
              <w:rPr>
                <w:spacing w:val="-2"/>
                <w:sz w:val="17"/>
                <w:szCs w:val="17"/>
              </w:rPr>
              <w:t>04</w:t>
            </w:r>
          </w:p>
          <w:p w14:paraId="7BA0224E">
            <w:pPr>
              <w:pStyle w:val="6"/>
              <w:spacing w:before="151" w:line="183" w:lineRule="auto"/>
              <w:ind w:left="195"/>
              <w:rPr>
                <w:sz w:val="17"/>
                <w:szCs w:val="17"/>
              </w:rPr>
            </w:pPr>
            <w:r>
              <w:rPr>
                <w:spacing w:val="-2"/>
                <w:sz w:val="17"/>
                <w:szCs w:val="17"/>
              </w:rPr>
              <w:t>05</w:t>
            </w:r>
          </w:p>
          <w:p w14:paraId="0081052C">
            <w:pPr>
              <w:pStyle w:val="6"/>
              <w:spacing w:before="152" w:line="183" w:lineRule="auto"/>
              <w:ind w:left="195"/>
              <w:rPr>
                <w:sz w:val="17"/>
                <w:szCs w:val="17"/>
              </w:rPr>
            </w:pPr>
            <w:r>
              <w:rPr>
                <w:spacing w:val="-2"/>
                <w:sz w:val="17"/>
                <w:szCs w:val="17"/>
              </w:rPr>
              <w:t>06</w:t>
            </w:r>
          </w:p>
          <w:p w14:paraId="3F6B6841">
            <w:pPr>
              <w:pStyle w:val="6"/>
              <w:spacing w:before="141" w:line="183" w:lineRule="auto"/>
              <w:ind w:left="195"/>
              <w:rPr>
                <w:sz w:val="17"/>
                <w:szCs w:val="17"/>
              </w:rPr>
            </w:pPr>
            <w:r>
              <w:rPr>
                <w:spacing w:val="-2"/>
                <w:sz w:val="17"/>
                <w:szCs w:val="17"/>
              </w:rPr>
              <w:t>07</w:t>
            </w:r>
          </w:p>
          <w:p w14:paraId="0F76CC3F">
            <w:pPr>
              <w:pStyle w:val="6"/>
              <w:spacing w:before="162" w:line="183" w:lineRule="auto"/>
              <w:ind w:left="195"/>
              <w:rPr>
                <w:sz w:val="17"/>
                <w:szCs w:val="17"/>
              </w:rPr>
            </w:pPr>
            <w:r>
              <w:rPr>
                <w:spacing w:val="-2"/>
                <w:sz w:val="17"/>
                <w:szCs w:val="17"/>
              </w:rPr>
              <w:t>08</w:t>
            </w:r>
          </w:p>
          <w:p w14:paraId="048176D6">
            <w:pPr>
              <w:pStyle w:val="6"/>
              <w:spacing w:before="151" w:line="183" w:lineRule="auto"/>
              <w:ind w:left="195"/>
              <w:rPr>
                <w:sz w:val="17"/>
                <w:szCs w:val="17"/>
              </w:rPr>
            </w:pPr>
            <w:r>
              <w:rPr>
                <w:spacing w:val="-2"/>
                <w:sz w:val="17"/>
                <w:szCs w:val="17"/>
              </w:rPr>
              <w:t>09</w:t>
            </w:r>
          </w:p>
          <w:p w14:paraId="2637A104">
            <w:pPr>
              <w:pStyle w:val="6"/>
              <w:spacing w:before="151" w:line="184" w:lineRule="auto"/>
              <w:ind w:left="195"/>
              <w:rPr>
                <w:sz w:val="17"/>
                <w:szCs w:val="17"/>
              </w:rPr>
            </w:pPr>
            <w:r>
              <w:rPr>
                <w:spacing w:val="-5"/>
                <w:sz w:val="17"/>
                <w:szCs w:val="17"/>
              </w:rPr>
              <w:t>10</w:t>
            </w:r>
          </w:p>
          <w:p w14:paraId="6952C170">
            <w:pPr>
              <w:pStyle w:val="6"/>
              <w:spacing w:before="151" w:line="140" w:lineRule="exact"/>
              <w:ind w:left="195"/>
              <w:rPr>
                <w:sz w:val="17"/>
                <w:szCs w:val="17"/>
              </w:rPr>
            </w:pPr>
            <w:r>
              <w:rPr>
                <w:spacing w:val="-5"/>
                <w:position w:val="-2"/>
                <w:sz w:val="17"/>
                <w:szCs w:val="17"/>
              </w:rPr>
              <w:t>11</w:t>
            </w:r>
          </w:p>
        </w:tc>
        <w:tc>
          <w:tcPr>
            <w:tcW w:w="3920" w:type="dxa"/>
            <w:gridSpan w:val="4"/>
            <w:vAlign w:val="top"/>
          </w:tcPr>
          <w:p w14:paraId="4962621B">
            <w:pPr>
              <w:rPr>
                <w:rFonts w:ascii="Arial"/>
                <w:sz w:val="21"/>
              </w:rPr>
            </w:pPr>
          </w:p>
        </w:tc>
        <w:tc>
          <w:tcPr>
            <w:tcW w:w="2520" w:type="dxa"/>
            <w:tcBorders>
              <w:right w:val="nil"/>
            </w:tcBorders>
            <w:vAlign w:val="top"/>
          </w:tcPr>
          <w:p w14:paraId="0575E82D">
            <w:pPr>
              <w:pStyle w:val="6"/>
              <w:spacing w:before="129" w:line="279" w:lineRule="auto"/>
              <w:ind w:left="135" w:right="432"/>
              <w:rPr>
                <w:sz w:val="17"/>
                <w:szCs w:val="17"/>
              </w:rPr>
            </w:pPr>
            <w:r>
              <w:rPr>
                <w:spacing w:val="-1"/>
                <w:sz w:val="17"/>
                <w:szCs w:val="17"/>
              </w:rPr>
              <w:t>0.1229千克标准煤/千瓦时</w:t>
            </w:r>
            <w:r>
              <w:rPr>
                <w:spacing w:val="6"/>
                <w:sz w:val="17"/>
                <w:szCs w:val="17"/>
              </w:rPr>
              <w:t xml:space="preserve"> </w:t>
            </w:r>
            <w:r>
              <w:rPr>
                <w:spacing w:val="-1"/>
                <w:sz w:val="17"/>
                <w:szCs w:val="17"/>
              </w:rPr>
              <w:t>0.7143吨标准煤/吨</w:t>
            </w:r>
          </w:p>
          <w:p w14:paraId="31754708">
            <w:pPr>
              <w:pStyle w:val="6"/>
              <w:spacing w:before="107" w:line="220" w:lineRule="auto"/>
              <w:ind w:left="135"/>
              <w:rPr>
                <w:sz w:val="17"/>
                <w:szCs w:val="17"/>
              </w:rPr>
            </w:pPr>
            <w:r>
              <w:rPr>
                <w:spacing w:val="-1"/>
                <w:sz w:val="17"/>
                <w:szCs w:val="17"/>
              </w:rPr>
              <w:t>0.9714吨标准煤/吨</w:t>
            </w:r>
          </w:p>
          <w:p w14:paraId="26947D36">
            <w:pPr>
              <w:pStyle w:val="6"/>
              <w:spacing w:before="116" w:line="330" w:lineRule="exact"/>
              <w:ind w:left="135"/>
              <w:rPr>
                <w:sz w:val="17"/>
                <w:szCs w:val="17"/>
              </w:rPr>
            </w:pPr>
            <w:r>
              <w:rPr>
                <w:spacing w:val="-1"/>
                <w:position w:val="12"/>
                <w:sz w:val="17"/>
                <w:szCs w:val="17"/>
              </w:rPr>
              <w:t>0.5714千克标准煤/立方米</w:t>
            </w:r>
          </w:p>
          <w:p w14:paraId="7524E513">
            <w:pPr>
              <w:pStyle w:val="6"/>
              <w:spacing w:line="219" w:lineRule="auto"/>
              <w:ind w:left="135"/>
              <w:rPr>
                <w:sz w:val="17"/>
                <w:szCs w:val="17"/>
              </w:rPr>
            </w:pPr>
            <w:r>
              <w:rPr>
                <w:sz w:val="17"/>
                <w:szCs w:val="17"/>
              </w:rPr>
              <w:t>1.33千克标准煤/立方米</w:t>
            </w:r>
          </w:p>
          <w:p w14:paraId="4041AB6D">
            <w:pPr>
              <w:pStyle w:val="6"/>
              <w:spacing w:before="108" w:line="330" w:lineRule="exact"/>
              <w:ind w:left="135"/>
              <w:rPr>
                <w:sz w:val="17"/>
                <w:szCs w:val="17"/>
              </w:rPr>
            </w:pPr>
            <w:r>
              <w:rPr>
                <w:position w:val="12"/>
                <w:sz w:val="17"/>
                <w:szCs w:val="17"/>
              </w:rPr>
              <w:t>1.7143吨标准煤/吨</w:t>
            </w:r>
          </w:p>
          <w:p w14:paraId="604FFBA3">
            <w:pPr>
              <w:pStyle w:val="6"/>
              <w:spacing w:line="220" w:lineRule="auto"/>
              <w:ind w:left="135"/>
              <w:rPr>
                <w:sz w:val="17"/>
                <w:szCs w:val="17"/>
              </w:rPr>
            </w:pPr>
            <w:r>
              <w:rPr>
                <w:sz w:val="17"/>
                <w:szCs w:val="17"/>
              </w:rPr>
              <w:t>1.4714吨标准煤/吨</w:t>
            </w:r>
          </w:p>
          <w:p w14:paraId="2E823DC3">
            <w:pPr>
              <w:pStyle w:val="6"/>
              <w:spacing w:before="127" w:line="220" w:lineRule="auto"/>
              <w:ind w:left="135"/>
              <w:rPr>
                <w:sz w:val="17"/>
                <w:szCs w:val="17"/>
              </w:rPr>
            </w:pPr>
            <w:r>
              <w:rPr>
                <w:sz w:val="17"/>
                <w:szCs w:val="17"/>
              </w:rPr>
              <w:t>1.4714吨标准煤/吨</w:t>
            </w:r>
          </w:p>
          <w:p w14:paraId="255BEB8A">
            <w:pPr>
              <w:pStyle w:val="6"/>
              <w:spacing w:before="98" w:line="220" w:lineRule="auto"/>
              <w:ind w:left="135"/>
              <w:rPr>
                <w:sz w:val="17"/>
                <w:szCs w:val="17"/>
              </w:rPr>
            </w:pPr>
            <w:r>
              <w:rPr>
                <w:sz w:val="17"/>
                <w:szCs w:val="17"/>
              </w:rPr>
              <w:t>1.4571吨标准煤/吨</w:t>
            </w:r>
          </w:p>
          <w:p w14:paraId="0498FAB3">
            <w:pPr>
              <w:pStyle w:val="6"/>
              <w:spacing w:before="137" w:line="220" w:lineRule="auto"/>
              <w:ind w:left="135"/>
              <w:rPr>
                <w:sz w:val="17"/>
                <w:szCs w:val="17"/>
              </w:rPr>
            </w:pPr>
            <w:r>
              <w:rPr>
                <w:sz w:val="17"/>
                <w:szCs w:val="17"/>
              </w:rPr>
              <w:t>1.4286吨标准煤/吨</w:t>
            </w:r>
          </w:p>
          <w:p w14:paraId="6CA0B164">
            <w:pPr>
              <w:pStyle w:val="6"/>
              <w:spacing w:before="98" w:line="187" w:lineRule="auto"/>
              <w:ind w:left="135"/>
              <w:rPr>
                <w:sz w:val="17"/>
                <w:szCs w:val="17"/>
              </w:rPr>
            </w:pPr>
            <w:r>
              <w:rPr>
                <w:spacing w:val="-1"/>
                <w:sz w:val="17"/>
                <w:szCs w:val="17"/>
              </w:rPr>
              <w:t>0.0341吨标准煤/百万千焦</w:t>
            </w:r>
          </w:p>
        </w:tc>
      </w:tr>
      <w:tr w14:paraId="6A19D1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1290" w:type="dxa"/>
            <w:tcBorders>
              <w:left w:val="nil"/>
            </w:tcBorders>
            <w:vAlign w:val="top"/>
          </w:tcPr>
          <w:p w14:paraId="045C4970">
            <w:pPr>
              <w:pStyle w:val="6"/>
              <w:spacing w:before="68" w:line="221" w:lineRule="auto"/>
              <w:ind w:left="110"/>
              <w:rPr>
                <w:sz w:val="17"/>
                <w:szCs w:val="17"/>
              </w:rPr>
            </w:pPr>
            <w:r>
              <w:rPr>
                <w:spacing w:val="1"/>
                <w:sz w:val="17"/>
                <w:szCs w:val="17"/>
              </w:rPr>
              <w:t>能源合计</w:t>
            </w:r>
          </w:p>
        </w:tc>
        <w:tc>
          <w:tcPr>
            <w:tcW w:w="1130" w:type="dxa"/>
            <w:vAlign w:val="top"/>
          </w:tcPr>
          <w:p w14:paraId="4ADF39DB">
            <w:pPr>
              <w:pStyle w:val="6"/>
              <w:spacing w:before="67" w:line="220" w:lineRule="auto"/>
              <w:ind w:left="215"/>
              <w:rPr>
                <w:sz w:val="17"/>
                <w:szCs w:val="17"/>
              </w:rPr>
            </w:pPr>
            <w:r>
              <w:rPr>
                <w:spacing w:val="1"/>
                <w:sz w:val="17"/>
                <w:szCs w:val="17"/>
              </w:rPr>
              <w:t>吨标准煤</w:t>
            </w:r>
          </w:p>
        </w:tc>
        <w:tc>
          <w:tcPr>
            <w:tcW w:w="570" w:type="dxa"/>
            <w:vAlign w:val="top"/>
          </w:tcPr>
          <w:p w14:paraId="44B8B055">
            <w:pPr>
              <w:pStyle w:val="6"/>
              <w:spacing w:before="110" w:line="184" w:lineRule="auto"/>
              <w:ind w:left="195"/>
              <w:rPr>
                <w:sz w:val="17"/>
                <w:szCs w:val="17"/>
              </w:rPr>
            </w:pPr>
            <w:r>
              <w:rPr>
                <w:spacing w:val="-5"/>
                <w:sz w:val="17"/>
                <w:szCs w:val="17"/>
              </w:rPr>
              <w:t>12</w:t>
            </w:r>
          </w:p>
        </w:tc>
        <w:tc>
          <w:tcPr>
            <w:tcW w:w="910" w:type="dxa"/>
            <w:vAlign w:val="top"/>
          </w:tcPr>
          <w:p w14:paraId="31C344A0">
            <w:pPr>
              <w:rPr>
                <w:rFonts w:ascii="Arial"/>
                <w:sz w:val="21"/>
              </w:rPr>
            </w:pPr>
          </w:p>
        </w:tc>
        <w:tc>
          <w:tcPr>
            <w:tcW w:w="1010" w:type="dxa"/>
            <w:vAlign w:val="top"/>
          </w:tcPr>
          <w:p w14:paraId="156D9BBF">
            <w:pPr>
              <w:tabs>
                <w:tab w:val="left" w:pos="542"/>
              </w:tabs>
              <w:spacing w:line="201" w:lineRule="exact"/>
              <w:ind w:left="455"/>
              <w:rPr>
                <w:rFonts w:ascii="Arial"/>
                <w:sz w:val="21"/>
              </w:rPr>
            </w:pPr>
            <w:r>
              <w:rPr>
                <w:rFonts w:ascii="Arial" w:hAnsi="Arial" w:eastAsia="Arial" w:cs="Arial"/>
                <w:position w:val="-2"/>
                <w:sz w:val="21"/>
                <w:szCs w:val="21"/>
                <w:u w:val="single" w:color="auto"/>
              </w:rPr>
              <w:tab/>
            </w:r>
          </w:p>
        </w:tc>
        <w:tc>
          <w:tcPr>
            <w:tcW w:w="990" w:type="dxa"/>
            <w:vAlign w:val="top"/>
          </w:tcPr>
          <w:p w14:paraId="56291950">
            <w:pPr>
              <w:rPr>
                <w:rFonts w:ascii="Arial"/>
                <w:sz w:val="21"/>
              </w:rPr>
            </w:pPr>
          </w:p>
        </w:tc>
        <w:tc>
          <w:tcPr>
            <w:tcW w:w="1010" w:type="dxa"/>
            <w:vAlign w:val="top"/>
          </w:tcPr>
          <w:p w14:paraId="1C03EA3E">
            <w:pPr>
              <w:pStyle w:val="6"/>
              <w:spacing w:before="155" w:line="61" w:lineRule="exact"/>
              <w:ind w:left="405"/>
              <w:rPr>
                <w:sz w:val="9"/>
                <w:szCs w:val="9"/>
              </w:rPr>
            </w:pPr>
            <w:r>
              <w:rPr>
                <w:spacing w:val="-1"/>
                <w:position w:val="-1"/>
                <w:sz w:val="9"/>
                <w:szCs w:val="9"/>
              </w:rPr>
              <w:t>——</w:t>
            </w:r>
          </w:p>
        </w:tc>
        <w:tc>
          <w:tcPr>
            <w:tcW w:w="2520" w:type="dxa"/>
            <w:tcBorders>
              <w:right w:val="nil"/>
            </w:tcBorders>
            <w:vAlign w:val="top"/>
          </w:tcPr>
          <w:p w14:paraId="5D49B402">
            <w:pPr>
              <w:tabs>
                <w:tab w:val="left" w:pos="1321"/>
              </w:tabs>
              <w:spacing w:line="241" w:lineRule="exact"/>
              <w:ind w:left="1235"/>
              <w:rPr>
                <w:rFonts w:ascii="Arial"/>
                <w:sz w:val="21"/>
              </w:rPr>
            </w:pPr>
            <w:r>
              <w:rPr>
                <w:rFonts w:ascii="Arial" w:hAnsi="Arial" w:eastAsia="Arial" w:cs="Arial"/>
                <w:sz w:val="21"/>
                <w:szCs w:val="21"/>
                <w:u w:val="single" w:color="auto"/>
              </w:rPr>
              <w:tab/>
            </w:r>
          </w:p>
        </w:tc>
      </w:tr>
    </w:tbl>
    <w:p w14:paraId="79B81BCB">
      <w:pPr>
        <w:spacing w:before="32" w:line="229" w:lineRule="auto"/>
        <w:jc w:val="right"/>
        <w:rPr>
          <w:rFonts w:ascii="宋体" w:hAnsi="宋体" w:eastAsia="宋体" w:cs="宋体"/>
          <w:sz w:val="20"/>
          <w:szCs w:val="20"/>
        </w:rPr>
      </w:pPr>
      <w:r>
        <w:rPr>
          <w:rFonts w:ascii="宋体" w:hAnsi="宋体" w:eastAsia="宋体" w:cs="宋体"/>
          <w:spacing w:val="-5"/>
          <w:position w:val="2"/>
          <w:sz w:val="20"/>
          <w:szCs w:val="20"/>
        </w:rPr>
        <w:t xml:space="preserve">单位负责人          统计负责人           </w:t>
      </w:r>
      <w:r>
        <w:rPr>
          <w:rFonts w:ascii="宋体" w:hAnsi="宋体" w:eastAsia="宋体" w:cs="宋体"/>
          <w:spacing w:val="-5"/>
          <w:position w:val="1"/>
          <w:sz w:val="20"/>
          <w:szCs w:val="20"/>
        </w:rPr>
        <w:t>填表人</w:t>
      </w:r>
      <w:r>
        <w:rPr>
          <w:rFonts w:ascii="宋体" w:hAnsi="宋体" w:eastAsia="宋体" w:cs="宋体"/>
          <w:spacing w:val="6"/>
          <w:position w:val="1"/>
          <w:sz w:val="20"/>
          <w:szCs w:val="20"/>
        </w:rPr>
        <w:t xml:space="preserve">        </w:t>
      </w:r>
      <w:r>
        <w:rPr>
          <w:rFonts w:ascii="宋体" w:hAnsi="宋体" w:eastAsia="宋体" w:cs="宋体"/>
          <w:spacing w:val="-5"/>
          <w:position w:val="-1"/>
          <w:sz w:val="20"/>
          <w:szCs w:val="20"/>
        </w:rPr>
        <w:t>联系电话：        报出日期：20  年  月</w:t>
      </w:r>
      <w:r>
        <w:rPr>
          <w:rFonts w:ascii="宋体" w:hAnsi="宋体" w:eastAsia="宋体" w:cs="宋体"/>
          <w:spacing w:val="20"/>
          <w:position w:val="-1"/>
          <w:sz w:val="20"/>
          <w:szCs w:val="20"/>
        </w:rPr>
        <w:t xml:space="preserve">  </w:t>
      </w:r>
      <w:r>
        <w:rPr>
          <w:rFonts w:ascii="宋体" w:hAnsi="宋体" w:eastAsia="宋体" w:cs="宋体"/>
          <w:spacing w:val="-5"/>
          <w:position w:val="-1"/>
          <w:sz w:val="20"/>
          <w:szCs w:val="20"/>
        </w:rPr>
        <w:t>日</w:t>
      </w:r>
    </w:p>
    <w:p w14:paraId="57B99FEF">
      <w:pPr>
        <w:spacing w:before="221" w:line="219" w:lineRule="auto"/>
        <w:ind w:left="42"/>
        <w:rPr>
          <w:rFonts w:ascii="宋体" w:hAnsi="宋体" w:eastAsia="宋体" w:cs="宋体"/>
          <w:sz w:val="18"/>
          <w:szCs w:val="18"/>
        </w:rPr>
      </w:pPr>
      <w:r>
        <w:rPr>
          <w:rFonts w:ascii="宋体" w:hAnsi="宋体" w:eastAsia="宋体" w:cs="宋体"/>
          <w:spacing w:val="-1"/>
          <w:sz w:val="18"/>
          <w:szCs w:val="18"/>
        </w:rPr>
        <w:t>说明：1.统计范围：辖区内年综合能源消费量1万吨标准煤及以上的有资质的</w:t>
      </w:r>
      <w:r>
        <w:rPr>
          <w:rFonts w:ascii="宋体" w:hAnsi="宋体" w:eastAsia="宋体" w:cs="宋体"/>
          <w:spacing w:val="-2"/>
          <w:sz w:val="18"/>
          <w:szCs w:val="18"/>
        </w:rPr>
        <w:t>建筑业、限额以上批发和零售业、限额以上</w:t>
      </w:r>
    </w:p>
    <w:p w14:paraId="257117EB">
      <w:pPr>
        <w:spacing w:before="78" w:line="219" w:lineRule="auto"/>
        <w:ind w:left="1562"/>
        <w:rPr>
          <w:rFonts w:ascii="宋体" w:hAnsi="宋体" w:eastAsia="宋体" w:cs="宋体"/>
          <w:sz w:val="18"/>
          <w:szCs w:val="18"/>
        </w:rPr>
      </w:pPr>
      <w:r>
        <w:rPr>
          <w:rFonts w:ascii="宋体" w:hAnsi="宋体" w:eastAsia="宋体" w:cs="宋体"/>
          <w:spacing w:val="-1"/>
          <w:sz w:val="18"/>
          <w:szCs w:val="18"/>
        </w:rPr>
        <w:t>住宿和餐饮业、有开发经营活动的房地产开发经营业和规模以上服务业法人单位。</w:t>
      </w:r>
    </w:p>
    <w:p w14:paraId="43DF9349">
      <w:pPr>
        <w:spacing w:before="64" w:line="254" w:lineRule="auto"/>
        <w:ind w:left="2152" w:right="224" w:hanging="1730"/>
        <w:rPr>
          <w:rFonts w:ascii="宋体" w:hAnsi="宋体" w:eastAsia="宋体" w:cs="宋体"/>
          <w:sz w:val="18"/>
          <w:szCs w:val="18"/>
        </w:rPr>
      </w:pPr>
      <w:r>
        <w:rPr>
          <w:rFonts w:ascii="宋体" w:hAnsi="宋体" w:eastAsia="宋体" w:cs="宋体"/>
          <w:spacing w:val="2"/>
          <w:sz w:val="18"/>
          <w:szCs w:val="18"/>
        </w:rPr>
        <w:t>2.报送日期及方式：调查单位季后10日12:00前独立自行网上填报；市级统计机构一、二季度季后11日，三、四</w:t>
      </w:r>
      <w:r>
        <w:rPr>
          <w:rFonts w:ascii="宋体" w:hAnsi="宋体" w:eastAsia="宋体" w:cs="宋体"/>
          <w:spacing w:val="11"/>
          <w:sz w:val="18"/>
          <w:szCs w:val="18"/>
        </w:rPr>
        <w:t xml:space="preserve"> </w:t>
      </w:r>
      <w:r>
        <w:rPr>
          <w:rFonts w:ascii="宋体" w:hAnsi="宋体" w:eastAsia="宋体" w:cs="宋体"/>
          <w:spacing w:val="3"/>
          <w:sz w:val="18"/>
          <w:szCs w:val="18"/>
        </w:rPr>
        <w:t>季度季后14日12:00前完成审核、验收、上报。</w:t>
      </w:r>
    </w:p>
    <w:p w14:paraId="2F4E8251">
      <w:pPr>
        <w:spacing w:before="57" w:line="264" w:lineRule="auto"/>
        <w:ind w:left="422" w:right="174"/>
        <w:jc w:val="both"/>
        <w:rPr>
          <w:rFonts w:ascii="宋体" w:hAnsi="宋体" w:eastAsia="宋体" w:cs="宋体"/>
          <w:sz w:val="18"/>
          <w:szCs w:val="18"/>
        </w:rPr>
      </w:pPr>
      <w:r>
        <w:rPr>
          <w:rFonts w:ascii="宋体" w:hAnsi="宋体" w:eastAsia="宋体" w:cs="宋体"/>
          <w:spacing w:val="-2"/>
          <w:sz w:val="18"/>
          <w:szCs w:val="18"/>
        </w:rPr>
        <w:t>3.本表中“上年同期”数据统一由国家统计局在数据处理软件中复制，调查单位和各级统计机构原则上不得修改；</w:t>
      </w:r>
      <w:r>
        <w:rPr>
          <w:rFonts w:ascii="宋体" w:hAnsi="宋体" w:eastAsia="宋体" w:cs="宋体"/>
          <w:spacing w:val="1"/>
          <w:sz w:val="18"/>
          <w:szCs w:val="18"/>
        </w:rPr>
        <w:t xml:space="preserve"> </w:t>
      </w:r>
      <w:r>
        <w:rPr>
          <w:rFonts w:ascii="宋体" w:hAnsi="宋体" w:eastAsia="宋体" w:cs="宋体"/>
          <w:spacing w:val="-2"/>
          <w:sz w:val="18"/>
          <w:szCs w:val="18"/>
        </w:rPr>
        <w:t>本年新增的调查单位自行填报“上年同期”数据；涉及兼并、重组等情况的企业，经国家统计局批准后，调查单</w:t>
      </w:r>
      <w:r>
        <w:rPr>
          <w:rFonts w:ascii="宋体" w:hAnsi="宋体" w:eastAsia="宋体" w:cs="宋体"/>
          <w:spacing w:val="4"/>
          <w:sz w:val="18"/>
          <w:szCs w:val="18"/>
        </w:rPr>
        <w:t xml:space="preserve">   </w:t>
      </w:r>
      <w:r>
        <w:rPr>
          <w:rFonts w:ascii="宋体" w:hAnsi="宋体" w:eastAsia="宋体" w:cs="宋体"/>
          <w:spacing w:val="-1"/>
          <w:sz w:val="18"/>
          <w:szCs w:val="18"/>
        </w:rPr>
        <w:t>位可调整同期数；本年新增指标的同期数由调查单位</w:t>
      </w:r>
      <w:r>
        <w:rPr>
          <w:rFonts w:ascii="宋体" w:hAnsi="宋体" w:eastAsia="宋体" w:cs="宋体"/>
          <w:spacing w:val="-2"/>
          <w:sz w:val="18"/>
          <w:szCs w:val="18"/>
        </w:rPr>
        <w:t>自行填报。</w:t>
      </w:r>
    </w:p>
    <w:p w14:paraId="6CDC9923">
      <w:pPr>
        <w:spacing w:before="77" w:line="300" w:lineRule="exact"/>
        <w:ind w:left="422"/>
        <w:rPr>
          <w:rFonts w:ascii="宋体" w:hAnsi="宋体" w:eastAsia="宋体" w:cs="宋体"/>
          <w:sz w:val="18"/>
          <w:szCs w:val="18"/>
        </w:rPr>
      </w:pPr>
      <w:r>
        <w:rPr>
          <w:rFonts w:ascii="宋体" w:hAnsi="宋体" w:eastAsia="宋体" w:cs="宋体"/>
          <w:spacing w:val="-6"/>
          <w:position w:val="8"/>
          <w:sz w:val="18"/>
          <w:szCs w:val="18"/>
        </w:rPr>
        <w:t>4.油品重量单位与容积单位的换算关系：</w:t>
      </w:r>
    </w:p>
    <w:p w14:paraId="7AD3D58E">
      <w:pPr>
        <w:spacing w:line="219" w:lineRule="auto"/>
        <w:ind w:left="422"/>
        <w:rPr>
          <w:rFonts w:ascii="宋体" w:hAnsi="宋体" w:eastAsia="宋体" w:cs="宋体"/>
          <w:sz w:val="18"/>
          <w:szCs w:val="18"/>
        </w:rPr>
      </w:pPr>
      <w:r>
        <w:rPr>
          <w:rFonts w:ascii="宋体" w:hAnsi="宋体" w:eastAsia="宋体" w:cs="宋体"/>
          <w:spacing w:val="-8"/>
          <w:sz w:val="18"/>
          <w:szCs w:val="18"/>
        </w:rPr>
        <w:t>(1)汽  油：1升≈0.73千克≈0.00073吨</w:t>
      </w:r>
    </w:p>
    <w:p w14:paraId="77005EBE">
      <w:pPr>
        <w:spacing w:before="67" w:line="219" w:lineRule="auto"/>
        <w:ind w:left="422"/>
        <w:rPr>
          <w:rFonts w:ascii="宋体" w:hAnsi="宋体" w:eastAsia="宋体" w:cs="宋体"/>
          <w:sz w:val="18"/>
          <w:szCs w:val="18"/>
        </w:rPr>
      </w:pPr>
      <w:r>
        <w:rPr>
          <w:rFonts w:ascii="宋体" w:hAnsi="宋体" w:eastAsia="宋体" w:cs="宋体"/>
          <w:spacing w:val="-8"/>
          <w:sz w:val="18"/>
          <w:szCs w:val="18"/>
        </w:rPr>
        <w:t>(2)轻柴油：1升≈0.86千克≈0.000</w:t>
      </w:r>
      <w:r>
        <w:rPr>
          <w:rFonts w:ascii="宋体" w:hAnsi="宋体" w:eastAsia="宋体" w:cs="宋体"/>
          <w:spacing w:val="-9"/>
          <w:sz w:val="18"/>
          <w:szCs w:val="18"/>
        </w:rPr>
        <w:t>86吨</w:t>
      </w:r>
    </w:p>
    <w:p w14:paraId="45389A76">
      <w:pPr>
        <w:spacing w:before="67" w:line="219" w:lineRule="auto"/>
        <w:ind w:left="422"/>
        <w:rPr>
          <w:rFonts w:ascii="宋体" w:hAnsi="宋体" w:eastAsia="宋体" w:cs="宋体"/>
          <w:sz w:val="18"/>
          <w:szCs w:val="18"/>
        </w:rPr>
      </w:pPr>
      <w:r>
        <w:rPr>
          <w:rFonts w:ascii="宋体" w:hAnsi="宋体" w:eastAsia="宋体" w:cs="宋体"/>
          <w:spacing w:val="-8"/>
          <w:sz w:val="18"/>
          <w:szCs w:val="18"/>
        </w:rPr>
        <w:t>(3)重柴油：1升≈0.92千克≈0.000</w:t>
      </w:r>
      <w:r>
        <w:rPr>
          <w:rFonts w:ascii="宋体" w:hAnsi="宋体" w:eastAsia="宋体" w:cs="宋体"/>
          <w:spacing w:val="-9"/>
          <w:sz w:val="18"/>
          <w:szCs w:val="18"/>
        </w:rPr>
        <w:t>92吨</w:t>
      </w:r>
    </w:p>
    <w:p w14:paraId="020E4CBD">
      <w:pPr>
        <w:spacing w:before="46" w:line="219" w:lineRule="auto"/>
        <w:ind w:left="422"/>
        <w:rPr>
          <w:rFonts w:ascii="宋体" w:hAnsi="宋体" w:eastAsia="宋体" w:cs="宋体"/>
          <w:sz w:val="18"/>
          <w:szCs w:val="18"/>
        </w:rPr>
      </w:pPr>
      <w:r>
        <w:rPr>
          <w:rFonts w:ascii="宋体" w:hAnsi="宋体" w:eastAsia="宋体" w:cs="宋体"/>
          <w:spacing w:val="-5"/>
          <w:sz w:val="18"/>
          <w:szCs w:val="18"/>
        </w:rPr>
        <w:t>(4)煤 油：1升≈0.82千克≈0.00082吨</w:t>
      </w:r>
    </w:p>
    <w:p w14:paraId="44E13145">
      <w:pPr>
        <w:spacing w:before="76" w:line="219" w:lineRule="auto"/>
        <w:ind w:left="422"/>
        <w:rPr>
          <w:rFonts w:ascii="宋体" w:hAnsi="宋体" w:eastAsia="宋体" w:cs="宋体"/>
          <w:sz w:val="18"/>
          <w:szCs w:val="18"/>
        </w:rPr>
      </w:pPr>
      <w:r>
        <w:rPr>
          <w:rFonts w:ascii="宋体" w:hAnsi="宋体" w:eastAsia="宋体" w:cs="宋体"/>
          <w:spacing w:val="-7"/>
          <w:sz w:val="18"/>
          <w:szCs w:val="18"/>
        </w:rPr>
        <w:t>(5)燃料油：1升≈0.91千克≈0.00091吨</w:t>
      </w:r>
    </w:p>
    <w:p w14:paraId="4985AEFA">
      <w:pPr>
        <w:spacing w:before="67" w:line="219" w:lineRule="auto"/>
        <w:ind w:left="422"/>
        <w:rPr>
          <w:rFonts w:ascii="宋体" w:hAnsi="宋体" w:eastAsia="宋体" w:cs="宋体"/>
          <w:sz w:val="18"/>
          <w:szCs w:val="18"/>
        </w:rPr>
      </w:pPr>
      <w:r>
        <w:rPr>
          <w:rFonts w:ascii="宋体" w:hAnsi="宋体" w:eastAsia="宋体" w:cs="宋体"/>
          <w:spacing w:val="-6"/>
          <w:sz w:val="18"/>
          <w:szCs w:val="18"/>
        </w:rPr>
        <w:t>5.液化天然气与天然气换算关系：</w:t>
      </w:r>
    </w:p>
    <w:p w14:paraId="65357B2F">
      <w:pPr>
        <w:spacing w:before="66" w:line="281" w:lineRule="exact"/>
        <w:ind w:left="422"/>
        <w:rPr>
          <w:rFonts w:ascii="宋体" w:hAnsi="宋体" w:eastAsia="宋体" w:cs="宋体"/>
          <w:sz w:val="18"/>
          <w:szCs w:val="18"/>
        </w:rPr>
      </w:pPr>
      <w:r>
        <w:rPr>
          <w:rFonts w:ascii="宋体" w:hAnsi="宋体" w:eastAsia="宋体" w:cs="宋体"/>
          <w:spacing w:val="-3"/>
          <w:position w:val="7"/>
          <w:sz w:val="18"/>
          <w:szCs w:val="18"/>
        </w:rPr>
        <w:t>1千克液化天然气≈1.38立方米天然气</w:t>
      </w:r>
    </w:p>
    <w:p w14:paraId="5A03BA3B">
      <w:pPr>
        <w:spacing w:line="220" w:lineRule="auto"/>
        <w:ind w:left="422"/>
        <w:rPr>
          <w:rFonts w:ascii="宋体" w:hAnsi="宋体" w:eastAsia="宋体" w:cs="宋体"/>
          <w:sz w:val="18"/>
          <w:szCs w:val="18"/>
        </w:rPr>
      </w:pPr>
      <w:r>
        <w:rPr>
          <w:rFonts w:ascii="宋体" w:hAnsi="宋体" w:eastAsia="宋体" w:cs="宋体"/>
          <w:spacing w:val="-4"/>
          <w:sz w:val="18"/>
          <w:szCs w:val="18"/>
        </w:rPr>
        <w:t>天然气包括液化天然气。</w:t>
      </w:r>
    </w:p>
    <w:p w14:paraId="4006312B">
      <w:pPr>
        <w:spacing w:line="220" w:lineRule="auto"/>
        <w:rPr>
          <w:rFonts w:ascii="宋体" w:hAnsi="宋体" w:eastAsia="宋体" w:cs="宋体"/>
          <w:sz w:val="18"/>
          <w:szCs w:val="18"/>
        </w:rPr>
        <w:sectPr>
          <w:headerReference r:id="rId13" w:type="default"/>
          <w:pgSz w:w="11910" w:h="16840"/>
          <w:pgMar w:top="1056" w:right="1194" w:bottom="0" w:left="1217" w:header="877" w:footer="0" w:gutter="0"/>
          <w:cols w:space="720" w:num="1"/>
        </w:sectPr>
      </w:pPr>
    </w:p>
    <w:p w14:paraId="6E0CF6E8">
      <w:pPr>
        <w:pStyle w:val="2"/>
        <w:spacing w:line="261" w:lineRule="auto"/>
      </w:pPr>
    </w:p>
    <w:p w14:paraId="265CCF93">
      <w:pPr>
        <w:pStyle w:val="2"/>
        <w:spacing w:line="261" w:lineRule="auto"/>
      </w:pPr>
    </w:p>
    <w:p w14:paraId="754DF66E">
      <w:pPr>
        <w:pStyle w:val="2"/>
        <w:spacing w:line="261" w:lineRule="auto"/>
      </w:pPr>
    </w:p>
    <w:p w14:paraId="6DE70162">
      <w:pPr>
        <w:spacing w:before="104" w:line="219" w:lineRule="auto"/>
        <w:ind w:left="3239"/>
        <w:rPr>
          <w:rFonts w:ascii="宋体" w:hAnsi="宋体" w:eastAsia="宋体" w:cs="宋体"/>
          <w:sz w:val="32"/>
          <w:szCs w:val="32"/>
        </w:rPr>
      </w:pPr>
      <w:bookmarkStart w:id="9" w:name="bookmark12"/>
      <w:bookmarkEnd w:id="9"/>
      <w:r>
        <w:rPr>
          <w:rFonts w:ascii="宋体" w:hAnsi="宋体" w:eastAsia="宋体" w:cs="宋体"/>
          <w:b/>
          <w:bCs/>
          <w:spacing w:val="-10"/>
          <w:sz w:val="32"/>
          <w:szCs w:val="32"/>
        </w:rPr>
        <w:t>能源生产、销售与库存</w:t>
      </w:r>
    </w:p>
    <w:p w14:paraId="5A501FD5">
      <w:pPr>
        <w:spacing w:before="289" w:line="221" w:lineRule="auto"/>
        <w:ind w:left="6974"/>
        <w:rPr>
          <w:rFonts w:ascii="宋体" w:hAnsi="宋体" w:eastAsia="宋体" w:cs="宋体"/>
          <w:sz w:val="18"/>
          <w:szCs w:val="18"/>
        </w:rPr>
      </w:pPr>
      <w:r>
        <w:rPr>
          <w:rFonts w:ascii="宋体" w:hAnsi="宋体" w:eastAsia="宋体" w:cs="宋体"/>
          <w:spacing w:val="-14"/>
          <w:sz w:val="18"/>
          <w:szCs w:val="18"/>
        </w:rPr>
        <w:t>表</w:t>
      </w:r>
      <w:r>
        <w:rPr>
          <w:rFonts w:ascii="宋体" w:hAnsi="宋体" w:eastAsia="宋体" w:cs="宋体"/>
          <w:spacing w:val="2"/>
          <w:sz w:val="18"/>
          <w:szCs w:val="18"/>
        </w:rPr>
        <w:t xml:space="preserve">    </w:t>
      </w:r>
      <w:r>
        <w:rPr>
          <w:rFonts w:ascii="宋体" w:hAnsi="宋体" w:eastAsia="宋体" w:cs="宋体"/>
          <w:spacing w:val="-14"/>
          <w:sz w:val="18"/>
          <w:szCs w:val="18"/>
        </w:rPr>
        <w:t>号：</w:t>
      </w:r>
      <w:r>
        <w:rPr>
          <w:rFonts w:ascii="宋体" w:hAnsi="宋体" w:eastAsia="宋体" w:cs="宋体"/>
          <w:spacing w:val="68"/>
          <w:sz w:val="18"/>
          <w:szCs w:val="18"/>
        </w:rPr>
        <w:t xml:space="preserve"> </w:t>
      </w:r>
      <w:r>
        <w:rPr>
          <w:rFonts w:ascii="宋体" w:hAnsi="宋体" w:eastAsia="宋体" w:cs="宋体"/>
          <w:spacing w:val="-14"/>
          <w:sz w:val="18"/>
          <w:szCs w:val="18"/>
        </w:rPr>
        <w:t>2</w:t>
      </w:r>
      <w:r>
        <w:rPr>
          <w:rFonts w:ascii="宋体" w:hAnsi="宋体" w:eastAsia="宋体" w:cs="宋体"/>
          <w:spacing w:val="19"/>
          <w:sz w:val="18"/>
          <w:szCs w:val="18"/>
        </w:rPr>
        <w:t xml:space="preserve">  </w:t>
      </w:r>
      <w:r>
        <w:rPr>
          <w:rFonts w:ascii="宋体" w:hAnsi="宋体" w:eastAsia="宋体" w:cs="宋体"/>
          <w:spacing w:val="-14"/>
          <w:sz w:val="18"/>
          <w:szCs w:val="18"/>
        </w:rPr>
        <w:t>0</w:t>
      </w:r>
      <w:r>
        <w:rPr>
          <w:rFonts w:ascii="宋体" w:hAnsi="宋体" w:eastAsia="宋体" w:cs="宋体"/>
          <w:spacing w:val="14"/>
          <w:sz w:val="18"/>
          <w:szCs w:val="18"/>
        </w:rPr>
        <w:t xml:space="preserve">  </w:t>
      </w:r>
      <w:r>
        <w:rPr>
          <w:rFonts w:ascii="宋体" w:hAnsi="宋体" w:eastAsia="宋体" w:cs="宋体"/>
          <w:spacing w:val="-14"/>
          <w:sz w:val="18"/>
          <w:szCs w:val="18"/>
        </w:rPr>
        <w:t>5</w:t>
      </w:r>
      <w:r>
        <w:rPr>
          <w:rFonts w:ascii="宋体" w:hAnsi="宋体" w:eastAsia="宋体" w:cs="宋体"/>
          <w:spacing w:val="6"/>
          <w:sz w:val="18"/>
          <w:szCs w:val="18"/>
        </w:rPr>
        <w:t xml:space="preserve">  </w:t>
      </w:r>
      <w:r>
        <w:rPr>
          <w:rFonts w:ascii="宋体" w:hAnsi="宋体" w:eastAsia="宋体" w:cs="宋体"/>
          <w:spacing w:val="-14"/>
          <w:sz w:val="18"/>
          <w:szCs w:val="18"/>
        </w:rPr>
        <w:t>—  6</w:t>
      </w:r>
      <w:r>
        <w:rPr>
          <w:rFonts w:ascii="宋体" w:hAnsi="宋体" w:eastAsia="宋体" w:cs="宋体"/>
          <w:spacing w:val="88"/>
          <w:w w:val="101"/>
          <w:sz w:val="18"/>
          <w:szCs w:val="18"/>
        </w:rPr>
        <w:t xml:space="preserve"> </w:t>
      </w:r>
      <w:r>
        <w:rPr>
          <w:rFonts w:ascii="宋体" w:hAnsi="宋体" w:eastAsia="宋体" w:cs="宋体"/>
          <w:spacing w:val="-14"/>
          <w:sz w:val="18"/>
          <w:szCs w:val="18"/>
        </w:rPr>
        <w:t>表</w:t>
      </w:r>
    </w:p>
    <w:p w14:paraId="3245611B">
      <w:pPr>
        <w:spacing w:before="42" w:line="229" w:lineRule="auto"/>
        <w:ind w:left="15"/>
        <w:rPr>
          <w:rFonts w:ascii="宋体" w:hAnsi="宋体" w:eastAsia="宋体" w:cs="宋体"/>
          <w:sz w:val="18"/>
          <w:szCs w:val="18"/>
        </w:rPr>
      </w:pPr>
      <w:r>
        <w:rPr>
          <w:rFonts w:ascii="宋体" w:hAnsi="宋体" w:eastAsia="宋体" w:cs="宋体"/>
          <w:spacing w:val="-4"/>
          <w:sz w:val="18"/>
          <w:szCs w:val="18"/>
        </w:rPr>
        <w:t xml:space="preserve">统一社会信用代码口口                      </w:t>
      </w:r>
      <w:r>
        <w:rPr>
          <w:rFonts w:ascii="宋体" w:hAnsi="宋体" w:eastAsia="宋体" w:cs="宋体"/>
          <w:spacing w:val="-5"/>
          <w:sz w:val="18"/>
          <w:szCs w:val="18"/>
        </w:rPr>
        <w:t xml:space="preserve">                                      制定机关：  国  家  统</w:t>
      </w:r>
      <w:r>
        <w:rPr>
          <w:rFonts w:ascii="宋体" w:hAnsi="宋体" w:eastAsia="宋体" w:cs="宋体"/>
          <w:spacing w:val="7"/>
          <w:sz w:val="18"/>
          <w:szCs w:val="18"/>
        </w:rPr>
        <w:t xml:space="preserve">  </w:t>
      </w:r>
      <w:r>
        <w:rPr>
          <w:rFonts w:ascii="宋体" w:hAnsi="宋体" w:eastAsia="宋体" w:cs="宋体"/>
          <w:spacing w:val="-5"/>
          <w:sz w:val="18"/>
          <w:szCs w:val="18"/>
        </w:rPr>
        <w:t>计</w:t>
      </w:r>
      <w:r>
        <w:rPr>
          <w:rFonts w:ascii="宋体" w:hAnsi="宋体" w:eastAsia="宋体" w:cs="宋体"/>
          <w:spacing w:val="9"/>
          <w:sz w:val="18"/>
          <w:szCs w:val="18"/>
        </w:rPr>
        <w:t xml:space="preserve">  </w:t>
      </w:r>
      <w:r>
        <w:rPr>
          <w:rFonts w:ascii="宋体" w:hAnsi="宋体" w:eastAsia="宋体" w:cs="宋体"/>
          <w:spacing w:val="-5"/>
          <w:sz w:val="18"/>
          <w:szCs w:val="18"/>
        </w:rPr>
        <w:t>局</w:t>
      </w:r>
    </w:p>
    <w:p w14:paraId="55701119">
      <w:pPr>
        <w:spacing w:before="37" w:line="219" w:lineRule="auto"/>
        <w:ind w:left="6974"/>
        <w:rPr>
          <w:rFonts w:ascii="宋体" w:hAnsi="宋体" w:eastAsia="宋体" w:cs="宋体"/>
          <w:sz w:val="18"/>
          <w:szCs w:val="18"/>
        </w:rPr>
      </w:pPr>
      <w:r>
        <w:rPr>
          <w:rFonts w:ascii="宋体" w:hAnsi="宋体" w:eastAsia="宋体" w:cs="宋体"/>
          <w:spacing w:val="-3"/>
          <w:sz w:val="18"/>
          <w:szCs w:val="18"/>
        </w:rPr>
        <w:t>文</w:t>
      </w:r>
      <w:r>
        <w:rPr>
          <w:rFonts w:ascii="宋体" w:hAnsi="宋体" w:eastAsia="宋体" w:cs="宋体"/>
          <w:spacing w:val="30"/>
          <w:sz w:val="18"/>
          <w:szCs w:val="18"/>
        </w:rPr>
        <w:t xml:space="preserve">   </w:t>
      </w:r>
      <w:r>
        <w:rPr>
          <w:rFonts w:ascii="宋体" w:hAnsi="宋体" w:eastAsia="宋体" w:cs="宋体"/>
          <w:spacing w:val="-3"/>
          <w:sz w:val="18"/>
          <w:szCs w:val="18"/>
        </w:rPr>
        <w:t>号：</w:t>
      </w:r>
      <w:r>
        <w:rPr>
          <w:rFonts w:ascii="宋体" w:hAnsi="宋体" w:eastAsia="宋体" w:cs="宋体"/>
          <w:spacing w:val="35"/>
          <w:sz w:val="18"/>
          <w:szCs w:val="18"/>
        </w:rPr>
        <w:t xml:space="preserve"> </w:t>
      </w:r>
      <w:r>
        <w:rPr>
          <w:rFonts w:ascii="宋体" w:hAnsi="宋体" w:eastAsia="宋体" w:cs="宋体"/>
          <w:spacing w:val="-3"/>
          <w:sz w:val="18"/>
          <w:szCs w:val="18"/>
        </w:rPr>
        <w:t>国统字〔202</w:t>
      </w:r>
      <w:r>
        <w:rPr>
          <w:rFonts w:hint="eastAsia" w:ascii="宋体" w:hAnsi="宋体" w:eastAsia="宋体" w:cs="宋体"/>
          <w:spacing w:val="-3"/>
          <w:sz w:val="18"/>
          <w:szCs w:val="18"/>
          <w:lang w:val="en-US" w:eastAsia="zh-CN"/>
        </w:rPr>
        <w:t>4</w:t>
      </w:r>
      <w:r>
        <w:rPr>
          <w:rFonts w:ascii="宋体" w:hAnsi="宋体" w:eastAsia="宋体" w:cs="宋体"/>
          <w:spacing w:val="-3"/>
          <w:sz w:val="18"/>
          <w:szCs w:val="18"/>
        </w:rPr>
        <w:t>〕</w:t>
      </w:r>
      <w:r>
        <w:rPr>
          <w:rFonts w:hint="eastAsia" w:ascii="宋体" w:hAnsi="宋体" w:eastAsia="宋体" w:cs="宋体"/>
          <w:spacing w:val="-3"/>
          <w:sz w:val="18"/>
          <w:szCs w:val="18"/>
          <w:lang w:val="en-US" w:eastAsia="zh-CN"/>
        </w:rPr>
        <w:t>77</w:t>
      </w:r>
      <w:r>
        <w:rPr>
          <w:rFonts w:ascii="宋体" w:hAnsi="宋体" w:eastAsia="宋体" w:cs="宋体"/>
          <w:spacing w:val="-3"/>
          <w:sz w:val="18"/>
          <w:szCs w:val="18"/>
        </w:rPr>
        <w:t>号</w:t>
      </w:r>
    </w:p>
    <w:p w14:paraId="05363723">
      <w:pPr>
        <w:spacing w:before="46" w:line="230" w:lineRule="auto"/>
        <w:ind w:left="45"/>
        <w:rPr>
          <w:rFonts w:ascii="宋体" w:hAnsi="宋体" w:eastAsia="宋体" w:cs="宋体"/>
          <w:sz w:val="18"/>
          <w:szCs w:val="18"/>
        </w:rPr>
      </w:pPr>
      <w:r>
        <w:rPr>
          <w:rFonts w:ascii="宋体" w:hAnsi="宋体" w:eastAsia="宋体" w:cs="宋体"/>
          <w:spacing w:val="-11"/>
          <w:sz w:val="18"/>
          <w:szCs w:val="18"/>
        </w:rPr>
        <w:t>单位详细名称：</w:t>
      </w:r>
      <w:r>
        <w:rPr>
          <w:rFonts w:ascii="宋体" w:hAnsi="宋体" w:eastAsia="宋体" w:cs="宋体"/>
          <w:sz w:val="18"/>
          <w:szCs w:val="18"/>
        </w:rPr>
        <w:t xml:space="preserve">                                </w:t>
      </w:r>
      <w:r>
        <w:rPr>
          <w:rFonts w:ascii="宋体" w:hAnsi="宋体" w:eastAsia="宋体" w:cs="宋体"/>
          <w:spacing w:val="-11"/>
          <w:sz w:val="14"/>
          <w:szCs w:val="14"/>
        </w:rPr>
        <w:t xml:space="preserve">20        </w:t>
      </w:r>
      <w:r>
        <w:rPr>
          <w:rFonts w:ascii="宋体" w:hAnsi="宋体" w:eastAsia="宋体" w:cs="宋体"/>
          <w:spacing w:val="-11"/>
          <w:sz w:val="18"/>
          <w:szCs w:val="18"/>
        </w:rPr>
        <w:t xml:space="preserve">年     </w:t>
      </w:r>
      <w:r>
        <w:rPr>
          <w:rFonts w:ascii="宋体" w:hAnsi="宋体" w:eastAsia="宋体" w:cs="宋体"/>
          <w:spacing w:val="-12"/>
          <w:sz w:val="18"/>
          <w:szCs w:val="18"/>
        </w:rPr>
        <w:t xml:space="preserve">  月                 有效期至：</w:t>
      </w:r>
      <w:r>
        <w:rPr>
          <w:rFonts w:ascii="宋体" w:hAnsi="宋体" w:eastAsia="宋体" w:cs="宋体"/>
          <w:spacing w:val="14"/>
          <w:sz w:val="18"/>
          <w:szCs w:val="18"/>
        </w:rPr>
        <w:t xml:space="preserve">  </w:t>
      </w:r>
      <w:r>
        <w:rPr>
          <w:rFonts w:ascii="宋体" w:hAnsi="宋体" w:eastAsia="宋体" w:cs="宋体"/>
          <w:spacing w:val="-12"/>
          <w:sz w:val="18"/>
          <w:szCs w:val="18"/>
        </w:rPr>
        <w:t>2</w:t>
      </w:r>
      <w:r>
        <w:rPr>
          <w:rFonts w:ascii="宋体" w:hAnsi="宋体" w:eastAsia="宋体" w:cs="宋体"/>
          <w:spacing w:val="5"/>
          <w:sz w:val="18"/>
          <w:szCs w:val="18"/>
        </w:rPr>
        <w:t xml:space="preserve">  </w:t>
      </w:r>
      <w:r>
        <w:rPr>
          <w:rFonts w:ascii="宋体" w:hAnsi="宋体" w:eastAsia="宋体" w:cs="宋体"/>
          <w:spacing w:val="-12"/>
          <w:sz w:val="18"/>
          <w:szCs w:val="18"/>
        </w:rPr>
        <w:t xml:space="preserve">0  2  </w:t>
      </w:r>
      <w:r>
        <w:rPr>
          <w:rFonts w:hint="eastAsia" w:ascii="宋体" w:hAnsi="宋体" w:eastAsia="宋体" w:cs="宋体"/>
          <w:spacing w:val="-12"/>
          <w:sz w:val="18"/>
          <w:szCs w:val="18"/>
          <w:lang w:val="en-US" w:eastAsia="zh-CN"/>
        </w:rPr>
        <w:t>6</w:t>
      </w:r>
      <w:r>
        <w:rPr>
          <w:rFonts w:ascii="宋体" w:hAnsi="宋体" w:eastAsia="宋体" w:cs="宋体"/>
          <w:spacing w:val="38"/>
          <w:sz w:val="18"/>
          <w:szCs w:val="18"/>
        </w:rPr>
        <w:t xml:space="preserve"> </w:t>
      </w:r>
      <w:r>
        <w:rPr>
          <w:rFonts w:ascii="宋体" w:hAnsi="宋体" w:eastAsia="宋体" w:cs="宋体"/>
          <w:spacing w:val="-12"/>
          <w:sz w:val="18"/>
          <w:szCs w:val="18"/>
        </w:rPr>
        <w:t>年  1</w:t>
      </w:r>
      <w:r>
        <w:rPr>
          <w:rFonts w:ascii="宋体" w:hAnsi="宋体" w:eastAsia="宋体" w:cs="宋体"/>
          <w:spacing w:val="21"/>
          <w:sz w:val="18"/>
          <w:szCs w:val="18"/>
        </w:rPr>
        <w:t xml:space="preserve"> </w:t>
      </w:r>
      <w:r>
        <w:rPr>
          <w:rFonts w:ascii="宋体" w:hAnsi="宋体" w:eastAsia="宋体" w:cs="宋体"/>
          <w:spacing w:val="-12"/>
          <w:sz w:val="18"/>
          <w:szCs w:val="18"/>
        </w:rPr>
        <w:t>月</w:t>
      </w:r>
    </w:p>
    <w:p w14:paraId="3FD04793">
      <w:pPr>
        <w:spacing w:line="34" w:lineRule="exact"/>
      </w:pPr>
    </w:p>
    <w:tbl>
      <w:tblPr>
        <w:tblStyle w:val="5"/>
        <w:tblW w:w="959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5"/>
        <w:gridCol w:w="599"/>
        <w:gridCol w:w="619"/>
        <w:gridCol w:w="599"/>
        <w:gridCol w:w="590"/>
        <w:gridCol w:w="699"/>
        <w:gridCol w:w="609"/>
        <w:gridCol w:w="619"/>
        <w:gridCol w:w="599"/>
        <w:gridCol w:w="609"/>
        <w:gridCol w:w="599"/>
        <w:gridCol w:w="639"/>
        <w:gridCol w:w="600"/>
        <w:gridCol w:w="550"/>
        <w:gridCol w:w="600"/>
        <w:gridCol w:w="644"/>
      </w:tblGrid>
      <w:tr w14:paraId="7DDD98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425" w:type="dxa"/>
            <w:vMerge w:val="restart"/>
            <w:tcBorders>
              <w:bottom w:val="nil"/>
            </w:tcBorders>
            <w:textDirection w:val="tbRlV"/>
            <w:vAlign w:val="top"/>
          </w:tcPr>
          <w:p w14:paraId="709E1239">
            <w:pPr>
              <w:pStyle w:val="6"/>
              <w:spacing w:before="120" w:line="216" w:lineRule="auto"/>
              <w:ind w:left="366"/>
            </w:pPr>
            <w:r>
              <w:t>产</w:t>
            </w:r>
            <w:r>
              <w:rPr>
                <w:spacing w:val="-32"/>
              </w:rPr>
              <w:t xml:space="preserve"> </w:t>
            </w:r>
            <w:r>
              <w:t>品</w:t>
            </w:r>
            <w:r>
              <w:rPr>
                <w:spacing w:val="-32"/>
              </w:rPr>
              <w:t xml:space="preserve"> </w:t>
            </w:r>
            <w:r>
              <w:t>名</w:t>
            </w:r>
            <w:r>
              <w:rPr>
                <w:spacing w:val="-32"/>
              </w:rPr>
              <w:t xml:space="preserve"> </w:t>
            </w:r>
            <w:r>
              <w:t>称</w:t>
            </w:r>
          </w:p>
        </w:tc>
        <w:tc>
          <w:tcPr>
            <w:tcW w:w="599" w:type="dxa"/>
            <w:vMerge w:val="restart"/>
            <w:tcBorders>
              <w:bottom w:val="nil"/>
            </w:tcBorders>
            <w:vAlign w:val="top"/>
          </w:tcPr>
          <w:p w14:paraId="7379E0B7">
            <w:pPr>
              <w:spacing w:line="280" w:lineRule="auto"/>
              <w:rPr>
                <w:rFonts w:ascii="Arial"/>
                <w:sz w:val="21"/>
              </w:rPr>
            </w:pPr>
          </w:p>
          <w:p w14:paraId="4DB29F6F">
            <w:pPr>
              <w:spacing w:line="281" w:lineRule="auto"/>
              <w:rPr>
                <w:rFonts w:ascii="Arial"/>
                <w:sz w:val="21"/>
              </w:rPr>
            </w:pPr>
          </w:p>
          <w:p w14:paraId="038427E7">
            <w:pPr>
              <w:pStyle w:val="6"/>
              <w:spacing w:before="59" w:line="239" w:lineRule="exact"/>
              <w:ind w:left="109"/>
            </w:pPr>
            <w:r>
              <w:rPr>
                <w:spacing w:val="-2"/>
                <w:position w:val="4"/>
              </w:rPr>
              <w:t>计量</w:t>
            </w:r>
          </w:p>
          <w:p w14:paraId="0CDC8AF7">
            <w:pPr>
              <w:pStyle w:val="6"/>
              <w:spacing w:line="220" w:lineRule="auto"/>
              <w:ind w:left="109"/>
            </w:pPr>
            <w:r>
              <w:rPr>
                <w:spacing w:val="-3"/>
              </w:rPr>
              <w:t>单位</w:t>
            </w:r>
          </w:p>
        </w:tc>
        <w:tc>
          <w:tcPr>
            <w:tcW w:w="619" w:type="dxa"/>
            <w:vMerge w:val="restart"/>
            <w:tcBorders>
              <w:bottom w:val="nil"/>
            </w:tcBorders>
            <w:vAlign w:val="top"/>
          </w:tcPr>
          <w:p w14:paraId="6395056E">
            <w:pPr>
              <w:spacing w:line="280" w:lineRule="auto"/>
              <w:rPr>
                <w:rFonts w:ascii="Arial"/>
                <w:sz w:val="21"/>
              </w:rPr>
            </w:pPr>
          </w:p>
          <w:p w14:paraId="07AB8A69">
            <w:pPr>
              <w:spacing w:line="281" w:lineRule="auto"/>
              <w:rPr>
                <w:rFonts w:ascii="Arial"/>
                <w:sz w:val="21"/>
              </w:rPr>
            </w:pPr>
          </w:p>
          <w:p w14:paraId="1B5A1F9A">
            <w:pPr>
              <w:pStyle w:val="6"/>
              <w:spacing w:before="58" w:line="222" w:lineRule="auto"/>
              <w:ind w:left="121" w:right="109"/>
            </w:pPr>
            <w:r>
              <w:rPr>
                <w:spacing w:val="9"/>
              </w:rPr>
              <w:t>产品</w:t>
            </w:r>
            <w:r>
              <w:t xml:space="preserve"> </w:t>
            </w:r>
            <w:r>
              <w:rPr>
                <w:spacing w:val="-2"/>
              </w:rPr>
              <w:t>代码</w:t>
            </w:r>
          </w:p>
        </w:tc>
        <w:tc>
          <w:tcPr>
            <w:tcW w:w="599" w:type="dxa"/>
            <w:vMerge w:val="restart"/>
            <w:tcBorders>
              <w:bottom w:val="nil"/>
            </w:tcBorders>
            <w:vAlign w:val="top"/>
          </w:tcPr>
          <w:p w14:paraId="70545D27">
            <w:pPr>
              <w:spacing w:line="342" w:lineRule="auto"/>
              <w:rPr>
                <w:rFonts w:ascii="Arial"/>
                <w:sz w:val="21"/>
              </w:rPr>
            </w:pPr>
          </w:p>
          <w:p w14:paraId="7BE94739">
            <w:pPr>
              <w:pStyle w:val="6"/>
              <w:spacing w:before="59" w:line="234" w:lineRule="auto"/>
              <w:ind w:left="111" w:right="105"/>
              <w:jc w:val="both"/>
            </w:pPr>
            <w:r>
              <w:rPr>
                <w:spacing w:val="-4"/>
              </w:rPr>
              <w:t>年初</w:t>
            </w:r>
            <w:r>
              <w:t xml:space="preserve"> </w:t>
            </w:r>
            <w:r>
              <w:rPr>
                <w:spacing w:val="-4"/>
              </w:rPr>
              <w:t>产成</w:t>
            </w:r>
            <w:r>
              <w:t xml:space="preserve"> </w:t>
            </w:r>
            <w:r>
              <w:rPr>
                <w:spacing w:val="5"/>
              </w:rPr>
              <w:t>品库</w:t>
            </w:r>
            <w:r>
              <w:t xml:space="preserve"> </w:t>
            </w:r>
            <w:r>
              <w:rPr>
                <w:spacing w:val="-2"/>
              </w:rPr>
              <w:t>存量</w:t>
            </w:r>
          </w:p>
        </w:tc>
        <w:tc>
          <w:tcPr>
            <w:tcW w:w="2517" w:type="dxa"/>
            <w:gridSpan w:val="4"/>
            <w:vAlign w:val="top"/>
          </w:tcPr>
          <w:p w14:paraId="7AB01A07">
            <w:pPr>
              <w:pStyle w:val="6"/>
              <w:spacing w:before="192" w:line="219" w:lineRule="auto"/>
              <w:ind w:left="992"/>
            </w:pPr>
            <w:r>
              <w:rPr>
                <w:spacing w:val="-2"/>
              </w:rPr>
              <w:t>生产量</w:t>
            </w:r>
          </w:p>
        </w:tc>
        <w:tc>
          <w:tcPr>
            <w:tcW w:w="2446" w:type="dxa"/>
            <w:gridSpan w:val="4"/>
            <w:vAlign w:val="top"/>
          </w:tcPr>
          <w:p w14:paraId="3B2AF9DB">
            <w:pPr>
              <w:spacing w:line="303" w:lineRule="auto"/>
              <w:rPr>
                <w:rFonts w:ascii="Arial"/>
                <w:sz w:val="21"/>
              </w:rPr>
            </w:pPr>
          </w:p>
          <w:p w14:paraId="31141CCD">
            <w:pPr>
              <w:pStyle w:val="6"/>
              <w:spacing w:before="58" w:line="194" w:lineRule="auto"/>
              <w:ind w:left="355"/>
            </w:pPr>
            <w:r>
              <w:rPr>
                <w:spacing w:val="-2"/>
              </w:rPr>
              <w:t>销售量</w:t>
            </w:r>
          </w:p>
        </w:tc>
        <w:tc>
          <w:tcPr>
            <w:tcW w:w="1150" w:type="dxa"/>
            <w:gridSpan w:val="2"/>
            <w:vAlign w:val="top"/>
          </w:tcPr>
          <w:p w14:paraId="25D23D28">
            <w:pPr>
              <w:pStyle w:val="6"/>
              <w:spacing w:before="92" w:line="223" w:lineRule="auto"/>
              <w:ind w:left="209" w:right="188"/>
            </w:pPr>
            <w:r>
              <w:rPr>
                <w:spacing w:val="5"/>
              </w:rPr>
              <w:t>企业自用</w:t>
            </w:r>
            <w:r>
              <w:t xml:space="preserve"> </w:t>
            </w:r>
            <w:r>
              <w:rPr>
                <w:spacing w:val="-5"/>
              </w:rPr>
              <w:t>及</w:t>
            </w:r>
            <w:r>
              <w:rPr>
                <w:spacing w:val="14"/>
              </w:rPr>
              <w:t xml:space="preserve"> </w:t>
            </w:r>
            <w:r>
              <w:rPr>
                <w:spacing w:val="-5"/>
              </w:rPr>
              <w:t>其</w:t>
            </w:r>
            <w:r>
              <w:rPr>
                <w:spacing w:val="14"/>
              </w:rPr>
              <w:t xml:space="preserve"> </w:t>
            </w:r>
            <w:r>
              <w:rPr>
                <w:spacing w:val="-5"/>
              </w:rPr>
              <w:t>他</w:t>
            </w:r>
          </w:p>
        </w:tc>
        <w:tc>
          <w:tcPr>
            <w:tcW w:w="1244" w:type="dxa"/>
            <w:gridSpan w:val="2"/>
            <w:vAlign w:val="top"/>
          </w:tcPr>
          <w:p w14:paraId="4ECB71E7">
            <w:pPr>
              <w:pStyle w:val="6"/>
              <w:spacing w:before="82" w:line="217" w:lineRule="auto"/>
              <w:ind w:left="349" w:right="145" w:hanging="180"/>
            </w:pPr>
            <w:r>
              <w:rPr>
                <w:spacing w:val="3"/>
              </w:rPr>
              <w:t>期末产成品</w:t>
            </w:r>
            <w:r>
              <w:rPr>
                <w:spacing w:val="2"/>
              </w:rPr>
              <w:t xml:space="preserve"> </w:t>
            </w:r>
            <w:r>
              <w:rPr>
                <w:spacing w:val="-2"/>
              </w:rPr>
              <w:t>库存量</w:t>
            </w:r>
          </w:p>
        </w:tc>
      </w:tr>
      <w:tr w14:paraId="3C88E3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trPr>
        <w:tc>
          <w:tcPr>
            <w:tcW w:w="425" w:type="dxa"/>
            <w:vMerge w:val="continue"/>
            <w:tcBorders>
              <w:top w:val="nil"/>
              <w:bottom w:val="nil"/>
            </w:tcBorders>
            <w:textDirection w:val="tbRlV"/>
            <w:vAlign w:val="top"/>
          </w:tcPr>
          <w:p w14:paraId="3BC6F7DF">
            <w:pPr>
              <w:rPr>
                <w:rFonts w:ascii="Arial"/>
                <w:sz w:val="21"/>
              </w:rPr>
            </w:pPr>
          </w:p>
        </w:tc>
        <w:tc>
          <w:tcPr>
            <w:tcW w:w="599" w:type="dxa"/>
            <w:vMerge w:val="continue"/>
            <w:tcBorders>
              <w:top w:val="nil"/>
              <w:bottom w:val="nil"/>
            </w:tcBorders>
            <w:vAlign w:val="top"/>
          </w:tcPr>
          <w:p w14:paraId="63E10068">
            <w:pPr>
              <w:rPr>
                <w:rFonts w:ascii="Arial"/>
                <w:sz w:val="21"/>
              </w:rPr>
            </w:pPr>
          </w:p>
        </w:tc>
        <w:tc>
          <w:tcPr>
            <w:tcW w:w="619" w:type="dxa"/>
            <w:vMerge w:val="continue"/>
            <w:tcBorders>
              <w:top w:val="nil"/>
              <w:bottom w:val="nil"/>
            </w:tcBorders>
            <w:vAlign w:val="top"/>
          </w:tcPr>
          <w:p w14:paraId="7492882A">
            <w:pPr>
              <w:rPr>
                <w:rFonts w:ascii="Arial"/>
                <w:sz w:val="21"/>
              </w:rPr>
            </w:pPr>
          </w:p>
        </w:tc>
        <w:tc>
          <w:tcPr>
            <w:tcW w:w="599" w:type="dxa"/>
            <w:vMerge w:val="continue"/>
            <w:tcBorders>
              <w:top w:val="nil"/>
              <w:bottom w:val="nil"/>
            </w:tcBorders>
            <w:vAlign w:val="top"/>
          </w:tcPr>
          <w:p w14:paraId="1044235C">
            <w:pPr>
              <w:rPr>
                <w:rFonts w:ascii="Arial"/>
                <w:sz w:val="21"/>
              </w:rPr>
            </w:pPr>
          </w:p>
        </w:tc>
        <w:tc>
          <w:tcPr>
            <w:tcW w:w="1289" w:type="dxa"/>
            <w:gridSpan w:val="2"/>
            <w:vAlign w:val="top"/>
          </w:tcPr>
          <w:p w14:paraId="55C09368">
            <w:pPr>
              <w:pStyle w:val="6"/>
              <w:spacing w:before="138" w:line="219" w:lineRule="auto"/>
              <w:ind w:left="473"/>
            </w:pPr>
            <w:r>
              <w:rPr>
                <w:spacing w:val="-2"/>
              </w:rPr>
              <w:t>本年</w:t>
            </w:r>
          </w:p>
        </w:tc>
        <w:tc>
          <w:tcPr>
            <w:tcW w:w="1228" w:type="dxa"/>
            <w:gridSpan w:val="2"/>
            <w:shd w:val="clear" w:color="auto" w:fill="D9D9D9"/>
            <w:vAlign w:val="top"/>
          </w:tcPr>
          <w:p w14:paraId="44C325D2">
            <w:pPr>
              <w:pStyle w:val="6"/>
              <w:spacing w:before="139" w:line="219" w:lineRule="auto"/>
              <w:ind w:left="284"/>
            </w:pPr>
            <w:r>
              <w:rPr>
                <w:spacing w:val="2"/>
              </w:rPr>
              <w:t>上年同期</w:t>
            </w:r>
          </w:p>
        </w:tc>
        <w:tc>
          <w:tcPr>
            <w:tcW w:w="1208" w:type="dxa"/>
            <w:gridSpan w:val="2"/>
            <w:vAlign w:val="top"/>
          </w:tcPr>
          <w:p w14:paraId="0A990C16">
            <w:pPr>
              <w:rPr>
                <w:rFonts w:ascii="Arial"/>
                <w:sz w:val="21"/>
              </w:rPr>
            </w:pPr>
          </w:p>
        </w:tc>
        <w:tc>
          <w:tcPr>
            <w:tcW w:w="1238" w:type="dxa"/>
            <w:gridSpan w:val="2"/>
            <w:vAlign w:val="top"/>
          </w:tcPr>
          <w:p w14:paraId="40A63787">
            <w:pPr>
              <w:pStyle w:val="6"/>
              <w:spacing w:before="20" w:line="220" w:lineRule="auto"/>
              <w:ind w:left="207"/>
            </w:pPr>
            <w:r>
              <w:rPr>
                <w:spacing w:val="-1"/>
              </w:rPr>
              <w:t>其中：</w:t>
            </w:r>
          </w:p>
          <w:p w14:paraId="3FC08668">
            <w:pPr>
              <w:pStyle w:val="6"/>
              <w:spacing w:before="24" w:line="194" w:lineRule="auto"/>
              <w:ind w:left="268"/>
            </w:pPr>
            <w:r>
              <w:rPr>
                <w:spacing w:val="-2"/>
              </w:rPr>
              <w:t>销往省外</w:t>
            </w:r>
          </w:p>
        </w:tc>
        <w:tc>
          <w:tcPr>
            <w:tcW w:w="600" w:type="dxa"/>
            <w:vMerge w:val="restart"/>
            <w:tcBorders>
              <w:bottom w:val="nil"/>
            </w:tcBorders>
            <w:vAlign w:val="top"/>
          </w:tcPr>
          <w:p w14:paraId="45EED28A">
            <w:pPr>
              <w:spacing w:line="344" w:lineRule="auto"/>
              <w:rPr>
                <w:rFonts w:ascii="Arial"/>
                <w:sz w:val="21"/>
              </w:rPr>
            </w:pPr>
          </w:p>
          <w:p w14:paraId="5F141218">
            <w:pPr>
              <w:pStyle w:val="6"/>
              <w:spacing w:before="59" w:line="178" w:lineRule="auto"/>
              <w:ind w:left="209"/>
            </w:pPr>
            <w:r>
              <w:rPr>
                <w:spacing w:val="-11"/>
              </w:rPr>
              <w:t>1-</w:t>
            </w:r>
          </w:p>
          <w:p w14:paraId="0D136F63">
            <w:pPr>
              <w:pStyle w:val="6"/>
              <w:spacing w:line="218" w:lineRule="auto"/>
              <w:ind w:left="120"/>
            </w:pPr>
            <w:r>
              <w:rPr>
                <w:spacing w:val="23"/>
              </w:rPr>
              <w:t>本月</w:t>
            </w:r>
          </w:p>
        </w:tc>
        <w:tc>
          <w:tcPr>
            <w:tcW w:w="550" w:type="dxa"/>
            <w:vMerge w:val="restart"/>
            <w:tcBorders>
              <w:bottom w:val="nil"/>
            </w:tcBorders>
            <w:shd w:val="clear" w:color="auto" w:fill="D9D9D9"/>
            <w:textDirection w:val="tbRlV"/>
            <w:vAlign w:val="top"/>
          </w:tcPr>
          <w:p w14:paraId="5F91D6EE">
            <w:pPr>
              <w:pStyle w:val="6"/>
              <w:spacing w:before="180" w:line="216" w:lineRule="auto"/>
              <w:ind w:left="61"/>
            </w:pPr>
            <w:r>
              <w:t>上</w:t>
            </w:r>
            <w:r>
              <w:rPr>
                <w:spacing w:val="-19"/>
              </w:rPr>
              <w:t xml:space="preserve"> </w:t>
            </w:r>
            <w:r>
              <w:t>年</w:t>
            </w:r>
            <w:r>
              <w:rPr>
                <w:spacing w:val="-19"/>
              </w:rPr>
              <w:t xml:space="preserve"> </w:t>
            </w:r>
            <w:r>
              <w:t>同</w:t>
            </w:r>
            <w:r>
              <w:rPr>
                <w:spacing w:val="-19"/>
              </w:rPr>
              <w:t xml:space="preserve"> </w:t>
            </w:r>
            <w:r>
              <w:t>期</w:t>
            </w:r>
          </w:p>
        </w:tc>
        <w:tc>
          <w:tcPr>
            <w:tcW w:w="600" w:type="dxa"/>
            <w:vMerge w:val="restart"/>
            <w:tcBorders>
              <w:bottom w:val="nil"/>
            </w:tcBorders>
            <w:vAlign w:val="top"/>
          </w:tcPr>
          <w:p w14:paraId="3BF6C2E7">
            <w:pPr>
              <w:spacing w:line="387" w:lineRule="auto"/>
              <w:rPr>
                <w:rFonts w:ascii="Arial"/>
                <w:sz w:val="21"/>
              </w:rPr>
            </w:pPr>
          </w:p>
          <w:p w14:paraId="2FB6C675">
            <w:pPr>
              <w:pStyle w:val="6"/>
              <w:spacing w:before="58" w:line="219" w:lineRule="auto"/>
              <w:ind w:left="119"/>
            </w:pPr>
            <w:r>
              <w:rPr>
                <w:spacing w:val="-2"/>
              </w:rPr>
              <w:t>本期</w:t>
            </w:r>
          </w:p>
        </w:tc>
        <w:tc>
          <w:tcPr>
            <w:tcW w:w="644" w:type="dxa"/>
            <w:vMerge w:val="restart"/>
            <w:tcBorders>
              <w:bottom w:val="nil"/>
            </w:tcBorders>
            <w:shd w:val="clear" w:color="auto" w:fill="D9D9D9"/>
            <w:vAlign w:val="top"/>
          </w:tcPr>
          <w:p w14:paraId="198A1D64">
            <w:pPr>
              <w:spacing w:line="270" w:lineRule="auto"/>
              <w:rPr>
                <w:rFonts w:ascii="Arial"/>
                <w:sz w:val="21"/>
              </w:rPr>
            </w:pPr>
          </w:p>
          <w:p w14:paraId="1156DE31">
            <w:pPr>
              <w:pStyle w:val="6"/>
              <w:spacing w:before="58" w:line="233" w:lineRule="auto"/>
              <w:ind w:left="139" w:right="122"/>
            </w:pPr>
            <w:r>
              <w:rPr>
                <w:spacing w:val="-5"/>
              </w:rPr>
              <w:t>上年</w:t>
            </w:r>
            <w:r>
              <w:t xml:space="preserve"> </w:t>
            </w:r>
            <w:r>
              <w:rPr>
                <w:spacing w:val="5"/>
              </w:rPr>
              <w:t>同期</w:t>
            </w:r>
          </w:p>
        </w:tc>
      </w:tr>
      <w:tr w14:paraId="6E83B8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 w:hRule="atLeast"/>
        </w:trPr>
        <w:tc>
          <w:tcPr>
            <w:tcW w:w="425" w:type="dxa"/>
            <w:vMerge w:val="continue"/>
            <w:tcBorders>
              <w:top w:val="nil"/>
            </w:tcBorders>
            <w:textDirection w:val="tbRlV"/>
            <w:vAlign w:val="top"/>
          </w:tcPr>
          <w:p w14:paraId="6142133B">
            <w:pPr>
              <w:rPr>
                <w:rFonts w:ascii="Arial"/>
                <w:sz w:val="21"/>
              </w:rPr>
            </w:pPr>
          </w:p>
        </w:tc>
        <w:tc>
          <w:tcPr>
            <w:tcW w:w="599" w:type="dxa"/>
            <w:vMerge w:val="continue"/>
            <w:tcBorders>
              <w:top w:val="nil"/>
            </w:tcBorders>
            <w:vAlign w:val="top"/>
          </w:tcPr>
          <w:p w14:paraId="2FC7ABE2">
            <w:pPr>
              <w:rPr>
                <w:rFonts w:ascii="Arial"/>
                <w:sz w:val="21"/>
              </w:rPr>
            </w:pPr>
          </w:p>
        </w:tc>
        <w:tc>
          <w:tcPr>
            <w:tcW w:w="619" w:type="dxa"/>
            <w:vMerge w:val="continue"/>
            <w:tcBorders>
              <w:top w:val="nil"/>
            </w:tcBorders>
            <w:vAlign w:val="top"/>
          </w:tcPr>
          <w:p w14:paraId="5B04DD7E">
            <w:pPr>
              <w:rPr>
                <w:rFonts w:ascii="Arial"/>
                <w:sz w:val="21"/>
              </w:rPr>
            </w:pPr>
          </w:p>
        </w:tc>
        <w:tc>
          <w:tcPr>
            <w:tcW w:w="599" w:type="dxa"/>
            <w:vMerge w:val="continue"/>
            <w:tcBorders>
              <w:top w:val="nil"/>
            </w:tcBorders>
            <w:vAlign w:val="top"/>
          </w:tcPr>
          <w:p w14:paraId="168DA591">
            <w:pPr>
              <w:rPr>
                <w:rFonts w:ascii="Arial"/>
                <w:sz w:val="21"/>
              </w:rPr>
            </w:pPr>
          </w:p>
        </w:tc>
        <w:tc>
          <w:tcPr>
            <w:tcW w:w="590" w:type="dxa"/>
            <w:vAlign w:val="top"/>
          </w:tcPr>
          <w:p w14:paraId="45F2F42B">
            <w:pPr>
              <w:pStyle w:val="6"/>
              <w:spacing w:before="210" w:line="219" w:lineRule="auto"/>
              <w:ind w:left="102"/>
            </w:pPr>
            <w:r>
              <w:rPr>
                <w:spacing w:val="23"/>
              </w:rPr>
              <w:t>本月</w:t>
            </w:r>
          </w:p>
        </w:tc>
        <w:tc>
          <w:tcPr>
            <w:tcW w:w="699" w:type="dxa"/>
            <w:vAlign w:val="top"/>
          </w:tcPr>
          <w:p w14:paraId="4570647F">
            <w:pPr>
              <w:pStyle w:val="6"/>
              <w:spacing w:before="177" w:line="178" w:lineRule="auto"/>
              <w:ind w:left="252"/>
            </w:pPr>
            <w:r>
              <w:rPr>
                <w:spacing w:val="-11"/>
              </w:rPr>
              <w:t>1-</w:t>
            </w:r>
          </w:p>
          <w:p w14:paraId="7D8C6448">
            <w:pPr>
              <w:pStyle w:val="6"/>
              <w:spacing w:line="218" w:lineRule="auto"/>
              <w:ind w:left="163"/>
            </w:pPr>
            <w:r>
              <w:rPr>
                <w:spacing w:val="23"/>
              </w:rPr>
              <w:t>本月</w:t>
            </w:r>
          </w:p>
        </w:tc>
        <w:tc>
          <w:tcPr>
            <w:tcW w:w="609" w:type="dxa"/>
            <w:shd w:val="clear" w:color="auto" w:fill="D9D9D9"/>
            <w:vAlign w:val="top"/>
          </w:tcPr>
          <w:p w14:paraId="3FC54B2A">
            <w:pPr>
              <w:pStyle w:val="6"/>
              <w:spacing w:before="210" w:line="219" w:lineRule="auto"/>
              <w:ind w:left="113"/>
            </w:pPr>
            <w:r>
              <w:rPr>
                <w:spacing w:val="23"/>
              </w:rPr>
              <w:t>本月</w:t>
            </w:r>
          </w:p>
        </w:tc>
        <w:tc>
          <w:tcPr>
            <w:tcW w:w="619" w:type="dxa"/>
            <w:shd w:val="clear" w:color="auto" w:fill="D9D9D9"/>
            <w:vAlign w:val="top"/>
          </w:tcPr>
          <w:p w14:paraId="54F4C67D">
            <w:pPr>
              <w:pStyle w:val="6"/>
              <w:spacing w:before="177" w:line="178" w:lineRule="auto"/>
              <w:ind w:left="215"/>
            </w:pPr>
            <w:r>
              <w:rPr>
                <w:spacing w:val="-11"/>
              </w:rPr>
              <w:t>1-</w:t>
            </w:r>
          </w:p>
          <w:p w14:paraId="2A06967E">
            <w:pPr>
              <w:pStyle w:val="6"/>
              <w:spacing w:line="218" w:lineRule="auto"/>
              <w:ind w:left="124"/>
            </w:pPr>
            <w:r>
              <w:rPr>
                <w:spacing w:val="23"/>
              </w:rPr>
              <w:t>本月</w:t>
            </w:r>
          </w:p>
        </w:tc>
        <w:tc>
          <w:tcPr>
            <w:tcW w:w="599" w:type="dxa"/>
            <w:vAlign w:val="top"/>
          </w:tcPr>
          <w:p w14:paraId="383D9381">
            <w:pPr>
              <w:pStyle w:val="6"/>
              <w:spacing w:before="177" w:line="178" w:lineRule="auto"/>
              <w:ind w:left="205"/>
            </w:pPr>
            <w:r>
              <w:rPr>
                <w:spacing w:val="-11"/>
              </w:rPr>
              <w:t>1-</w:t>
            </w:r>
          </w:p>
          <w:p w14:paraId="3CB20BBB">
            <w:pPr>
              <w:pStyle w:val="6"/>
              <w:spacing w:line="218" w:lineRule="auto"/>
              <w:ind w:left="116"/>
            </w:pPr>
            <w:r>
              <w:rPr>
                <w:spacing w:val="23"/>
              </w:rPr>
              <w:t>本月</w:t>
            </w:r>
          </w:p>
        </w:tc>
        <w:tc>
          <w:tcPr>
            <w:tcW w:w="609" w:type="dxa"/>
            <w:shd w:val="clear" w:color="auto" w:fill="D8D8D8"/>
            <w:vAlign w:val="top"/>
          </w:tcPr>
          <w:p w14:paraId="222091A6">
            <w:pPr>
              <w:pStyle w:val="6"/>
              <w:spacing w:before="121" w:line="228" w:lineRule="auto"/>
              <w:ind w:left="117" w:right="110"/>
            </w:pPr>
            <w:r>
              <w:rPr>
                <w:spacing w:val="-5"/>
              </w:rPr>
              <w:t>上年</w:t>
            </w:r>
            <w:r>
              <w:t xml:space="preserve"> </w:t>
            </w:r>
            <w:r>
              <w:rPr>
                <w:spacing w:val="5"/>
              </w:rPr>
              <w:t>同期</w:t>
            </w:r>
          </w:p>
        </w:tc>
        <w:tc>
          <w:tcPr>
            <w:tcW w:w="599" w:type="dxa"/>
            <w:vAlign w:val="top"/>
          </w:tcPr>
          <w:p w14:paraId="0D851662">
            <w:pPr>
              <w:pStyle w:val="6"/>
              <w:spacing w:before="176" w:line="168" w:lineRule="auto"/>
              <w:ind w:left="207"/>
            </w:pPr>
            <w:r>
              <w:rPr>
                <w:spacing w:val="-11"/>
              </w:rPr>
              <w:t>1-</w:t>
            </w:r>
          </w:p>
          <w:p w14:paraId="33E432C7">
            <w:pPr>
              <w:pStyle w:val="6"/>
              <w:spacing w:line="218" w:lineRule="auto"/>
              <w:ind w:left="117"/>
            </w:pPr>
            <w:r>
              <w:rPr>
                <w:spacing w:val="23"/>
              </w:rPr>
              <w:t>本月</w:t>
            </w:r>
          </w:p>
        </w:tc>
        <w:tc>
          <w:tcPr>
            <w:tcW w:w="639" w:type="dxa"/>
            <w:shd w:val="clear" w:color="auto" w:fill="D8D8D8"/>
            <w:vAlign w:val="top"/>
          </w:tcPr>
          <w:p w14:paraId="39EE701C">
            <w:pPr>
              <w:pStyle w:val="6"/>
              <w:spacing w:before="121" w:line="228" w:lineRule="auto"/>
              <w:ind w:left="138" w:right="118"/>
            </w:pPr>
            <w:r>
              <w:rPr>
                <w:spacing w:val="-5"/>
              </w:rPr>
              <w:t>上年</w:t>
            </w:r>
            <w:r>
              <w:t xml:space="preserve"> </w:t>
            </w:r>
            <w:r>
              <w:rPr>
                <w:spacing w:val="5"/>
              </w:rPr>
              <w:t>同期</w:t>
            </w:r>
          </w:p>
        </w:tc>
        <w:tc>
          <w:tcPr>
            <w:tcW w:w="600" w:type="dxa"/>
            <w:vMerge w:val="continue"/>
            <w:tcBorders>
              <w:top w:val="nil"/>
            </w:tcBorders>
            <w:vAlign w:val="top"/>
          </w:tcPr>
          <w:p w14:paraId="118A8ECB">
            <w:pPr>
              <w:rPr>
                <w:rFonts w:ascii="Arial"/>
                <w:sz w:val="21"/>
              </w:rPr>
            </w:pPr>
          </w:p>
        </w:tc>
        <w:tc>
          <w:tcPr>
            <w:tcW w:w="550" w:type="dxa"/>
            <w:vMerge w:val="continue"/>
            <w:tcBorders>
              <w:top w:val="nil"/>
            </w:tcBorders>
            <w:textDirection w:val="tbRlV"/>
            <w:vAlign w:val="top"/>
          </w:tcPr>
          <w:p w14:paraId="10427942">
            <w:pPr>
              <w:rPr>
                <w:rFonts w:ascii="Arial"/>
                <w:sz w:val="21"/>
              </w:rPr>
            </w:pPr>
          </w:p>
        </w:tc>
        <w:tc>
          <w:tcPr>
            <w:tcW w:w="600" w:type="dxa"/>
            <w:vMerge w:val="continue"/>
            <w:tcBorders>
              <w:top w:val="nil"/>
            </w:tcBorders>
            <w:vAlign w:val="top"/>
          </w:tcPr>
          <w:p w14:paraId="2AE4EA2A">
            <w:pPr>
              <w:rPr>
                <w:rFonts w:ascii="Arial"/>
                <w:sz w:val="21"/>
              </w:rPr>
            </w:pPr>
          </w:p>
        </w:tc>
        <w:tc>
          <w:tcPr>
            <w:tcW w:w="644" w:type="dxa"/>
            <w:vMerge w:val="continue"/>
            <w:tcBorders>
              <w:top w:val="nil"/>
            </w:tcBorders>
            <w:vAlign w:val="top"/>
          </w:tcPr>
          <w:p w14:paraId="3BB9479F">
            <w:pPr>
              <w:rPr>
                <w:rFonts w:ascii="Arial"/>
                <w:sz w:val="21"/>
              </w:rPr>
            </w:pPr>
          </w:p>
        </w:tc>
      </w:tr>
      <w:tr w14:paraId="0E76C0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425" w:type="dxa"/>
            <w:vAlign w:val="top"/>
          </w:tcPr>
          <w:p w14:paraId="5C2F763E">
            <w:pPr>
              <w:pStyle w:val="6"/>
              <w:spacing w:before="66" w:line="222" w:lineRule="auto"/>
              <w:ind w:left="114"/>
            </w:pPr>
            <w:r>
              <w:t>甲</w:t>
            </w:r>
          </w:p>
        </w:tc>
        <w:tc>
          <w:tcPr>
            <w:tcW w:w="599" w:type="dxa"/>
            <w:vAlign w:val="top"/>
          </w:tcPr>
          <w:p w14:paraId="55E01DEA">
            <w:pPr>
              <w:pStyle w:val="6"/>
              <w:spacing w:before="77" w:line="217" w:lineRule="auto"/>
              <w:ind w:left="199"/>
            </w:pPr>
            <w:r>
              <w:t>乙</w:t>
            </w:r>
          </w:p>
        </w:tc>
        <w:tc>
          <w:tcPr>
            <w:tcW w:w="619" w:type="dxa"/>
            <w:vAlign w:val="top"/>
          </w:tcPr>
          <w:p w14:paraId="33F81248">
            <w:pPr>
              <w:pStyle w:val="6"/>
              <w:spacing w:before="63" w:line="220" w:lineRule="auto"/>
              <w:ind w:left="210"/>
            </w:pPr>
            <w:r>
              <w:t>丙</w:t>
            </w:r>
          </w:p>
        </w:tc>
        <w:tc>
          <w:tcPr>
            <w:tcW w:w="599" w:type="dxa"/>
            <w:vAlign w:val="top"/>
          </w:tcPr>
          <w:p w14:paraId="456EA4E6">
            <w:pPr>
              <w:pStyle w:val="6"/>
              <w:spacing w:before="108" w:line="184" w:lineRule="auto"/>
              <w:ind w:left="241"/>
            </w:pPr>
            <w:r>
              <w:t>1</w:t>
            </w:r>
          </w:p>
        </w:tc>
        <w:tc>
          <w:tcPr>
            <w:tcW w:w="590" w:type="dxa"/>
            <w:vAlign w:val="top"/>
          </w:tcPr>
          <w:p w14:paraId="52D7002E">
            <w:pPr>
              <w:pStyle w:val="6"/>
              <w:spacing w:before="109" w:line="183" w:lineRule="auto"/>
              <w:ind w:left="243"/>
            </w:pPr>
            <w:r>
              <w:t>2</w:t>
            </w:r>
          </w:p>
        </w:tc>
        <w:tc>
          <w:tcPr>
            <w:tcW w:w="699" w:type="dxa"/>
            <w:vAlign w:val="top"/>
          </w:tcPr>
          <w:p w14:paraId="274CAE5B">
            <w:pPr>
              <w:pStyle w:val="6"/>
              <w:spacing w:before="109" w:line="183" w:lineRule="auto"/>
              <w:ind w:left="292"/>
            </w:pPr>
            <w:r>
              <w:t>3</w:t>
            </w:r>
          </w:p>
        </w:tc>
        <w:tc>
          <w:tcPr>
            <w:tcW w:w="609" w:type="dxa"/>
            <w:shd w:val="clear" w:color="auto" w:fill="D9D9D9"/>
            <w:vAlign w:val="top"/>
          </w:tcPr>
          <w:p w14:paraId="199FD9F7">
            <w:pPr>
              <w:pStyle w:val="6"/>
              <w:spacing w:before="109" w:line="183" w:lineRule="auto"/>
              <w:ind w:left="254"/>
            </w:pPr>
            <w:r>
              <w:t>4</w:t>
            </w:r>
          </w:p>
        </w:tc>
        <w:tc>
          <w:tcPr>
            <w:tcW w:w="619" w:type="dxa"/>
            <w:shd w:val="clear" w:color="auto" w:fill="D9D9D9"/>
            <w:vAlign w:val="top"/>
          </w:tcPr>
          <w:p w14:paraId="648B59F9">
            <w:pPr>
              <w:pStyle w:val="6"/>
              <w:spacing w:before="110" w:line="182" w:lineRule="auto"/>
              <w:ind w:left="254"/>
            </w:pPr>
            <w:r>
              <w:t>5</w:t>
            </w:r>
          </w:p>
        </w:tc>
        <w:tc>
          <w:tcPr>
            <w:tcW w:w="599" w:type="dxa"/>
            <w:vAlign w:val="top"/>
          </w:tcPr>
          <w:p w14:paraId="7F17BC53">
            <w:pPr>
              <w:pStyle w:val="6"/>
              <w:spacing w:before="109" w:line="183" w:lineRule="auto"/>
              <w:ind w:left="245"/>
            </w:pPr>
            <w:r>
              <w:t>6</w:t>
            </w:r>
          </w:p>
        </w:tc>
        <w:tc>
          <w:tcPr>
            <w:tcW w:w="609" w:type="dxa"/>
            <w:shd w:val="clear" w:color="auto" w:fill="D9D9D9"/>
            <w:vAlign w:val="top"/>
          </w:tcPr>
          <w:p w14:paraId="14362407">
            <w:pPr>
              <w:pStyle w:val="6"/>
              <w:spacing w:before="110" w:line="182" w:lineRule="auto"/>
              <w:ind w:left="256"/>
            </w:pPr>
            <w:r>
              <w:t>7</w:t>
            </w:r>
          </w:p>
        </w:tc>
        <w:tc>
          <w:tcPr>
            <w:tcW w:w="599" w:type="dxa"/>
            <w:vAlign w:val="top"/>
          </w:tcPr>
          <w:p w14:paraId="260EEE1B">
            <w:pPr>
              <w:pStyle w:val="6"/>
              <w:spacing w:before="109" w:line="183" w:lineRule="auto"/>
              <w:ind w:left="247"/>
            </w:pPr>
            <w:r>
              <w:t>8</w:t>
            </w:r>
          </w:p>
        </w:tc>
        <w:tc>
          <w:tcPr>
            <w:tcW w:w="639" w:type="dxa"/>
            <w:shd w:val="clear" w:color="auto" w:fill="D9D9D9"/>
            <w:vAlign w:val="top"/>
          </w:tcPr>
          <w:p w14:paraId="4408EBA0">
            <w:pPr>
              <w:pStyle w:val="6"/>
              <w:spacing w:before="109" w:line="183" w:lineRule="auto"/>
              <w:ind w:left="268"/>
            </w:pPr>
            <w:r>
              <w:t>9</w:t>
            </w:r>
          </w:p>
        </w:tc>
        <w:tc>
          <w:tcPr>
            <w:tcW w:w="600" w:type="dxa"/>
            <w:vAlign w:val="top"/>
          </w:tcPr>
          <w:p w14:paraId="48B804F5">
            <w:pPr>
              <w:pStyle w:val="6"/>
              <w:spacing w:before="108" w:line="184" w:lineRule="auto"/>
              <w:ind w:left="209"/>
            </w:pPr>
            <w:r>
              <w:rPr>
                <w:spacing w:val="-6"/>
              </w:rPr>
              <w:t>10</w:t>
            </w:r>
          </w:p>
        </w:tc>
        <w:tc>
          <w:tcPr>
            <w:tcW w:w="550" w:type="dxa"/>
            <w:shd w:val="clear" w:color="auto" w:fill="D9D9D9"/>
            <w:vAlign w:val="top"/>
          </w:tcPr>
          <w:p w14:paraId="6E380585">
            <w:pPr>
              <w:pStyle w:val="6"/>
              <w:spacing w:before="108" w:line="184" w:lineRule="auto"/>
              <w:ind w:left="179"/>
            </w:pPr>
            <w:r>
              <w:rPr>
                <w:spacing w:val="-6"/>
              </w:rPr>
              <w:t>11</w:t>
            </w:r>
          </w:p>
        </w:tc>
        <w:tc>
          <w:tcPr>
            <w:tcW w:w="600" w:type="dxa"/>
            <w:vAlign w:val="top"/>
          </w:tcPr>
          <w:p w14:paraId="2B9CA5DB">
            <w:pPr>
              <w:pStyle w:val="6"/>
              <w:spacing w:before="108" w:line="184" w:lineRule="auto"/>
              <w:ind w:left="209"/>
            </w:pPr>
            <w:r>
              <w:rPr>
                <w:spacing w:val="-6"/>
              </w:rPr>
              <w:t>12</w:t>
            </w:r>
          </w:p>
        </w:tc>
        <w:tc>
          <w:tcPr>
            <w:tcW w:w="644" w:type="dxa"/>
            <w:shd w:val="clear" w:color="auto" w:fill="D9D9D9"/>
            <w:vAlign w:val="top"/>
          </w:tcPr>
          <w:p w14:paraId="472FD89A">
            <w:pPr>
              <w:pStyle w:val="6"/>
              <w:spacing w:before="108" w:line="184" w:lineRule="auto"/>
              <w:ind w:left="229"/>
            </w:pPr>
            <w:r>
              <w:rPr>
                <w:spacing w:val="-6"/>
              </w:rPr>
              <w:t>13</w:t>
            </w:r>
          </w:p>
        </w:tc>
      </w:tr>
      <w:tr w14:paraId="3BB80A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2" w:hRule="atLeast"/>
        </w:trPr>
        <w:tc>
          <w:tcPr>
            <w:tcW w:w="425" w:type="dxa"/>
            <w:vAlign w:val="top"/>
          </w:tcPr>
          <w:p w14:paraId="52EB34A1">
            <w:pPr>
              <w:rPr>
                <w:rFonts w:ascii="Arial"/>
                <w:sz w:val="21"/>
              </w:rPr>
            </w:pPr>
          </w:p>
        </w:tc>
        <w:tc>
          <w:tcPr>
            <w:tcW w:w="599" w:type="dxa"/>
            <w:vAlign w:val="top"/>
          </w:tcPr>
          <w:p w14:paraId="24A608DF">
            <w:pPr>
              <w:rPr>
                <w:rFonts w:ascii="Arial"/>
                <w:sz w:val="21"/>
              </w:rPr>
            </w:pPr>
          </w:p>
        </w:tc>
        <w:tc>
          <w:tcPr>
            <w:tcW w:w="619" w:type="dxa"/>
            <w:vAlign w:val="top"/>
          </w:tcPr>
          <w:p w14:paraId="48B059F2">
            <w:pPr>
              <w:rPr>
                <w:rFonts w:ascii="Arial"/>
                <w:sz w:val="21"/>
              </w:rPr>
            </w:pPr>
          </w:p>
        </w:tc>
        <w:tc>
          <w:tcPr>
            <w:tcW w:w="7956" w:type="dxa"/>
            <w:gridSpan w:val="13"/>
            <w:vAlign w:val="top"/>
          </w:tcPr>
          <w:p w14:paraId="0C06F87D">
            <w:pPr>
              <w:rPr>
                <w:rFonts w:ascii="Arial"/>
                <w:sz w:val="21"/>
              </w:rPr>
            </w:pPr>
          </w:p>
        </w:tc>
      </w:tr>
    </w:tbl>
    <w:p w14:paraId="7B4311BC">
      <w:pPr>
        <w:spacing w:before="72" w:line="230" w:lineRule="auto"/>
        <w:ind w:left="94"/>
        <w:rPr>
          <w:rFonts w:ascii="宋体" w:hAnsi="宋体" w:eastAsia="宋体" w:cs="宋体"/>
          <w:sz w:val="18"/>
          <w:szCs w:val="18"/>
        </w:rPr>
      </w:pPr>
      <w:r>
        <w:rPr>
          <w:rFonts w:ascii="宋体" w:hAnsi="宋体" w:eastAsia="宋体" w:cs="宋体"/>
          <w:spacing w:val="-9"/>
          <w:sz w:val="18"/>
          <w:szCs w:val="18"/>
        </w:rPr>
        <w:t>单位负责人：            统</w:t>
      </w:r>
      <w:r>
        <w:rPr>
          <w:rFonts w:ascii="宋体" w:hAnsi="宋体" w:eastAsia="宋体" w:cs="宋体"/>
          <w:spacing w:val="-10"/>
          <w:sz w:val="18"/>
          <w:szCs w:val="18"/>
        </w:rPr>
        <w:t>计负责人：</w:t>
      </w:r>
      <w:r>
        <w:rPr>
          <w:rFonts w:ascii="宋体" w:hAnsi="宋体" w:eastAsia="宋体" w:cs="宋体"/>
          <w:spacing w:val="2"/>
          <w:sz w:val="18"/>
          <w:szCs w:val="18"/>
        </w:rPr>
        <w:t xml:space="preserve">            </w:t>
      </w:r>
      <w:r>
        <w:rPr>
          <w:rFonts w:ascii="宋体" w:hAnsi="宋体" w:eastAsia="宋体" w:cs="宋体"/>
          <w:spacing w:val="-10"/>
          <w:sz w:val="18"/>
          <w:szCs w:val="18"/>
        </w:rPr>
        <w:t>填表人：          联系电话：           报出日期：20</w:t>
      </w:r>
      <w:r>
        <w:rPr>
          <w:rFonts w:ascii="宋体" w:hAnsi="宋体" w:eastAsia="宋体" w:cs="宋体"/>
          <w:spacing w:val="20"/>
          <w:sz w:val="18"/>
          <w:szCs w:val="18"/>
        </w:rPr>
        <w:t xml:space="preserve">  </w:t>
      </w:r>
      <w:r>
        <w:rPr>
          <w:rFonts w:ascii="宋体" w:hAnsi="宋体" w:eastAsia="宋体" w:cs="宋体"/>
          <w:spacing w:val="-10"/>
          <w:sz w:val="18"/>
          <w:szCs w:val="18"/>
        </w:rPr>
        <w:t>年</w:t>
      </w:r>
      <w:r>
        <w:rPr>
          <w:rFonts w:ascii="宋体" w:hAnsi="宋体" w:eastAsia="宋体" w:cs="宋体"/>
          <w:spacing w:val="23"/>
          <w:sz w:val="18"/>
          <w:szCs w:val="18"/>
        </w:rPr>
        <w:t xml:space="preserve">  </w:t>
      </w:r>
      <w:r>
        <w:rPr>
          <w:rFonts w:ascii="宋体" w:hAnsi="宋体" w:eastAsia="宋体" w:cs="宋体"/>
          <w:spacing w:val="-10"/>
          <w:sz w:val="18"/>
          <w:szCs w:val="18"/>
        </w:rPr>
        <w:t>月  日</w:t>
      </w:r>
    </w:p>
    <w:p w14:paraId="4B77F05D">
      <w:pPr>
        <w:spacing w:before="244" w:line="254" w:lineRule="auto"/>
        <w:ind w:left="1654" w:right="174" w:hanging="1560"/>
        <w:rPr>
          <w:rFonts w:ascii="宋体" w:hAnsi="宋体" w:eastAsia="宋体" w:cs="宋体"/>
          <w:sz w:val="18"/>
          <w:szCs w:val="18"/>
        </w:rPr>
      </w:pPr>
      <w:r>
        <w:rPr>
          <w:rFonts w:ascii="宋体" w:hAnsi="宋体" w:eastAsia="宋体" w:cs="宋体"/>
          <w:spacing w:val="-3"/>
          <w:sz w:val="18"/>
          <w:szCs w:val="18"/>
        </w:rPr>
        <w:t>说明：1.统计范围：辖区内规模以上工业、有资质的建筑业、限额以上批发和零售业、限额以上住宿和餐饮业、有开</w:t>
      </w:r>
      <w:r>
        <w:rPr>
          <w:rFonts w:ascii="宋体" w:hAnsi="宋体" w:eastAsia="宋体" w:cs="宋体"/>
          <w:spacing w:val="-4"/>
          <w:sz w:val="18"/>
          <w:szCs w:val="18"/>
        </w:rPr>
        <w:t>发经</w:t>
      </w:r>
      <w:r>
        <w:rPr>
          <w:rFonts w:ascii="宋体" w:hAnsi="宋体" w:eastAsia="宋体" w:cs="宋体"/>
          <w:sz w:val="18"/>
          <w:szCs w:val="18"/>
        </w:rPr>
        <w:t xml:space="preserve"> </w:t>
      </w:r>
      <w:r>
        <w:rPr>
          <w:rFonts w:ascii="宋体" w:hAnsi="宋体" w:eastAsia="宋体" w:cs="宋体"/>
          <w:spacing w:val="-1"/>
          <w:sz w:val="18"/>
          <w:szCs w:val="18"/>
        </w:rPr>
        <w:t>营活动的全部房地产开发经营业和规模以上服务</w:t>
      </w:r>
      <w:r>
        <w:rPr>
          <w:rFonts w:ascii="宋体" w:hAnsi="宋体" w:eastAsia="宋体" w:cs="宋体"/>
          <w:spacing w:val="-2"/>
          <w:sz w:val="18"/>
          <w:szCs w:val="18"/>
        </w:rPr>
        <w:t>业等重点法人单位</w:t>
      </w:r>
      <w:r>
        <w:rPr>
          <w:rFonts w:hint="eastAsia" w:ascii="宋体" w:hAnsi="宋体" w:eastAsia="宋体" w:cs="宋体"/>
          <w:spacing w:val="-6"/>
          <w:sz w:val="18"/>
          <w:szCs w:val="18"/>
          <w:lang w:eastAsia="zh-CN"/>
        </w:rPr>
        <w:t>和规模以上工业个体经营户</w:t>
      </w:r>
      <w:r>
        <w:rPr>
          <w:rFonts w:ascii="宋体" w:hAnsi="宋体" w:eastAsia="宋体" w:cs="宋体"/>
          <w:spacing w:val="-2"/>
          <w:sz w:val="18"/>
          <w:szCs w:val="18"/>
        </w:rPr>
        <w:t>。</w:t>
      </w:r>
    </w:p>
    <w:p w14:paraId="3A0E3B68">
      <w:pPr>
        <w:spacing w:before="66" w:line="253" w:lineRule="auto"/>
        <w:ind w:left="2204" w:right="91" w:hanging="1590"/>
        <w:rPr>
          <w:rFonts w:ascii="宋体" w:hAnsi="宋体" w:eastAsia="宋体" w:cs="宋体"/>
          <w:sz w:val="18"/>
          <w:szCs w:val="18"/>
        </w:rPr>
      </w:pPr>
      <w:r>
        <w:rPr>
          <w:rFonts w:ascii="宋体" w:hAnsi="宋体" w:eastAsia="宋体" w:cs="宋体"/>
          <w:spacing w:val="9"/>
          <w:sz w:val="18"/>
          <w:szCs w:val="18"/>
        </w:rPr>
        <w:t>2.报送日期及方式：调查单位2、5、6、7、8、10、11月月后7日，3月月后8日，4、</w:t>
      </w:r>
      <w:r>
        <w:rPr>
          <w:rFonts w:ascii="宋体" w:hAnsi="宋体" w:eastAsia="宋体" w:cs="宋体"/>
          <w:spacing w:val="8"/>
          <w:sz w:val="18"/>
          <w:szCs w:val="18"/>
        </w:rPr>
        <w:t>12月月后9日，9月月后</w:t>
      </w:r>
      <w:r>
        <w:rPr>
          <w:rFonts w:ascii="宋体" w:hAnsi="宋体" w:eastAsia="宋体" w:cs="宋体"/>
          <w:sz w:val="18"/>
          <w:szCs w:val="18"/>
        </w:rPr>
        <w:t xml:space="preserve">  </w:t>
      </w:r>
      <w:r>
        <w:rPr>
          <w:rFonts w:ascii="宋体" w:hAnsi="宋体" w:eastAsia="宋体" w:cs="宋体"/>
          <w:spacing w:val="5"/>
          <w:sz w:val="18"/>
          <w:szCs w:val="18"/>
        </w:rPr>
        <w:t>10日12:00前独立自行网上填报，1月免报；市级统计机构6、7、8、10、11月月后9日，2、</w:t>
      </w:r>
    </w:p>
    <w:p w14:paraId="56F3486F">
      <w:pPr>
        <w:spacing w:before="66" w:line="253" w:lineRule="auto"/>
        <w:ind w:left="614" w:right="252" w:firstLine="1580"/>
        <w:rPr>
          <w:rFonts w:ascii="宋体" w:hAnsi="宋体" w:eastAsia="宋体" w:cs="宋体"/>
          <w:sz w:val="18"/>
          <w:szCs w:val="18"/>
        </w:rPr>
      </w:pPr>
      <w:r>
        <w:rPr>
          <w:rFonts w:ascii="宋体" w:hAnsi="宋体" w:eastAsia="宋体" w:cs="宋体"/>
          <w:spacing w:val="10"/>
          <w:sz w:val="18"/>
          <w:szCs w:val="18"/>
        </w:rPr>
        <w:t>3、5月月后10日，4、12月月后11日，9月月后12日12:00完成</w:t>
      </w:r>
      <w:r>
        <w:rPr>
          <w:rFonts w:ascii="宋体" w:hAnsi="宋体" w:eastAsia="宋体" w:cs="宋体"/>
          <w:spacing w:val="9"/>
          <w:sz w:val="18"/>
          <w:szCs w:val="18"/>
        </w:rPr>
        <w:t>数据审核、验收、上报。</w:t>
      </w:r>
      <w:r>
        <w:rPr>
          <w:rFonts w:ascii="宋体" w:hAnsi="宋体" w:eastAsia="宋体" w:cs="宋体"/>
          <w:sz w:val="18"/>
          <w:szCs w:val="18"/>
        </w:rPr>
        <w:t xml:space="preserve"> </w:t>
      </w:r>
      <w:r>
        <w:rPr>
          <w:rFonts w:ascii="宋体" w:hAnsi="宋体" w:eastAsia="宋体" w:cs="宋体"/>
          <w:spacing w:val="-4"/>
          <w:sz w:val="18"/>
          <w:szCs w:val="18"/>
        </w:rPr>
        <w:t>3.本表甲栏下按《能源生产、销售与库存目录》填报。</w:t>
      </w:r>
    </w:p>
    <w:p w14:paraId="605081B4">
      <w:pPr>
        <w:spacing w:before="56" w:line="265" w:lineRule="auto"/>
        <w:ind w:left="754" w:hanging="140"/>
        <w:rPr>
          <w:rFonts w:ascii="宋体" w:hAnsi="宋体" w:eastAsia="宋体" w:cs="宋体"/>
          <w:sz w:val="18"/>
          <w:szCs w:val="18"/>
        </w:rPr>
      </w:pPr>
      <w:r>
        <w:rPr>
          <w:rFonts w:ascii="宋体" w:hAnsi="宋体" w:eastAsia="宋体" w:cs="宋体"/>
          <w:spacing w:val="1"/>
          <w:sz w:val="18"/>
          <w:szCs w:val="18"/>
        </w:rPr>
        <w:t>4.本表中“上年同期”数据统一由国家统计局在数据处理软件中复制</w:t>
      </w:r>
      <w:r>
        <w:rPr>
          <w:rFonts w:ascii="宋体" w:hAnsi="宋体" w:eastAsia="宋体" w:cs="宋体"/>
          <w:sz w:val="18"/>
          <w:szCs w:val="18"/>
        </w:rPr>
        <w:t xml:space="preserve">；本年新增的调查单位自行填报“上年同期” </w:t>
      </w:r>
      <w:r>
        <w:rPr>
          <w:rFonts w:ascii="宋体" w:hAnsi="宋体" w:eastAsia="宋体" w:cs="宋体"/>
          <w:spacing w:val="-2"/>
          <w:sz w:val="18"/>
          <w:szCs w:val="18"/>
        </w:rPr>
        <w:t>数据；涉及兼并、重组等情况的企业，经国家统计局批准后，调查单位可调整同期数；本年新增指标的同期数由</w:t>
      </w:r>
      <w:r>
        <w:rPr>
          <w:rFonts w:ascii="宋体" w:hAnsi="宋体" w:eastAsia="宋体" w:cs="宋体"/>
          <w:spacing w:val="2"/>
          <w:sz w:val="18"/>
          <w:szCs w:val="18"/>
        </w:rPr>
        <w:t xml:space="preserve">   </w:t>
      </w:r>
      <w:r>
        <w:rPr>
          <w:rFonts w:ascii="宋体" w:hAnsi="宋体" w:eastAsia="宋体" w:cs="宋体"/>
          <w:spacing w:val="-6"/>
          <w:sz w:val="18"/>
          <w:szCs w:val="18"/>
        </w:rPr>
        <w:t>调查单位自行填报。</w:t>
      </w:r>
    </w:p>
    <w:p w14:paraId="4AE1F609">
      <w:pPr>
        <w:spacing w:before="66" w:line="219" w:lineRule="auto"/>
        <w:ind w:left="614"/>
        <w:rPr>
          <w:rFonts w:ascii="宋体" w:hAnsi="宋体" w:eastAsia="宋体" w:cs="宋体"/>
          <w:sz w:val="18"/>
          <w:szCs w:val="18"/>
        </w:rPr>
      </w:pPr>
      <w:r>
        <w:rPr>
          <w:rFonts w:ascii="宋体" w:hAnsi="宋体" w:eastAsia="宋体" w:cs="宋体"/>
          <w:spacing w:val="-4"/>
          <w:sz w:val="18"/>
          <w:szCs w:val="18"/>
        </w:rPr>
        <w:t>5.几种能源产品重量单位与容积单位的换算关系：</w:t>
      </w:r>
    </w:p>
    <w:p w14:paraId="5CC10D60">
      <w:pPr>
        <w:spacing w:before="77" w:line="219" w:lineRule="auto"/>
        <w:ind w:left="754"/>
        <w:rPr>
          <w:rFonts w:ascii="宋体" w:hAnsi="宋体" w:eastAsia="宋体" w:cs="宋体"/>
          <w:sz w:val="18"/>
          <w:szCs w:val="18"/>
        </w:rPr>
      </w:pPr>
      <w:r>
        <w:rPr>
          <w:rFonts w:ascii="宋体" w:hAnsi="宋体" w:eastAsia="宋体" w:cs="宋体"/>
          <w:spacing w:val="-1"/>
          <w:sz w:val="18"/>
          <w:szCs w:val="18"/>
        </w:rPr>
        <w:t>(1)氢 气：1立方米≈0.0899千克，1千克≈11.12</w:t>
      </w:r>
      <w:r>
        <w:rPr>
          <w:rFonts w:ascii="宋体" w:hAnsi="宋体" w:eastAsia="宋体" w:cs="宋体"/>
          <w:spacing w:val="-2"/>
          <w:sz w:val="18"/>
          <w:szCs w:val="18"/>
        </w:rPr>
        <w:t>35立方米</w:t>
      </w:r>
    </w:p>
    <w:p w14:paraId="455BBEF2">
      <w:pPr>
        <w:spacing w:before="67" w:line="280" w:lineRule="exact"/>
        <w:ind w:left="754"/>
        <w:rPr>
          <w:rFonts w:ascii="宋体" w:hAnsi="宋体" w:eastAsia="宋体" w:cs="宋体"/>
          <w:sz w:val="18"/>
          <w:szCs w:val="18"/>
        </w:rPr>
      </w:pPr>
      <w:r>
        <w:rPr>
          <w:rFonts w:ascii="宋体" w:hAnsi="宋体" w:eastAsia="宋体" w:cs="宋体"/>
          <w:spacing w:val="-5"/>
          <w:position w:val="7"/>
          <w:sz w:val="18"/>
          <w:szCs w:val="18"/>
        </w:rPr>
        <w:t>(2)汽  油：1升≈0.73千克，1千克≈1.3699升</w:t>
      </w:r>
    </w:p>
    <w:p w14:paraId="3E42664A">
      <w:pPr>
        <w:spacing w:line="219" w:lineRule="auto"/>
        <w:ind w:left="754"/>
        <w:rPr>
          <w:rFonts w:ascii="宋体" w:hAnsi="宋体" w:eastAsia="宋体" w:cs="宋体"/>
          <w:sz w:val="18"/>
          <w:szCs w:val="18"/>
        </w:rPr>
      </w:pPr>
      <w:r>
        <w:rPr>
          <w:rFonts w:ascii="宋体" w:hAnsi="宋体" w:eastAsia="宋体" w:cs="宋体"/>
          <w:spacing w:val="-5"/>
          <w:sz w:val="18"/>
          <w:szCs w:val="18"/>
        </w:rPr>
        <w:t>(3)重柴油：1升≈0.92千克，1千克≈1.0870升</w:t>
      </w:r>
    </w:p>
    <w:p w14:paraId="3A0FA5D6">
      <w:pPr>
        <w:spacing w:before="86" w:line="219" w:lineRule="auto"/>
        <w:ind w:left="754"/>
        <w:rPr>
          <w:rFonts w:ascii="宋体" w:hAnsi="宋体" w:eastAsia="宋体" w:cs="宋体"/>
          <w:sz w:val="18"/>
          <w:szCs w:val="18"/>
        </w:rPr>
      </w:pPr>
      <w:r>
        <w:rPr>
          <w:rFonts w:ascii="宋体" w:hAnsi="宋体" w:eastAsia="宋体" w:cs="宋体"/>
          <w:spacing w:val="-3"/>
          <w:sz w:val="18"/>
          <w:szCs w:val="18"/>
        </w:rPr>
        <w:t>(4)轻柴油：1升≈0.86千克，1千克~1.1628升</w:t>
      </w:r>
    </w:p>
    <w:p w14:paraId="563D00A4">
      <w:pPr>
        <w:spacing w:before="47" w:line="219" w:lineRule="auto"/>
        <w:ind w:left="754"/>
        <w:rPr>
          <w:rFonts w:ascii="宋体" w:hAnsi="宋体" w:eastAsia="宋体" w:cs="宋体"/>
          <w:sz w:val="18"/>
          <w:szCs w:val="18"/>
        </w:rPr>
      </w:pPr>
      <w:r>
        <w:rPr>
          <w:rFonts w:ascii="宋体" w:hAnsi="宋体" w:eastAsia="宋体" w:cs="宋体"/>
          <w:spacing w:val="-2"/>
          <w:sz w:val="18"/>
          <w:szCs w:val="18"/>
        </w:rPr>
        <w:t>(5)煤 油：1升≈0.82千克，1千克≈1.2195升</w:t>
      </w:r>
    </w:p>
    <w:p w14:paraId="013EE0CD">
      <w:pPr>
        <w:spacing w:before="66" w:line="219" w:lineRule="auto"/>
        <w:ind w:left="754"/>
        <w:rPr>
          <w:rFonts w:ascii="宋体" w:hAnsi="宋体" w:eastAsia="宋体" w:cs="宋体"/>
          <w:sz w:val="18"/>
          <w:szCs w:val="18"/>
        </w:rPr>
      </w:pPr>
      <w:r>
        <w:rPr>
          <w:rFonts w:ascii="宋体" w:hAnsi="宋体" w:eastAsia="宋体" w:cs="宋体"/>
          <w:spacing w:val="-6"/>
          <w:sz w:val="18"/>
          <w:szCs w:val="18"/>
        </w:rPr>
        <w:t>(6)燃料油：1升≈0.91千克，1千克≈1.0990升</w:t>
      </w:r>
    </w:p>
    <w:p w14:paraId="4A0DCAFC">
      <w:pPr>
        <w:spacing w:line="219" w:lineRule="auto"/>
        <w:rPr>
          <w:rFonts w:ascii="宋体" w:hAnsi="宋体" w:eastAsia="宋体" w:cs="宋体"/>
          <w:sz w:val="18"/>
          <w:szCs w:val="18"/>
        </w:rPr>
        <w:sectPr>
          <w:headerReference r:id="rId14" w:type="default"/>
          <w:pgSz w:w="11910" w:h="16840"/>
          <w:pgMar w:top="1036" w:right="1117" w:bottom="0" w:left="1145" w:header="866" w:footer="0" w:gutter="0"/>
          <w:cols w:space="720" w:num="1"/>
        </w:sectPr>
      </w:pPr>
    </w:p>
    <w:p w14:paraId="0E936FBA">
      <w:pPr>
        <w:pStyle w:val="2"/>
        <w:spacing w:line="262" w:lineRule="auto"/>
      </w:pPr>
      <w:r>
        <w:pict>
          <v:rect id="_x0000_s1029" o:spid="_x0000_s1029" o:spt="1" style="position:absolute;left:0pt;margin-left:61.75pt;margin-top:52.6pt;height:0.35pt;width:10.5pt;mso-position-horizontal-relative:page;mso-position-vertical-relative:page;z-index:251673600;mso-width-relative:page;mso-height-relative:page;" fillcolor="#000000" filled="t" stroked="f" coordsize="21600,21600" o:allowincell="f">
            <v:path/>
            <v:fill on="t" focussize="0,0"/>
            <v:stroke on="f"/>
            <v:imagedata o:title=""/>
            <o:lock v:ext="edit"/>
            <v:textbox>
              <w:txbxContent>
                <w:p w14:paraId="1B6F3433"/>
              </w:txbxContent>
            </v:textbox>
          </v:rect>
        </w:pict>
      </w:r>
    </w:p>
    <w:p w14:paraId="67FFAF32">
      <w:pPr>
        <w:pStyle w:val="2"/>
        <w:spacing w:line="262" w:lineRule="auto"/>
      </w:pPr>
    </w:p>
    <w:p w14:paraId="3DDDEDA6">
      <w:pPr>
        <w:pStyle w:val="2"/>
        <w:spacing w:line="263" w:lineRule="auto"/>
      </w:pPr>
    </w:p>
    <w:p w14:paraId="7DFC886E">
      <w:pPr>
        <w:spacing w:before="100" w:line="220" w:lineRule="auto"/>
        <w:ind w:left="3154"/>
        <w:rPr>
          <w:rFonts w:ascii="宋体" w:hAnsi="宋体" w:eastAsia="宋体" w:cs="宋体"/>
          <w:sz w:val="31"/>
          <w:szCs w:val="31"/>
        </w:rPr>
      </w:pPr>
      <w:bookmarkStart w:id="10" w:name="bookmark13"/>
      <w:bookmarkEnd w:id="10"/>
      <w:bookmarkStart w:id="11" w:name="bookmark14"/>
      <w:bookmarkEnd w:id="11"/>
      <w:r>
        <w:rPr>
          <w:rFonts w:ascii="宋体" w:hAnsi="宋体" w:eastAsia="宋体" w:cs="宋体"/>
          <w:b/>
          <w:bCs/>
          <w:spacing w:val="2"/>
          <w:sz w:val="31"/>
          <w:szCs w:val="31"/>
        </w:rPr>
        <w:t>重点能源商品经销情况</w:t>
      </w:r>
    </w:p>
    <w:p w14:paraId="589445A9">
      <w:pPr>
        <w:spacing w:before="269" w:line="221" w:lineRule="auto"/>
        <w:ind w:left="6860"/>
        <w:rPr>
          <w:rFonts w:ascii="宋体" w:hAnsi="宋体" w:eastAsia="宋体" w:cs="宋体"/>
          <w:sz w:val="18"/>
          <w:szCs w:val="18"/>
        </w:rPr>
      </w:pPr>
      <w:r>
        <w:rPr>
          <w:rFonts w:ascii="宋体" w:hAnsi="宋体" w:eastAsia="宋体" w:cs="宋体"/>
          <w:spacing w:val="-14"/>
          <w:sz w:val="18"/>
          <w:szCs w:val="18"/>
        </w:rPr>
        <w:t>表</w:t>
      </w:r>
      <w:r>
        <w:rPr>
          <w:rFonts w:ascii="宋体" w:hAnsi="宋体" w:eastAsia="宋体" w:cs="宋体"/>
          <w:spacing w:val="29"/>
          <w:sz w:val="18"/>
          <w:szCs w:val="18"/>
        </w:rPr>
        <w:t xml:space="preserve">   </w:t>
      </w:r>
      <w:r>
        <w:rPr>
          <w:rFonts w:ascii="宋体" w:hAnsi="宋体" w:eastAsia="宋体" w:cs="宋体"/>
          <w:spacing w:val="-14"/>
          <w:sz w:val="18"/>
          <w:szCs w:val="18"/>
        </w:rPr>
        <w:t>号：</w:t>
      </w:r>
      <w:r>
        <w:rPr>
          <w:rFonts w:ascii="宋体" w:hAnsi="宋体" w:eastAsia="宋体" w:cs="宋体"/>
          <w:spacing w:val="1"/>
          <w:sz w:val="18"/>
          <w:szCs w:val="18"/>
        </w:rPr>
        <w:t xml:space="preserve">  </w:t>
      </w:r>
      <w:r>
        <w:rPr>
          <w:rFonts w:ascii="宋体" w:hAnsi="宋体" w:eastAsia="宋体" w:cs="宋体"/>
          <w:spacing w:val="-14"/>
          <w:sz w:val="18"/>
          <w:szCs w:val="18"/>
        </w:rPr>
        <w:t>2</w:t>
      </w:r>
      <w:r>
        <w:rPr>
          <w:rFonts w:ascii="宋体" w:hAnsi="宋体" w:eastAsia="宋体" w:cs="宋体"/>
          <w:spacing w:val="9"/>
          <w:sz w:val="18"/>
          <w:szCs w:val="18"/>
        </w:rPr>
        <w:t xml:space="preserve">  </w:t>
      </w:r>
      <w:r>
        <w:rPr>
          <w:rFonts w:ascii="宋体" w:hAnsi="宋体" w:eastAsia="宋体" w:cs="宋体"/>
          <w:spacing w:val="-14"/>
          <w:sz w:val="18"/>
          <w:szCs w:val="18"/>
        </w:rPr>
        <w:t>0</w:t>
      </w:r>
      <w:r>
        <w:rPr>
          <w:rFonts w:ascii="宋体" w:hAnsi="宋体" w:eastAsia="宋体" w:cs="宋体"/>
          <w:spacing w:val="5"/>
          <w:sz w:val="18"/>
          <w:szCs w:val="18"/>
        </w:rPr>
        <w:t xml:space="preserve">  </w:t>
      </w:r>
      <w:r>
        <w:rPr>
          <w:rFonts w:ascii="宋体" w:hAnsi="宋体" w:eastAsia="宋体" w:cs="宋体"/>
          <w:spacing w:val="-14"/>
          <w:sz w:val="18"/>
          <w:szCs w:val="18"/>
        </w:rPr>
        <w:t>5</w:t>
      </w:r>
      <w:r>
        <w:rPr>
          <w:rFonts w:ascii="宋体" w:hAnsi="宋体" w:eastAsia="宋体" w:cs="宋体"/>
          <w:spacing w:val="61"/>
          <w:sz w:val="18"/>
          <w:szCs w:val="18"/>
        </w:rPr>
        <w:t xml:space="preserve"> </w:t>
      </w:r>
      <w:r>
        <w:rPr>
          <w:rFonts w:ascii="宋体" w:hAnsi="宋体" w:eastAsia="宋体" w:cs="宋体"/>
          <w:spacing w:val="-14"/>
          <w:sz w:val="18"/>
          <w:szCs w:val="18"/>
        </w:rPr>
        <w:t>—</w:t>
      </w:r>
      <w:r>
        <w:rPr>
          <w:rFonts w:ascii="宋体" w:hAnsi="宋体" w:eastAsia="宋体" w:cs="宋体"/>
          <w:spacing w:val="65"/>
          <w:sz w:val="18"/>
          <w:szCs w:val="18"/>
        </w:rPr>
        <w:t xml:space="preserve"> </w:t>
      </w:r>
      <w:r>
        <w:rPr>
          <w:rFonts w:ascii="宋体" w:hAnsi="宋体" w:eastAsia="宋体" w:cs="宋体"/>
          <w:spacing w:val="-14"/>
          <w:sz w:val="18"/>
          <w:szCs w:val="18"/>
        </w:rPr>
        <w:t>7</w:t>
      </w:r>
      <w:r>
        <w:rPr>
          <w:rFonts w:ascii="宋体" w:hAnsi="宋体" w:eastAsia="宋体" w:cs="宋体"/>
          <w:spacing w:val="71"/>
          <w:w w:val="101"/>
          <w:sz w:val="18"/>
          <w:szCs w:val="18"/>
        </w:rPr>
        <w:t xml:space="preserve"> </w:t>
      </w:r>
      <w:r>
        <w:rPr>
          <w:rFonts w:ascii="宋体" w:hAnsi="宋体" w:eastAsia="宋体" w:cs="宋体"/>
          <w:spacing w:val="-14"/>
          <w:sz w:val="18"/>
          <w:szCs w:val="18"/>
        </w:rPr>
        <w:t>表</w:t>
      </w:r>
    </w:p>
    <w:p w14:paraId="3B0AC25C">
      <w:pPr>
        <w:spacing w:before="32" w:line="219" w:lineRule="auto"/>
        <w:ind w:left="6860"/>
        <w:rPr>
          <w:rFonts w:ascii="宋体" w:hAnsi="宋体" w:eastAsia="宋体" w:cs="宋体"/>
          <w:sz w:val="18"/>
          <w:szCs w:val="18"/>
        </w:rPr>
      </w:pPr>
      <w:r>
        <w:rPr>
          <w:rFonts w:ascii="宋体" w:hAnsi="宋体" w:eastAsia="宋体" w:cs="宋体"/>
          <w:spacing w:val="-13"/>
          <w:sz w:val="18"/>
          <w:szCs w:val="18"/>
        </w:rPr>
        <w:t>制定机关：  国   家</w:t>
      </w:r>
      <w:r>
        <w:rPr>
          <w:rFonts w:ascii="宋体" w:hAnsi="宋体" w:eastAsia="宋体" w:cs="宋体"/>
          <w:spacing w:val="43"/>
          <w:sz w:val="18"/>
          <w:szCs w:val="18"/>
        </w:rPr>
        <w:t xml:space="preserve"> </w:t>
      </w:r>
      <w:r>
        <w:rPr>
          <w:rFonts w:ascii="宋体" w:hAnsi="宋体" w:eastAsia="宋体" w:cs="宋体"/>
          <w:spacing w:val="-13"/>
          <w:sz w:val="18"/>
          <w:szCs w:val="18"/>
        </w:rPr>
        <w:t>统</w:t>
      </w:r>
      <w:r>
        <w:rPr>
          <w:rFonts w:ascii="宋体" w:hAnsi="宋体" w:eastAsia="宋体" w:cs="宋体"/>
          <w:spacing w:val="27"/>
          <w:sz w:val="18"/>
          <w:szCs w:val="18"/>
        </w:rPr>
        <w:t xml:space="preserve">  </w:t>
      </w:r>
      <w:r>
        <w:rPr>
          <w:rFonts w:ascii="宋体" w:hAnsi="宋体" w:eastAsia="宋体" w:cs="宋体"/>
          <w:spacing w:val="-13"/>
          <w:sz w:val="18"/>
          <w:szCs w:val="18"/>
        </w:rPr>
        <w:t>计</w:t>
      </w:r>
      <w:r>
        <w:rPr>
          <w:rFonts w:ascii="宋体" w:hAnsi="宋体" w:eastAsia="宋体" w:cs="宋体"/>
          <w:spacing w:val="42"/>
          <w:sz w:val="18"/>
          <w:szCs w:val="18"/>
        </w:rPr>
        <w:t xml:space="preserve"> </w:t>
      </w:r>
      <w:r>
        <w:rPr>
          <w:rFonts w:ascii="宋体" w:hAnsi="宋体" w:eastAsia="宋体" w:cs="宋体"/>
          <w:spacing w:val="-13"/>
          <w:sz w:val="18"/>
          <w:szCs w:val="18"/>
        </w:rPr>
        <w:t>局</w:t>
      </w:r>
    </w:p>
    <w:p w14:paraId="2C832F82">
      <w:pPr>
        <w:spacing w:before="17" w:line="229" w:lineRule="auto"/>
        <w:ind w:left="10"/>
        <w:rPr>
          <w:rFonts w:ascii="宋体" w:hAnsi="宋体" w:eastAsia="宋体" w:cs="宋体"/>
          <w:sz w:val="18"/>
          <w:szCs w:val="18"/>
        </w:rPr>
      </w:pPr>
      <w:r>
        <w:rPr>
          <w:rFonts w:ascii="宋体" w:hAnsi="宋体" w:eastAsia="宋体" w:cs="宋体"/>
          <w:spacing w:val="-1"/>
          <w:sz w:val="18"/>
          <w:szCs w:val="18"/>
        </w:rPr>
        <w:t xml:space="preserve">统一社会信用代码□□□□□□□□□□□□□□□□□□   </w:t>
      </w:r>
      <w:r>
        <w:rPr>
          <w:rFonts w:ascii="宋体" w:hAnsi="宋体" w:eastAsia="宋体" w:cs="宋体"/>
          <w:spacing w:val="-2"/>
          <w:sz w:val="18"/>
          <w:szCs w:val="18"/>
        </w:rPr>
        <w:t xml:space="preserve">                     文    号：  国统字〔202</w:t>
      </w:r>
      <w:r>
        <w:rPr>
          <w:rFonts w:hint="eastAsia" w:ascii="宋体" w:hAnsi="宋体" w:eastAsia="宋体" w:cs="宋体"/>
          <w:spacing w:val="-2"/>
          <w:sz w:val="18"/>
          <w:szCs w:val="18"/>
          <w:lang w:val="en-US" w:eastAsia="zh-CN"/>
        </w:rPr>
        <w:t>4</w:t>
      </w:r>
      <w:r>
        <w:rPr>
          <w:rFonts w:ascii="宋体" w:hAnsi="宋体" w:eastAsia="宋体" w:cs="宋体"/>
          <w:spacing w:val="-2"/>
          <w:sz w:val="18"/>
          <w:szCs w:val="18"/>
        </w:rPr>
        <w:t>〕</w:t>
      </w:r>
      <w:r>
        <w:rPr>
          <w:rFonts w:hint="eastAsia" w:ascii="宋体" w:hAnsi="宋体" w:eastAsia="宋体" w:cs="宋体"/>
          <w:spacing w:val="-2"/>
          <w:sz w:val="18"/>
          <w:szCs w:val="18"/>
          <w:lang w:val="en-US" w:eastAsia="zh-CN"/>
        </w:rPr>
        <w:t>77</w:t>
      </w:r>
      <w:r>
        <w:rPr>
          <w:rFonts w:ascii="宋体" w:hAnsi="宋体" w:eastAsia="宋体" w:cs="宋体"/>
          <w:spacing w:val="-2"/>
          <w:sz w:val="18"/>
          <w:szCs w:val="18"/>
        </w:rPr>
        <w:t>号</w:t>
      </w:r>
    </w:p>
    <w:p w14:paraId="69DC008F">
      <w:pPr>
        <w:spacing w:before="17" w:line="220" w:lineRule="auto"/>
        <w:ind w:left="6860"/>
        <w:rPr>
          <w:rFonts w:ascii="宋体" w:hAnsi="宋体" w:eastAsia="宋体" w:cs="宋体"/>
          <w:sz w:val="18"/>
          <w:szCs w:val="18"/>
        </w:rPr>
      </w:pPr>
      <w:r>
        <w:rPr>
          <w:rFonts w:ascii="宋体" w:hAnsi="宋体" w:eastAsia="宋体" w:cs="宋体"/>
          <w:spacing w:val="-15"/>
          <w:sz w:val="18"/>
          <w:szCs w:val="18"/>
        </w:rPr>
        <w:t>有效期至：</w:t>
      </w:r>
      <w:r>
        <w:rPr>
          <w:rFonts w:ascii="宋体" w:hAnsi="宋体" w:eastAsia="宋体" w:cs="宋体"/>
          <w:spacing w:val="21"/>
          <w:sz w:val="18"/>
          <w:szCs w:val="18"/>
        </w:rPr>
        <w:t xml:space="preserve">  </w:t>
      </w:r>
      <w:r>
        <w:rPr>
          <w:rFonts w:ascii="宋体" w:hAnsi="宋体" w:eastAsia="宋体" w:cs="宋体"/>
          <w:spacing w:val="-15"/>
          <w:sz w:val="18"/>
          <w:szCs w:val="18"/>
        </w:rPr>
        <w:t>2</w:t>
      </w:r>
      <w:r>
        <w:rPr>
          <w:rFonts w:ascii="宋体" w:hAnsi="宋体" w:eastAsia="宋体" w:cs="宋体"/>
          <w:spacing w:val="60"/>
          <w:sz w:val="18"/>
          <w:szCs w:val="18"/>
        </w:rPr>
        <w:t xml:space="preserve"> </w:t>
      </w:r>
      <w:r>
        <w:rPr>
          <w:rFonts w:ascii="宋体" w:hAnsi="宋体" w:eastAsia="宋体" w:cs="宋体"/>
          <w:spacing w:val="-15"/>
          <w:sz w:val="18"/>
          <w:szCs w:val="18"/>
        </w:rPr>
        <w:t>0</w:t>
      </w:r>
      <w:r>
        <w:rPr>
          <w:rFonts w:ascii="宋体" w:hAnsi="宋体" w:eastAsia="宋体" w:cs="宋体"/>
          <w:spacing w:val="59"/>
          <w:sz w:val="18"/>
          <w:szCs w:val="18"/>
        </w:rPr>
        <w:t xml:space="preserve"> </w:t>
      </w:r>
      <w:r>
        <w:rPr>
          <w:rFonts w:ascii="宋体" w:hAnsi="宋体" w:eastAsia="宋体" w:cs="宋体"/>
          <w:spacing w:val="-15"/>
          <w:sz w:val="18"/>
          <w:szCs w:val="18"/>
        </w:rPr>
        <w:t>2</w:t>
      </w:r>
      <w:r>
        <w:rPr>
          <w:rFonts w:ascii="宋体" w:hAnsi="宋体" w:eastAsia="宋体" w:cs="宋体"/>
          <w:spacing w:val="69"/>
          <w:sz w:val="18"/>
          <w:szCs w:val="18"/>
        </w:rPr>
        <w:t xml:space="preserve"> </w:t>
      </w:r>
      <w:r>
        <w:rPr>
          <w:rFonts w:hint="eastAsia" w:ascii="宋体" w:hAnsi="宋体" w:eastAsia="宋体" w:cs="宋体"/>
          <w:spacing w:val="-15"/>
          <w:sz w:val="18"/>
          <w:szCs w:val="18"/>
          <w:lang w:val="en-US" w:eastAsia="zh-CN"/>
        </w:rPr>
        <w:t>6</w:t>
      </w:r>
      <w:r>
        <w:rPr>
          <w:rFonts w:ascii="宋体" w:hAnsi="宋体" w:eastAsia="宋体" w:cs="宋体"/>
          <w:spacing w:val="-15"/>
          <w:sz w:val="18"/>
          <w:szCs w:val="18"/>
        </w:rPr>
        <w:t>年</w:t>
      </w:r>
      <w:r>
        <w:rPr>
          <w:rFonts w:ascii="宋体" w:hAnsi="宋体" w:eastAsia="宋体" w:cs="宋体"/>
          <w:spacing w:val="37"/>
          <w:sz w:val="18"/>
          <w:szCs w:val="18"/>
        </w:rPr>
        <w:t xml:space="preserve"> </w:t>
      </w:r>
      <w:r>
        <w:rPr>
          <w:rFonts w:ascii="宋体" w:hAnsi="宋体" w:eastAsia="宋体" w:cs="宋体"/>
          <w:spacing w:val="-15"/>
          <w:sz w:val="18"/>
          <w:szCs w:val="18"/>
        </w:rPr>
        <w:t>1</w:t>
      </w:r>
      <w:r>
        <w:rPr>
          <w:rFonts w:ascii="宋体" w:hAnsi="宋体" w:eastAsia="宋体" w:cs="宋体"/>
          <w:spacing w:val="21"/>
          <w:sz w:val="18"/>
          <w:szCs w:val="18"/>
        </w:rPr>
        <w:t xml:space="preserve"> </w:t>
      </w:r>
      <w:r>
        <w:rPr>
          <w:rFonts w:ascii="宋体" w:hAnsi="宋体" w:eastAsia="宋体" w:cs="宋体"/>
          <w:spacing w:val="-15"/>
          <w:sz w:val="18"/>
          <w:szCs w:val="18"/>
        </w:rPr>
        <w:t>月</w:t>
      </w:r>
    </w:p>
    <w:p w14:paraId="7B7EDB55">
      <w:pPr>
        <w:spacing w:before="25" w:line="202" w:lineRule="auto"/>
        <w:ind w:left="40"/>
        <w:rPr>
          <w:rFonts w:ascii="宋体" w:hAnsi="宋体" w:eastAsia="宋体" w:cs="宋体"/>
          <w:sz w:val="19"/>
          <w:szCs w:val="19"/>
        </w:rPr>
      </w:pPr>
      <w:r>
        <w:rPr>
          <w:rFonts w:ascii="宋体" w:hAnsi="宋体" w:eastAsia="宋体" w:cs="宋体"/>
          <w:spacing w:val="-8"/>
          <w:sz w:val="19"/>
          <w:szCs w:val="19"/>
        </w:rPr>
        <w:t xml:space="preserve">单位详细名称：                               </w:t>
      </w:r>
      <w:r>
        <w:rPr>
          <w:rFonts w:ascii="宋体" w:hAnsi="宋体" w:eastAsia="宋体" w:cs="宋体"/>
          <w:spacing w:val="-8"/>
          <w:position w:val="-2"/>
          <w:sz w:val="19"/>
          <w:szCs w:val="19"/>
        </w:rPr>
        <w:t>20</w:t>
      </w:r>
      <w:r>
        <w:rPr>
          <w:rFonts w:ascii="宋体" w:hAnsi="宋体" w:eastAsia="宋体" w:cs="宋体"/>
          <w:spacing w:val="1"/>
          <w:position w:val="-2"/>
          <w:sz w:val="19"/>
          <w:szCs w:val="19"/>
        </w:rPr>
        <w:t xml:space="preserve">     </w:t>
      </w:r>
      <w:r>
        <w:rPr>
          <w:rFonts w:ascii="宋体" w:hAnsi="宋体" w:eastAsia="宋体" w:cs="宋体"/>
          <w:spacing w:val="-8"/>
          <w:position w:val="1"/>
          <w:sz w:val="19"/>
          <w:szCs w:val="19"/>
        </w:rPr>
        <w:t xml:space="preserve">年   1一  月        </w:t>
      </w:r>
      <w:r>
        <w:rPr>
          <w:rFonts w:ascii="宋体" w:hAnsi="宋体" w:eastAsia="宋体" w:cs="宋体"/>
          <w:spacing w:val="-9"/>
          <w:position w:val="1"/>
          <w:sz w:val="19"/>
          <w:szCs w:val="19"/>
        </w:rPr>
        <w:t xml:space="preserve">     </w:t>
      </w:r>
      <w:r>
        <w:rPr>
          <w:rFonts w:ascii="宋体" w:hAnsi="宋体" w:eastAsia="宋体" w:cs="宋体"/>
          <w:spacing w:val="-9"/>
          <w:sz w:val="19"/>
          <w:szCs w:val="19"/>
        </w:rPr>
        <w:t>计量单位：         吨</w:t>
      </w:r>
    </w:p>
    <w:tbl>
      <w:tblPr>
        <w:tblStyle w:val="5"/>
        <w:tblW w:w="9400" w:type="dxa"/>
        <w:tblInd w:w="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44"/>
        <w:gridCol w:w="480"/>
        <w:gridCol w:w="619"/>
        <w:gridCol w:w="569"/>
        <w:gridCol w:w="570"/>
        <w:gridCol w:w="589"/>
        <w:gridCol w:w="589"/>
        <w:gridCol w:w="569"/>
        <w:gridCol w:w="609"/>
        <w:gridCol w:w="569"/>
        <w:gridCol w:w="609"/>
        <w:gridCol w:w="599"/>
        <w:gridCol w:w="570"/>
        <w:gridCol w:w="550"/>
        <w:gridCol w:w="565"/>
      </w:tblGrid>
      <w:tr w14:paraId="5DE6AF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4" w:hRule="atLeast"/>
        </w:trPr>
        <w:tc>
          <w:tcPr>
            <w:tcW w:w="1344" w:type="dxa"/>
            <w:vMerge w:val="restart"/>
            <w:tcBorders>
              <w:bottom w:val="nil"/>
            </w:tcBorders>
            <w:vAlign w:val="top"/>
          </w:tcPr>
          <w:p w14:paraId="6EA0A581">
            <w:pPr>
              <w:spacing w:line="246" w:lineRule="auto"/>
              <w:rPr>
                <w:rFonts w:ascii="Arial"/>
                <w:sz w:val="21"/>
              </w:rPr>
            </w:pPr>
          </w:p>
          <w:p w14:paraId="445C2422">
            <w:pPr>
              <w:spacing w:line="246" w:lineRule="auto"/>
              <w:rPr>
                <w:rFonts w:ascii="Arial"/>
                <w:sz w:val="21"/>
              </w:rPr>
            </w:pPr>
          </w:p>
          <w:p w14:paraId="4FA6AB9B">
            <w:pPr>
              <w:spacing w:line="247" w:lineRule="auto"/>
              <w:rPr>
                <w:rFonts w:ascii="Arial"/>
                <w:sz w:val="21"/>
              </w:rPr>
            </w:pPr>
          </w:p>
          <w:p w14:paraId="0AF8A91E">
            <w:pPr>
              <w:pStyle w:val="6"/>
              <w:spacing w:before="59" w:line="220" w:lineRule="auto"/>
              <w:ind w:left="335"/>
            </w:pPr>
            <w:r>
              <w:rPr>
                <w:spacing w:val="-2"/>
              </w:rPr>
              <w:t>商品名称</w:t>
            </w:r>
          </w:p>
        </w:tc>
        <w:tc>
          <w:tcPr>
            <w:tcW w:w="480" w:type="dxa"/>
            <w:vMerge w:val="restart"/>
            <w:tcBorders>
              <w:bottom w:val="nil"/>
            </w:tcBorders>
            <w:textDirection w:val="tbRlV"/>
            <w:vAlign w:val="top"/>
          </w:tcPr>
          <w:p w14:paraId="12754D6B">
            <w:pPr>
              <w:pStyle w:val="6"/>
              <w:spacing w:before="149" w:line="216" w:lineRule="auto"/>
              <w:ind w:left="696"/>
            </w:pPr>
            <w:r>
              <w:t>代码</w:t>
            </w:r>
          </w:p>
        </w:tc>
        <w:tc>
          <w:tcPr>
            <w:tcW w:w="619" w:type="dxa"/>
            <w:vMerge w:val="restart"/>
            <w:tcBorders>
              <w:bottom w:val="nil"/>
            </w:tcBorders>
            <w:vAlign w:val="top"/>
          </w:tcPr>
          <w:p w14:paraId="49ACA77B">
            <w:pPr>
              <w:spacing w:line="391" w:lineRule="auto"/>
              <w:rPr>
                <w:rFonts w:ascii="Arial"/>
                <w:sz w:val="21"/>
              </w:rPr>
            </w:pPr>
          </w:p>
          <w:p w14:paraId="3D8AAC35">
            <w:pPr>
              <w:pStyle w:val="6"/>
              <w:spacing w:before="59" w:line="219" w:lineRule="auto"/>
              <w:ind w:left="121"/>
            </w:pPr>
            <w:r>
              <w:rPr>
                <w:spacing w:val="-2"/>
              </w:rPr>
              <w:t>年初</w:t>
            </w:r>
          </w:p>
          <w:p w14:paraId="08745038">
            <w:pPr>
              <w:pStyle w:val="6"/>
              <w:spacing w:before="26" w:line="220" w:lineRule="auto"/>
              <w:ind w:left="121"/>
            </w:pPr>
            <w:r>
              <w:rPr>
                <w:spacing w:val="9"/>
              </w:rPr>
              <w:t>商品</w:t>
            </w:r>
          </w:p>
          <w:p w14:paraId="7F7D9F75">
            <w:pPr>
              <w:pStyle w:val="6"/>
              <w:spacing w:before="15" w:line="219" w:lineRule="auto"/>
              <w:ind w:left="121"/>
            </w:pPr>
            <w:r>
              <w:rPr>
                <w:spacing w:val="-2"/>
              </w:rPr>
              <w:t>库存</w:t>
            </w:r>
          </w:p>
          <w:p w14:paraId="13F445A9">
            <w:pPr>
              <w:pStyle w:val="6"/>
              <w:spacing w:before="21" w:line="225" w:lineRule="auto"/>
              <w:ind w:left="211"/>
            </w:pPr>
            <w:r>
              <w:t>量</w:t>
            </w:r>
          </w:p>
        </w:tc>
        <w:tc>
          <w:tcPr>
            <w:tcW w:w="2317" w:type="dxa"/>
            <w:gridSpan w:val="4"/>
            <w:vAlign w:val="top"/>
          </w:tcPr>
          <w:p w14:paraId="1F1AC2D8">
            <w:pPr>
              <w:spacing w:line="242" w:lineRule="auto"/>
              <w:rPr>
                <w:rFonts w:ascii="Arial"/>
                <w:sz w:val="21"/>
              </w:rPr>
            </w:pPr>
          </w:p>
          <w:p w14:paraId="48927D2C">
            <w:pPr>
              <w:pStyle w:val="6"/>
              <w:spacing w:before="59" w:line="220" w:lineRule="auto"/>
              <w:ind w:left="732"/>
            </w:pPr>
            <w:r>
              <w:rPr>
                <w:spacing w:val="-2"/>
              </w:rPr>
              <w:t>商品购进量</w:t>
            </w:r>
          </w:p>
        </w:tc>
        <w:tc>
          <w:tcPr>
            <w:tcW w:w="2356" w:type="dxa"/>
            <w:gridSpan w:val="4"/>
            <w:vAlign w:val="top"/>
          </w:tcPr>
          <w:p w14:paraId="4F2A40C0">
            <w:pPr>
              <w:spacing w:line="242" w:lineRule="auto"/>
              <w:rPr>
                <w:rFonts w:ascii="Arial"/>
                <w:sz w:val="21"/>
              </w:rPr>
            </w:pPr>
          </w:p>
          <w:p w14:paraId="4CB5E690">
            <w:pPr>
              <w:pStyle w:val="6"/>
              <w:spacing w:before="59" w:line="220" w:lineRule="auto"/>
              <w:ind w:left="745"/>
            </w:pPr>
            <w:r>
              <w:rPr>
                <w:spacing w:val="-2"/>
              </w:rPr>
              <w:t>商品销售量</w:t>
            </w:r>
          </w:p>
        </w:tc>
        <w:tc>
          <w:tcPr>
            <w:tcW w:w="1169" w:type="dxa"/>
            <w:gridSpan w:val="2"/>
            <w:vAlign w:val="top"/>
          </w:tcPr>
          <w:p w14:paraId="29B72F46">
            <w:pPr>
              <w:pStyle w:val="6"/>
              <w:spacing w:before="191" w:line="237" w:lineRule="auto"/>
              <w:ind w:left="309"/>
            </w:pPr>
            <w:r>
              <w:rPr>
                <w:spacing w:val="-2"/>
              </w:rPr>
              <w:t>损耗量</w:t>
            </w:r>
          </w:p>
          <w:p w14:paraId="1ADB9C71">
            <w:pPr>
              <w:pStyle w:val="6"/>
              <w:spacing w:line="220" w:lineRule="auto"/>
              <w:ind w:left="309"/>
            </w:pPr>
            <w:r>
              <w:rPr>
                <w:spacing w:val="-2"/>
              </w:rPr>
              <w:t>及其他</w:t>
            </w:r>
          </w:p>
        </w:tc>
        <w:tc>
          <w:tcPr>
            <w:tcW w:w="1115" w:type="dxa"/>
            <w:gridSpan w:val="2"/>
            <w:vAlign w:val="top"/>
          </w:tcPr>
          <w:p w14:paraId="1C14E051">
            <w:pPr>
              <w:pStyle w:val="6"/>
              <w:spacing w:before="192" w:line="220" w:lineRule="auto"/>
              <w:ind w:left="190"/>
            </w:pPr>
            <w:r>
              <w:rPr>
                <w:spacing w:val="4"/>
              </w:rPr>
              <w:t>期末商品</w:t>
            </w:r>
          </w:p>
          <w:p w14:paraId="543485F1">
            <w:pPr>
              <w:pStyle w:val="6"/>
              <w:spacing w:before="15" w:line="219" w:lineRule="auto"/>
              <w:ind w:left="280"/>
            </w:pPr>
            <w:r>
              <w:rPr>
                <w:spacing w:val="-2"/>
              </w:rPr>
              <w:t>库存量</w:t>
            </w:r>
          </w:p>
        </w:tc>
      </w:tr>
      <w:tr w14:paraId="1A1D6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1344" w:type="dxa"/>
            <w:vMerge w:val="continue"/>
            <w:tcBorders>
              <w:top w:val="nil"/>
              <w:bottom w:val="nil"/>
            </w:tcBorders>
            <w:vAlign w:val="top"/>
          </w:tcPr>
          <w:p w14:paraId="190261F0">
            <w:pPr>
              <w:rPr>
                <w:rFonts w:ascii="Arial"/>
                <w:sz w:val="21"/>
              </w:rPr>
            </w:pPr>
          </w:p>
        </w:tc>
        <w:tc>
          <w:tcPr>
            <w:tcW w:w="480" w:type="dxa"/>
            <w:vMerge w:val="continue"/>
            <w:tcBorders>
              <w:top w:val="nil"/>
              <w:bottom w:val="nil"/>
            </w:tcBorders>
            <w:textDirection w:val="tbRlV"/>
            <w:vAlign w:val="top"/>
          </w:tcPr>
          <w:p w14:paraId="2B7331EE">
            <w:pPr>
              <w:rPr>
                <w:rFonts w:ascii="Arial"/>
                <w:sz w:val="21"/>
              </w:rPr>
            </w:pPr>
          </w:p>
        </w:tc>
        <w:tc>
          <w:tcPr>
            <w:tcW w:w="619" w:type="dxa"/>
            <w:vMerge w:val="continue"/>
            <w:tcBorders>
              <w:top w:val="nil"/>
              <w:bottom w:val="nil"/>
            </w:tcBorders>
            <w:vAlign w:val="top"/>
          </w:tcPr>
          <w:p w14:paraId="19A5E57F">
            <w:pPr>
              <w:rPr>
                <w:rFonts w:ascii="Arial"/>
                <w:sz w:val="21"/>
              </w:rPr>
            </w:pPr>
          </w:p>
        </w:tc>
        <w:tc>
          <w:tcPr>
            <w:tcW w:w="1139" w:type="dxa"/>
            <w:gridSpan w:val="2"/>
            <w:vAlign w:val="top"/>
          </w:tcPr>
          <w:p w14:paraId="66C99B1D">
            <w:pPr>
              <w:pStyle w:val="6"/>
              <w:spacing w:before="57" w:line="219" w:lineRule="auto"/>
              <w:ind w:left="392"/>
            </w:pPr>
            <w:r>
              <w:rPr>
                <w:spacing w:val="-2"/>
              </w:rPr>
              <w:t>本年</w:t>
            </w:r>
          </w:p>
        </w:tc>
        <w:tc>
          <w:tcPr>
            <w:tcW w:w="1178" w:type="dxa"/>
            <w:gridSpan w:val="2"/>
            <w:shd w:val="clear" w:color="auto" w:fill="D0CECE"/>
            <w:vAlign w:val="top"/>
          </w:tcPr>
          <w:p w14:paraId="278B897B">
            <w:pPr>
              <w:pStyle w:val="6"/>
              <w:spacing w:before="58" w:line="219" w:lineRule="auto"/>
              <w:ind w:left="253"/>
            </w:pPr>
            <w:r>
              <w:rPr>
                <w:spacing w:val="2"/>
              </w:rPr>
              <w:t>上年同期</w:t>
            </w:r>
          </w:p>
        </w:tc>
        <w:tc>
          <w:tcPr>
            <w:tcW w:w="1178" w:type="dxa"/>
            <w:gridSpan w:val="2"/>
            <w:vAlign w:val="top"/>
          </w:tcPr>
          <w:p w14:paraId="65F3BE82">
            <w:pPr>
              <w:pStyle w:val="6"/>
              <w:spacing w:before="57" w:line="219" w:lineRule="auto"/>
              <w:ind w:left="405"/>
            </w:pPr>
            <w:r>
              <w:rPr>
                <w:spacing w:val="-2"/>
              </w:rPr>
              <w:t>本年</w:t>
            </w:r>
          </w:p>
        </w:tc>
        <w:tc>
          <w:tcPr>
            <w:tcW w:w="1178" w:type="dxa"/>
            <w:gridSpan w:val="2"/>
            <w:shd w:val="clear" w:color="auto" w:fill="CFCDCD"/>
            <w:vAlign w:val="top"/>
          </w:tcPr>
          <w:p w14:paraId="61964142">
            <w:pPr>
              <w:pStyle w:val="6"/>
              <w:spacing w:before="58" w:line="219" w:lineRule="auto"/>
              <w:ind w:left="256"/>
            </w:pPr>
            <w:r>
              <w:rPr>
                <w:spacing w:val="2"/>
              </w:rPr>
              <w:t>上年同期</w:t>
            </w:r>
          </w:p>
        </w:tc>
        <w:tc>
          <w:tcPr>
            <w:tcW w:w="599" w:type="dxa"/>
            <w:vMerge w:val="restart"/>
            <w:tcBorders>
              <w:bottom w:val="nil"/>
            </w:tcBorders>
            <w:vAlign w:val="top"/>
          </w:tcPr>
          <w:p w14:paraId="2E6AAE49">
            <w:pPr>
              <w:spacing w:line="293" w:lineRule="auto"/>
              <w:rPr>
                <w:rFonts w:ascii="Arial"/>
                <w:sz w:val="21"/>
              </w:rPr>
            </w:pPr>
          </w:p>
          <w:p w14:paraId="558F861F">
            <w:pPr>
              <w:pStyle w:val="6"/>
              <w:spacing w:before="59" w:line="168" w:lineRule="auto"/>
              <w:ind w:left="209"/>
            </w:pPr>
            <w:r>
              <w:rPr>
                <w:spacing w:val="-11"/>
              </w:rPr>
              <w:t>1-</w:t>
            </w:r>
          </w:p>
          <w:p w14:paraId="73749189">
            <w:pPr>
              <w:pStyle w:val="6"/>
              <w:spacing w:line="218" w:lineRule="auto"/>
              <w:ind w:left="119"/>
            </w:pPr>
            <w:r>
              <w:rPr>
                <w:spacing w:val="23"/>
              </w:rPr>
              <w:t>本月</w:t>
            </w:r>
          </w:p>
        </w:tc>
        <w:tc>
          <w:tcPr>
            <w:tcW w:w="570" w:type="dxa"/>
            <w:vMerge w:val="restart"/>
            <w:tcBorders>
              <w:bottom w:val="nil"/>
            </w:tcBorders>
            <w:shd w:val="clear" w:color="auto" w:fill="D0CECE"/>
            <w:vAlign w:val="top"/>
          </w:tcPr>
          <w:p w14:paraId="626E69EF">
            <w:pPr>
              <w:pStyle w:val="6"/>
              <w:spacing w:before="298" w:line="213" w:lineRule="auto"/>
              <w:ind w:left="99" w:right="88"/>
            </w:pPr>
            <w:r>
              <w:rPr>
                <w:spacing w:val="-5"/>
              </w:rPr>
              <w:t>上年</w:t>
            </w:r>
            <w:r>
              <w:t xml:space="preserve"> </w:t>
            </w:r>
            <w:r>
              <w:rPr>
                <w:spacing w:val="5"/>
              </w:rPr>
              <w:t>同期</w:t>
            </w:r>
          </w:p>
        </w:tc>
        <w:tc>
          <w:tcPr>
            <w:tcW w:w="550" w:type="dxa"/>
            <w:vMerge w:val="restart"/>
            <w:tcBorders>
              <w:bottom w:val="nil"/>
            </w:tcBorders>
            <w:vAlign w:val="top"/>
          </w:tcPr>
          <w:p w14:paraId="4734AE51">
            <w:pPr>
              <w:spacing w:line="346" w:lineRule="auto"/>
              <w:rPr>
                <w:rFonts w:ascii="Arial"/>
                <w:sz w:val="21"/>
              </w:rPr>
            </w:pPr>
          </w:p>
          <w:p w14:paraId="6573D0DA">
            <w:pPr>
              <w:pStyle w:val="6"/>
              <w:spacing w:before="59" w:line="219" w:lineRule="auto"/>
              <w:ind w:left="89"/>
            </w:pPr>
            <w:r>
              <w:rPr>
                <w:spacing w:val="-2"/>
              </w:rPr>
              <w:t>本期</w:t>
            </w:r>
          </w:p>
        </w:tc>
        <w:tc>
          <w:tcPr>
            <w:tcW w:w="565" w:type="dxa"/>
            <w:vMerge w:val="restart"/>
            <w:tcBorders>
              <w:bottom w:val="nil"/>
            </w:tcBorders>
            <w:shd w:val="clear" w:color="auto" w:fill="D0CECE"/>
            <w:vAlign w:val="top"/>
          </w:tcPr>
          <w:p w14:paraId="4DB25834">
            <w:pPr>
              <w:pStyle w:val="6"/>
              <w:spacing w:before="298" w:line="228" w:lineRule="auto"/>
              <w:ind w:left="100" w:right="83"/>
            </w:pPr>
            <w:r>
              <w:rPr>
                <w:spacing w:val="-5"/>
              </w:rPr>
              <w:t>上年</w:t>
            </w:r>
            <w:r>
              <w:t xml:space="preserve"> </w:t>
            </w:r>
            <w:r>
              <w:rPr>
                <w:spacing w:val="5"/>
              </w:rPr>
              <w:t>同期</w:t>
            </w:r>
          </w:p>
        </w:tc>
      </w:tr>
      <w:tr w14:paraId="5156EE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1344" w:type="dxa"/>
            <w:vMerge w:val="continue"/>
            <w:tcBorders>
              <w:top w:val="nil"/>
            </w:tcBorders>
            <w:vAlign w:val="top"/>
          </w:tcPr>
          <w:p w14:paraId="4D6C6A34">
            <w:pPr>
              <w:rPr>
                <w:rFonts w:ascii="Arial"/>
                <w:sz w:val="21"/>
              </w:rPr>
            </w:pPr>
          </w:p>
        </w:tc>
        <w:tc>
          <w:tcPr>
            <w:tcW w:w="480" w:type="dxa"/>
            <w:vMerge w:val="continue"/>
            <w:tcBorders>
              <w:top w:val="nil"/>
            </w:tcBorders>
            <w:textDirection w:val="tbRlV"/>
            <w:vAlign w:val="top"/>
          </w:tcPr>
          <w:p w14:paraId="17799522">
            <w:pPr>
              <w:rPr>
                <w:rFonts w:ascii="Arial"/>
                <w:sz w:val="21"/>
              </w:rPr>
            </w:pPr>
          </w:p>
        </w:tc>
        <w:tc>
          <w:tcPr>
            <w:tcW w:w="619" w:type="dxa"/>
            <w:vMerge w:val="continue"/>
            <w:tcBorders>
              <w:top w:val="nil"/>
            </w:tcBorders>
            <w:vAlign w:val="top"/>
          </w:tcPr>
          <w:p w14:paraId="6CFB5DB6">
            <w:pPr>
              <w:rPr>
                <w:rFonts w:ascii="Arial"/>
                <w:sz w:val="21"/>
              </w:rPr>
            </w:pPr>
          </w:p>
        </w:tc>
        <w:tc>
          <w:tcPr>
            <w:tcW w:w="569" w:type="dxa"/>
            <w:vAlign w:val="top"/>
          </w:tcPr>
          <w:p w14:paraId="217B6A9E">
            <w:pPr>
              <w:pStyle w:val="6"/>
              <w:spacing w:before="225" w:line="143" w:lineRule="exact"/>
              <w:ind w:left="182"/>
            </w:pPr>
            <w:r>
              <w:rPr>
                <w:spacing w:val="-11"/>
                <w:position w:val="-2"/>
              </w:rPr>
              <w:t>1-</w:t>
            </w:r>
          </w:p>
          <w:p w14:paraId="24C4A6B7">
            <w:pPr>
              <w:pStyle w:val="6"/>
              <w:spacing w:line="218" w:lineRule="auto"/>
              <w:ind w:left="92"/>
            </w:pPr>
            <w:r>
              <w:rPr>
                <w:spacing w:val="23"/>
              </w:rPr>
              <w:t>本月</w:t>
            </w:r>
          </w:p>
        </w:tc>
        <w:tc>
          <w:tcPr>
            <w:tcW w:w="570" w:type="dxa"/>
            <w:vAlign w:val="top"/>
          </w:tcPr>
          <w:p w14:paraId="6FA9E72C">
            <w:pPr>
              <w:pStyle w:val="6"/>
              <w:spacing w:before="29" w:line="222" w:lineRule="auto"/>
              <w:ind w:left="90" w:hanging="37"/>
              <w:jc w:val="both"/>
            </w:pPr>
            <w:r>
              <w:rPr>
                <w:spacing w:val="-12"/>
              </w:rPr>
              <w:t>其中：</w:t>
            </w:r>
            <w:r>
              <w:rPr>
                <w:spacing w:val="1"/>
              </w:rPr>
              <w:t xml:space="preserve"> </w:t>
            </w:r>
            <w:r>
              <w:rPr>
                <w:spacing w:val="3"/>
              </w:rPr>
              <w:t>购自</w:t>
            </w:r>
            <w:r>
              <w:t xml:space="preserve">  </w:t>
            </w:r>
            <w:r>
              <w:rPr>
                <w:spacing w:val="-3"/>
              </w:rPr>
              <w:t>省外</w:t>
            </w:r>
          </w:p>
        </w:tc>
        <w:tc>
          <w:tcPr>
            <w:tcW w:w="589" w:type="dxa"/>
            <w:shd w:val="clear" w:color="auto" w:fill="D9D9D9"/>
            <w:vAlign w:val="top"/>
          </w:tcPr>
          <w:p w14:paraId="1364273B">
            <w:pPr>
              <w:pStyle w:val="6"/>
              <w:spacing w:before="225" w:line="143" w:lineRule="exact"/>
              <w:ind w:left="192"/>
            </w:pPr>
            <w:r>
              <w:rPr>
                <w:spacing w:val="-11"/>
                <w:position w:val="-2"/>
              </w:rPr>
              <w:t>1-</w:t>
            </w:r>
          </w:p>
          <w:p w14:paraId="5EDBB9D2">
            <w:pPr>
              <w:pStyle w:val="6"/>
              <w:spacing w:line="218" w:lineRule="auto"/>
              <w:ind w:left="103"/>
            </w:pPr>
            <w:r>
              <w:rPr>
                <w:spacing w:val="23"/>
              </w:rPr>
              <w:t>本月</w:t>
            </w:r>
          </w:p>
        </w:tc>
        <w:tc>
          <w:tcPr>
            <w:tcW w:w="589" w:type="dxa"/>
            <w:shd w:val="clear" w:color="auto" w:fill="D8D8D8"/>
            <w:vAlign w:val="top"/>
          </w:tcPr>
          <w:p w14:paraId="45F277DB">
            <w:pPr>
              <w:pStyle w:val="6"/>
              <w:spacing w:before="29" w:line="222" w:lineRule="auto"/>
              <w:ind w:left="102" w:hanging="38"/>
              <w:jc w:val="both"/>
            </w:pPr>
            <w:r>
              <w:rPr>
                <w:spacing w:val="-9"/>
              </w:rPr>
              <w:t>其中：</w:t>
            </w:r>
            <w:r>
              <w:t xml:space="preserve"> </w:t>
            </w:r>
            <w:r>
              <w:rPr>
                <w:spacing w:val="6"/>
              </w:rPr>
              <w:t>购自</w:t>
            </w:r>
            <w:r>
              <w:t xml:space="preserve">  </w:t>
            </w:r>
            <w:r>
              <w:rPr>
                <w:spacing w:val="-2"/>
              </w:rPr>
              <w:t>省外</w:t>
            </w:r>
          </w:p>
        </w:tc>
        <w:tc>
          <w:tcPr>
            <w:tcW w:w="569" w:type="dxa"/>
            <w:vAlign w:val="top"/>
          </w:tcPr>
          <w:p w14:paraId="390B1313">
            <w:pPr>
              <w:pStyle w:val="6"/>
              <w:spacing w:before="225" w:line="143" w:lineRule="exact"/>
              <w:ind w:left="185"/>
            </w:pPr>
            <w:r>
              <w:rPr>
                <w:spacing w:val="-11"/>
                <w:position w:val="-2"/>
              </w:rPr>
              <w:t>1-</w:t>
            </w:r>
          </w:p>
          <w:p w14:paraId="4FFED8E4">
            <w:pPr>
              <w:pStyle w:val="6"/>
              <w:spacing w:line="218" w:lineRule="auto"/>
              <w:ind w:left="94"/>
            </w:pPr>
            <w:r>
              <w:rPr>
                <w:spacing w:val="23"/>
              </w:rPr>
              <w:t>本月</w:t>
            </w:r>
          </w:p>
        </w:tc>
        <w:tc>
          <w:tcPr>
            <w:tcW w:w="609" w:type="dxa"/>
            <w:vAlign w:val="top"/>
          </w:tcPr>
          <w:p w14:paraId="5076B01C">
            <w:pPr>
              <w:pStyle w:val="6"/>
              <w:spacing w:before="9" w:line="229" w:lineRule="auto"/>
              <w:ind w:left="113" w:hanging="38"/>
              <w:jc w:val="both"/>
            </w:pPr>
            <w:r>
              <w:rPr>
                <w:spacing w:val="-6"/>
              </w:rPr>
              <w:t>其中：</w:t>
            </w:r>
            <w:r>
              <w:t xml:space="preserve"> </w:t>
            </w:r>
            <w:r>
              <w:rPr>
                <w:spacing w:val="-10"/>
              </w:rPr>
              <w:t>销往</w:t>
            </w:r>
            <w:r>
              <w:t xml:space="preserve">  </w:t>
            </w:r>
            <w:r>
              <w:rPr>
                <w:spacing w:val="-1"/>
              </w:rPr>
              <w:t>省外</w:t>
            </w:r>
          </w:p>
        </w:tc>
        <w:tc>
          <w:tcPr>
            <w:tcW w:w="569" w:type="dxa"/>
            <w:shd w:val="clear" w:color="auto" w:fill="D9D9D9"/>
            <w:vAlign w:val="top"/>
          </w:tcPr>
          <w:p w14:paraId="1D9AEA63">
            <w:pPr>
              <w:pStyle w:val="6"/>
              <w:spacing w:before="215" w:line="157" w:lineRule="auto"/>
              <w:ind w:left="187"/>
            </w:pPr>
            <w:r>
              <w:rPr>
                <w:spacing w:val="-11"/>
              </w:rPr>
              <w:t>1-</w:t>
            </w:r>
          </w:p>
          <w:p w14:paraId="7864CC94">
            <w:pPr>
              <w:pStyle w:val="6"/>
              <w:spacing w:line="218" w:lineRule="auto"/>
              <w:ind w:left="97"/>
            </w:pPr>
            <w:r>
              <w:rPr>
                <w:spacing w:val="23"/>
              </w:rPr>
              <w:t>本月</w:t>
            </w:r>
          </w:p>
        </w:tc>
        <w:tc>
          <w:tcPr>
            <w:tcW w:w="609" w:type="dxa"/>
            <w:shd w:val="clear" w:color="auto" w:fill="D8D8D8"/>
            <w:vAlign w:val="top"/>
          </w:tcPr>
          <w:p w14:paraId="500E25EE">
            <w:pPr>
              <w:pStyle w:val="6"/>
              <w:spacing w:before="29" w:line="222" w:lineRule="auto"/>
              <w:ind w:left="116" w:hanging="38"/>
              <w:jc w:val="both"/>
            </w:pPr>
            <w:r>
              <w:rPr>
                <w:spacing w:val="-7"/>
              </w:rPr>
              <w:t>其中：</w:t>
            </w:r>
            <w:r>
              <w:t xml:space="preserve"> </w:t>
            </w:r>
            <w:r>
              <w:rPr>
                <w:spacing w:val="-11"/>
              </w:rPr>
              <w:t>销往</w:t>
            </w:r>
            <w:r>
              <w:t xml:space="preserve">  </w:t>
            </w:r>
            <w:r>
              <w:rPr>
                <w:spacing w:val="-1"/>
              </w:rPr>
              <w:t>省外</w:t>
            </w:r>
          </w:p>
        </w:tc>
        <w:tc>
          <w:tcPr>
            <w:tcW w:w="599" w:type="dxa"/>
            <w:vMerge w:val="continue"/>
            <w:tcBorders>
              <w:top w:val="nil"/>
            </w:tcBorders>
            <w:vAlign w:val="top"/>
          </w:tcPr>
          <w:p w14:paraId="749544B9">
            <w:pPr>
              <w:rPr>
                <w:rFonts w:ascii="Arial"/>
                <w:sz w:val="21"/>
              </w:rPr>
            </w:pPr>
          </w:p>
        </w:tc>
        <w:tc>
          <w:tcPr>
            <w:tcW w:w="570" w:type="dxa"/>
            <w:vMerge w:val="continue"/>
            <w:tcBorders>
              <w:top w:val="nil"/>
            </w:tcBorders>
            <w:vAlign w:val="top"/>
          </w:tcPr>
          <w:p w14:paraId="6A805552">
            <w:pPr>
              <w:rPr>
                <w:rFonts w:ascii="Arial"/>
                <w:sz w:val="21"/>
              </w:rPr>
            </w:pPr>
          </w:p>
        </w:tc>
        <w:tc>
          <w:tcPr>
            <w:tcW w:w="550" w:type="dxa"/>
            <w:vMerge w:val="continue"/>
            <w:tcBorders>
              <w:top w:val="nil"/>
            </w:tcBorders>
            <w:vAlign w:val="top"/>
          </w:tcPr>
          <w:p w14:paraId="7C3286FA">
            <w:pPr>
              <w:rPr>
                <w:rFonts w:ascii="Arial"/>
                <w:sz w:val="21"/>
              </w:rPr>
            </w:pPr>
          </w:p>
        </w:tc>
        <w:tc>
          <w:tcPr>
            <w:tcW w:w="565" w:type="dxa"/>
            <w:vMerge w:val="continue"/>
            <w:tcBorders>
              <w:top w:val="nil"/>
            </w:tcBorders>
            <w:vAlign w:val="top"/>
          </w:tcPr>
          <w:p w14:paraId="3D6C2659">
            <w:pPr>
              <w:rPr>
                <w:rFonts w:ascii="Arial"/>
                <w:sz w:val="21"/>
              </w:rPr>
            </w:pPr>
          </w:p>
        </w:tc>
      </w:tr>
      <w:tr w14:paraId="63235F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1344" w:type="dxa"/>
            <w:vAlign w:val="top"/>
          </w:tcPr>
          <w:p w14:paraId="2736D30C">
            <w:pPr>
              <w:pStyle w:val="6"/>
              <w:spacing w:before="63" w:line="222" w:lineRule="auto"/>
              <w:ind w:left="575"/>
            </w:pPr>
            <w:r>
              <w:t>甲</w:t>
            </w:r>
          </w:p>
        </w:tc>
        <w:tc>
          <w:tcPr>
            <w:tcW w:w="480" w:type="dxa"/>
            <w:vAlign w:val="top"/>
          </w:tcPr>
          <w:p w14:paraId="1DD22879">
            <w:pPr>
              <w:pStyle w:val="6"/>
              <w:spacing w:before="74" w:line="220" w:lineRule="auto"/>
              <w:ind w:left="141"/>
            </w:pPr>
            <w:r>
              <w:t>乙</w:t>
            </w:r>
          </w:p>
        </w:tc>
        <w:tc>
          <w:tcPr>
            <w:tcW w:w="619" w:type="dxa"/>
            <w:vAlign w:val="top"/>
          </w:tcPr>
          <w:p w14:paraId="2241DFD7">
            <w:pPr>
              <w:rPr>
                <w:rFonts w:ascii="Arial"/>
                <w:sz w:val="21"/>
              </w:rPr>
            </w:pPr>
          </w:p>
        </w:tc>
        <w:tc>
          <w:tcPr>
            <w:tcW w:w="569" w:type="dxa"/>
            <w:vAlign w:val="top"/>
          </w:tcPr>
          <w:p w14:paraId="5BE33F98">
            <w:pPr>
              <w:pStyle w:val="6"/>
              <w:spacing w:before="146" w:line="143" w:lineRule="exact"/>
              <w:ind w:left="231"/>
            </w:pPr>
            <w:r>
              <w:rPr>
                <w:position w:val="-2"/>
              </w:rPr>
              <w:t>2</w:t>
            </w:r>
          </w:p>
        </w:tc>
        <w:tc>
          <w:tcPr>
            <w:tcW w:w="570" w:type="dxa"/>
            <w:vAlign w:val="top"/>
          </w:tcPr>
          <w:p w14:paraId="0BA0249B">
            <w:pPr>
              <w:pStyle w:val="6"/>
              <w:spacing w:before="146" w:line="143" w:lineRule="exact"/>
              <w:ind w:left="233"/>
            </w:pPr>
            <w:r>
              <w:rPr>
                <w:position w:val="-2"/>
              </w:rPr>
              <w:t>3</w:t>
            </w:r>
          </w:p>
        </w:tc>
        <w:tc>
          <w:tcPr>
            <w:tcW w:w="589" w:type="dxa"/>
            <w:vAlign w:val="top"/>
          </w:tcPr>
          <w:p w14:paraId="1D041D00">
            <w:pPr>
              <w:pStyle w:val="6"/>
              <w:spacing w:before="146" w:line="143" w:lineRule="exact"/>
              <w:ind w:left="243"/>
            </w:pPr>
            <w:r>
              <w:rPr>
                <w:position w:val="-2"/>
              </w:rPr>
              <w:t>4</w:t>
            </w:r>
          </w:p>
        </w:tc>
        <w:tc>
          <w:tcPr>
            <w:tcW w:w="589" w:type="dxa"/>
            <w:vAlign w:val="top"/>
          </w:tcPr>
          <w:p w14:paraId="49A63F5D">
            <w:pPr>
              <w:pStyle w:val="6"/>
              <w:spacing w:before="148" w:line="141" w:lineRule="exact"/>
              <w:ind w:left="244"/>
            </w:pPr>
            <w:r>
              <w:rPr>
                <w:position w:val="-2"/>
              </w:rPr>
              <w:t>5</w:t>
            </w:r>
          </w:p>
        </w:tc>
        <w:tc>
          <w:tcPr>
            <w:tcW w:w="569" w:type="dxa"/>
            <w:vAlign w:val="top"/>
          </w:tcPr>
          <w:p w14:paraId="496BD5A3">
            <w:pPr>
              <w:pStyle w:val="6"/>
              <w:spacing w:before="146" w:line="143" w:lineRule="exact"/>
              <w:ind w:left="235"/>
            </w:pPr>
            <w:r>
              <w:rPr>
                <w:position w:val="-2"/>
              </w:rPr>
              <w:t>6</w:t>
            </w:r>
          </w:p>
        </w:tc>
        <w:tc>
          <w:tcPr>
            <w:tcW w:w="609" w:type="dxa"/>
            <w:vAlign w:val="top"/>
          </w:tcPr>
          <w:p w14:paraId="6407137F">
            <w:pPr>
              <w:pStyle w:val="6"/>
              <w:spacing w:before="148" w:line="141" w:lineRule="exact"/>
              <w:ind w:left="256"/>
            </w:pPr>
            <w:r>
              <w:rPr>
                <w:position w:val="-2"/>
              </w:rPr>
              <w:t>7</w:t>
            </w:r>
          </w:p>
        </w:tc>
        <w:tc>
          <w:tcPr>
            <w:tcW w:w="569" w:type="dxa"/>
            <w:vAlign w:val="top"/>
          </w:tcPr>
          <w:p w14:paraId="2CB0C365">
            <w:pPr>
              <w:pStyle w:val="6"/>
              <w:spacing w:before="146" w:line="143" w:lineRule="exact"/>
              <w:ind w:left="237"/>
            </w:pPr>
            <w:r>
              <w:rPr>
                <w:position w:val="-2"/>
              </w:rPr>
              <w:t>8</w:t>
            </w:r>
          </w:p>
        </w:tc>
        <w:tc>
          <w:tcPr>
            <w:tcW w:w="609" w:type="dxa"/>
            <w:vAlign w:val="top"/>
          </w:tcPr>
          <w:p w14:paraId="082FB88C">
            <w:pPr>
              <w:pStyle w:val="6"/>
              <w:spacing w:before="146" w:line="143" w:lineRule="exact"/>
              <w:ind w:left="258"/>
            </w:pPr>
            <w:r>
              <w:rPr>
                <w:position w:val="-2"/>
              </w:rPr>
              <w:t>9</w:t>
            </w:r>
          </w:p>
        </w:tc>
        <w:tc>
          <w:tcPr>
            <w:tcW w:w="599" w:type="dxa"/>
            <w:vAlign w:val="top"/>
          </w:tcPr>
          <w:p w14:paraId="02D5B4CB">
            <w:pPr>
              <w:pStyle w:val="6"/>
              <w:spacing w:before="146" w:line="143" w:lineRule="exact"/>
              <w:ind w:left="209"/>
            </w:pPr>
            <w:r>
              <w:rPr>
                <w:spacing w:val="-6"/>
                <w:position w:val="-2"/>
              </w:rPr>
              <w:t>10</w:t>
            </w:r>
          </w:p>
        </w:tc>
        <w:tc>
          <w:tcPr>
            <w:tcW w:w="570" w:type="dxa"/>
            <w:vAlign w:val="top"/>
          </w:tcPr>
          <w:p w14:paraId="1513AA55">
            <w:pPr>
              <w:pStyle w:val="6"/>
              <w:spacing w:before="146" w:line="143" w:lineRule="exact"/>
              <w:ind w:left="190"/>
            </w:pPr>
            <w:r>
              <w:rPr>
                <w:spacing w:val="-6"/>
                <w:position w:val="-2"/>
              </w:rPr>
              <w:t>11</w:t>
            </w:r>
          </w:p>
        </w:tc>
        <w:tc>
          <w:tcPr>
            <w:tcW w:w="550" w:type="dxa"/>
            <w:vAlign w:val="top"/>
          </w:tcPr>
          <w:p w14:paraId="6DF575DF">
            <w:pPr>
              <w:pStyle w:val="6"/>
              <w:spacing w:before="146" w:line="143" w:lineRule="exact"/>
              <w:ind w:left="180"/>
            </w:pPr>
            <w:r>
              <w:rPr>
                <w:spacing w:val="-6"/>
                <w:position w:val="-2"/>
              </w:rPr>
              <w:t>12</w:t>
            </w:r>
          </w:p>
        </w:tc>
        <w:tc>
          <w:tcPr>
            <w:tcW w:w="565" w:type="dxa"/>
            <w:vAlign w:val="top"/>
          </w:tcPr>
          <w:p w14:paraId="5F3493D0">
            <w:pPr>
              <w:pStyle w:val="6"/>
              <w:spacing w:before="146" w:line="143" w:lineRule="exact"/>
              <w:ind w:left="190"/>
            </w:pPr>
            <w:r>
              <w:rPr>
                <w:spacing w:val="-6"/>
                <w:position w:val="-2"/>
              </w:rPr>
              <w:t>13</w:t>
            </w:r>
          </w:p>
        </w:tc>
      </w:tr>
      <w:tr w14:paraId="6160F9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77" w:hRule="atLeast"/>
        </w:trPr>
        <w:tc>
          <w:tcPr>
            <w:tcW w:w="1344" w:type="dxa"/>
            <w:vAlign w:val="top"/>
          </w:tcPr>
          <w:p w14:paraId="360F8A63">
            <w:pPr>
              <w:pStyle w:val="6"/>
              <w:spacing w:before="61" w:line="220" w:lineRule="auto"/>
              <w:ind w:left="95"/>
            </w:pPr>
            <w:r>
              <w:rPr>
                <w:spacing w:val="-3"/>
              </w:rPr>
              <w:t>原煤</w:t>
            </w:r>
          </w:p>
          <w:p w14:paraId="62CBBEB4">
            <w:pPr>
              <w:pStyle w:val="6"/>
              <w:spacing w:before="123" w:line="219" w:lineRule="auto"/>
              <w:jc w:val="right"/>
            </w:pPr>
            <w:r>
              <w:rPr>
                <w:spacing w:val="-14"/>
                <w:w w:val="94"/>
              </w:rPr>
              <w:t>洗精煤(用于炼焦)</w:t>
            </w:r>
          </w:p>
          <w:p w14:paraId="25F977AD">
            <w:pPr>
              <w:pStyle w:val="6"/>
              <w:spacing w:before="108" w:line="300" w:lineRule="exact"/>
              <w:ind w:left="95"/>
            </w:pPr>
            <w:r>
              <w:rPr>
                <w:spacing w:val="-2"/>
                <w:position w:val="8"/>
              </w:rPr>
              <w:t>其他洗煤</w:t>
            </w:r>
          </w:p>
          <w:p w14:paraId="5C3C18A2">
            <w:pPr>
              <w:pStyle w:val="6"/>
              <w:spacing w:line="220" w:lineRule="auto"/>
              <w:ind w:left="95"/>
            </w:pPr>
            <w:r>
              <w:rPr>
                <w:spacing w:val="6"/>
              </w:rPr>
              <w:t>煤制品</w:t>
            </w:r>
          </w:p>
          <w:p w14:paraId="38EAFA44">
            <w:pPr>
              <w:pStyle w:val="6"/>
              <w:spacing w:before="75" w:line="221" w:lineRule="auto"/>
              <w:ind w:left="95"/>
            </w:pPr>
            <w:r>
              <w:rPr>
                <w:spacing w:val="-2"/>
              </w:rPr>
              <w:t>焦炭</w:t>
            </w:r>
          </w:p>
          <w:p w14:paraId="1EF337E9">
            <w:pPr>
              <w:pStyle w:val="6"/>
              <w:spacing w:before="84" w:line="220" w:lineRule="auto"/>
              <w:ind w:left="95"/>
            </w:pPr>
            <w:r>
              <w:rPr>
                <w:spacing w:val="2"/>
              </w:rPr>
              <w:t>液化天然气</w:t>
            </w:r>
          </w:p>
          <w:p w14:paraId="2510F9AD">
            <w:pPr>
              <w:pStyle w:val="6"/>
              <w:spacing w:before="79" w:line="224" w:lineRule="auto"/>
              <w:ind w:left="95"/>
            </w:pPr>
            <w:r>
              <w:rPr>
                <w:spacing w:val="9"/>
              </w:rPr>
              <w:t>原油</w:t>
            </w:r>
          </w:p>
          <w:p w14:paraId="46148F32">
            <w:pPr>
              <w:pStyle w:val="6"/>
              <w:spacing w:before="81" w:line="223" w:lineRule="auto"/>
              <w:ind w:left="95"/>
            </w:pPr>
            <w:r>
              <w:rPr>
                <w:spacing w:val="9"/>
              </w:rPr>
              <w:t>汽油</w:t>
            </w:r>
          </w:p>
          <w:p w14:paraId="11739DBA">
            <w:pPr>
              <w:pStyle w:val="6"/>
              <w:spacing w:before="70" w:line="220" w:lineRule="auto"/>
              <w:ind w:left="95"/>
            </w:pPr>
            <w:r>
              <w:rPr>
                <w:spacing w:val="9"/>
              </w:rPr>
              <w:t>煤油</w:t>
            </w:r>
          </w:p>
          <w:p w14:paraId="66557F55">
            <w:pPr>
              <w:pStyle w:val="6"/>
              <w:spacing w:before="76" w:line="220" w:lineRule="auto"/>
              <w:ind w:left="95"/>
            </w:pPr>
            <w:r>
              <w:rPr>
                <w:spacing w:val="9"/>
              </w:rPr>
              <w:t>柴油</w:t>
            </w:r>
          </w:p>
          <w:p w14:paraId="39B69332">
            <w:pPr>
              <w:pStyle w:val="6"/>
              <w:spacing w:before="85" w:line="220" w:lineRule="auto"/>
              <w:ind w:left="95"/>
            </w:pPr>
            <w:r>
              <w:rPr>
                <w:spacing w:val="6"/>
              </w:rPr>
              <w:t>燃料油</w:t>
            </w:r>
          </w:p>
          <w:p w14:paraId="67827401">
            <w:pPr>
              <w:pStyle w:val="6"/>
              <w:spacing w:before="86" w:line="220" w:lineRule="auto"/>
              <w:ind w:left="95"/>
            </w:pPr>
            <w:r>
              <w:rPr>
                <w:spacing w:val="2"/>
              </w:rPr>
              <w:t>液化石油气</w:t>
            </w:r>
          </w:p>
          <w:p w14:paraId="26D22138">
            <w:pPr>
              <w:pStyle w:val="6"/>
              <w:spacing w:before="76" w:line="299" w:lineRule="exact"/>
              <w:ind w:left="95"/>
            </w:pPr>
            <w:r>
              <w:rPr>
                <w:spacing w:val="6"/>
                <w:position w:val="8"/>
              </w:rPr>
              <w:t>石脑油</w:t>
            </w:r>
          </w:p>
          <w:p w14:paraId="37AAEC04">
            <w:pPr>
              <w:pStyle w:val="6"/>
              <w:spacing w:line="220" w:lineRule="auto"/>
              <w:ind w:left="95"/>
            </w:pPr>
            <w:r>
              <w:rPr>
                <w:spacing w:val="6"/>
              </w:rPr>
              <w:t>润滑油</w:t>
            </w:r>
          </w:p>
          <w:p w14:paraId="68E2769D">
            <w:pPr>
              <w:pStyle w:val="6"/>
              <w:spacing w:before="74" w:line="219" w:lineRule="auto"/>
              <w:ind w:left="95"/>
            </w:pPr>
            <w:r>
              <w:rPr>
                <w:spacing w:val="6"/>
              </w:rPr>
              <w:t>溶剂油</w:t>
            </w:r>
          </w:p>
          <w:p w14:paraId="511DD474">
            <w:pPr>
              <w:pStyle w:val="6"/>
              <w:spacing w:before="88" w:line="221" w:lineRule="auto"/>
              <w:ind w:left="95"/>
            </w:pPr>
            <w:r>
              <w:rPr>
                <w:spacing w:val="-2"/>
              </w:rPr>
              <w:t>石油焦</w:t>
            </w:r>
          </w:p>
          <w:p w14:paraId="1FFA5F7E">
            <w:pPr>
              <w:pStyle w:val="6"/>
              <w:spacing w:before="83" w:line="212" w:lineRule="auto"/>
              <w:ind w:left="95"/>
            </w:pPr>
            <w:r>
              <w:rPr>
                <w:spacing w:val="-2"/>
              </w:rPr>
              <w:t>石油沥青</w:t>
            </w:r>
          </w:p>
        </w:tc>
        <w:tc>
          <w:tcPr>
            <w:tcW w:w="480" w:type="dxa"/>
            <w:vAlign w:val="top"/>
          </w:tcPr>
          <w:p w14:paraId="4B9A3D08">
            <w:pPr>
              <w:pStyle w:val="6"/>
              <w:spacing w:before="116" w:line="184" w:lineRule="auto"/>
              <w:ind w:left="141"/>
            </w:pPr>
            <w:r>
              <w:rPr>
                <w:spacing w:val="-3"/>
              </w:rPr>
              <w:t>01</w:t>
            </w:r>
          </w:p>
          <w:p w14:paraId="0D84CC99">
            <w:pPr>
              <w:pStyle w:val="6"/>
              <w:spacing w:before="161" w:line="183" w:lineRule="auto"/>
              <w:ind w:left="141"/>
            </w:pPr>
            <w:r>
              <w:rPr>
                <w:spacing w:val="-3"/>
              </w:rPr>
              <w:t>02</w:t>
            </w:r>
          </w:p>
          <w:p w14:paraId="5066CC58">
            <w:pPr>
              <w:pStyle w:val="6"/>
              <w:spacing w:before="161" w:line="183" w:lineRule="auto"/>
              <w:ind w:left="141"/>
            </w:pPr>
            <w:r>
              <w:rPr>
                <w:spacing w:val="-3"/>
              </w:rPr>
              <w:t>03</w:t>
            </w:r>
          </w:p>
          <w:p w14:paraId="2D6DE612">
            <w:pPr>
              <w:pStyle w:val="6"/>
              <w:spacing w:before="101" w:line="183" w:lineRule="auto"/>
              <w:ind w:left="141"/>
            </w:pPr>
            <w:r>
              <w:rPr>
                <w:spacing w:val="-3"/>
              </w:rPr>
              <w:t>04</w:t>
            </w:r>
          </w:p>
          <w:p w14:paraId="5A974CED">
            <w:pPr>
              <w:pStyle w:val="6"/>
              <w:spacing w:before="122" w:line="183" w:lineRule="auto"/>
              <w:ind w:left="141"/>
            </w:pPr>
            <w:r>
              <w:rPr>
                <w:spacing w:val="-3"/>
              </w:rPr>
              <w:t>05</w:t>
            </w:r>
          </w:p>
          <w:p w14:paraId="2E2CB6BD">
            <w:pPr>
              <w:pStyle w:val="6"/>
              <w:spacing w:before="121" w:line="183" w:lineRule="auto"/>
              <w:ind w:left="141"/>
            </w:pPr>
            <w:r>
              <w:rPr>
                <w:spacing w:val="-3"/>
              </w:rPr>
              <w:t>06</w:t>
            </w:r>
          </w:p>
          <w:p w14:paraId="3FFC1462">
            <w:pPr>
              <w:pStyle w:val="6"/>
              <w:spacing w:before="112" w:line="183" w:lineRule="auto"/>
              <w:ind w:left="141"/>
            </w:pPr>
            <w:r>
              <w:rPr>
                <w:spacing w:val="-3"/>
              </w:rPr>
              <w:t>07</w:t>
            </w:r>
          </w:p>
          <w:p w14:paraId="6708C2F5">
            <w:pPr>
              <w:pStyle w:val="6"/>
              <w:spacing w:before="111" w:line="183" w:lineRule="auto"/>
              <w:ind w:left="141"/>
            </w:pPr>
            <w:r>
              <w:rPr>
                <w:spacing w:val="-3"/>
              </w:rPr>
              <w:t>08</w:t>
            </w:r>
          </w:p>
          <w:p w14:paraId="4287E2D0">
            <w:pPr>
              <w:pStyle w:val="6"/>
              <w:spacing w:before="122" w:line="183" w:lineRule="auto"/>
              <w:ind w:left="141"/>
            </w:pPr>
            <w:r>
              <w:rPr>
                <w:spacing w:val="-3"/>
              </w:rPr>
              <w:t>09</w:t>
            </w:r>
          </w:p>
          <w:p w14:paraId="5A75F705">
            <w:pPr>
              <w:pStyle w:val="6"/>
              <w:spacing w:before="100" w:line="184" w:lineRule="auto"/>
              <w:ind w:left="141"/>
            </w:pPr>
            <w:r>
              <w:rPr>
                <w:spacing w:val="-6"/>
              </w:rPr>
              <w:t>10</w:t>
            </w:r>
          </w:p>
          <w:p w14:paraId="71FF3832">
            <w:pPr>
              <w:pStyle w:val="6"/>
              <w:spacing w:before="141" w:line="184" w:lineRule="auto"/>
              <w:ind w:left="141"/>
            </w:pPr>
            <w:r>
              <w:rPr>
                <w:spacing w:val="-6"/>
              </w:rPr>
              <w:t>11</w:t>
            </w:r>
          </w:p>
          <w:p w14:paraId="2E3F33B7">
            <w:pPr>
              <w:pStyle w:val="6"/>
              <w:spacing w:before="91" w:line="184" w:lineRule="auto"/>
              <w:ind w:left="141"/>
            </w:pPr>
            <w:r>
              <w:rPr>
                <w:spacing w:val="-6"/>
              </w:rPr>
              <w:t>12</w:t>
            </w:r>
          </w:p>
          <w:p w14:paraId="72551EA8">
            <w:pPr>
              <w:pStyle w:val="6"/>
              <w:spacing w:before="130" w:line="184" w:lineRule="auto"/>
              <w:ind w:left="141"/>
            </w:pPr>
            <w:r>
              <w:rPr>
                <w:spacing w:val="-6"/>
              </w:rPr>
              <w:t>13</w:t>
            </w:r>
          </w:p>
          <w:p w14:paraId="4CB04999">
            <w:pPr>
              <w:pStyle w:val="6"/>
              <w:spacing w:before="121" w:line="184" w:lineRule="auto"/>
              <w:ind w:left="141"/>
            </w:pPr>
            <w:r>
              <w:rPr>
                <w:spacing w:val="-6"/>
              </w:rPr>
              <w:t>14</w:t>
            </w:r>
          </w:p>
          <w:p w14:paraId="3EA33D88">
            <w:pPr>
              <w:pStyle w:val="6"/>
              <w:spacing w:before="121" w:line="184" w:lineRule="auto"/>
              <w:ind w:left="141"/>
            </w:pPr>
            <w:r>
              <w:rPr>
                <w:spacing w:val="-6"/>
              </w:rPr>
              <w:t>15</w:t>
            </w:r>
          </w:p>
          <w:p w14:paraId="031BF94E">
            <w:pPr>
              <w:pStyle w:val="6"/>
              <w:spacing w:before="110" w:line="184" w:lineRule="auto"/>
              <w:ind w:left="141"/>
            </w:pPr>
            <w:r>
              <w:rPr>
                <w:spacing w:val="-6"/>
              </w:rPr>
              <w:t>16</w:t>
            </w:r>
          </w:p>
          <w:p w14:paraId="4B2BA9AA">
            <w:pPr>
              <w:pStyle w:val="6"/>
              <w:spacing w:before="111" w:line="150" w:lineRule="exact"/>
              <w:ind w:left="141"/>
            </w:pPr>
            <w:r>
              <w:rPr>
                <w:spacing w:val="-6"/>
                <w:position w:val="-2"/>
              </w:rPr>
              <w:t>17</w:t>
            </w:r>
          </w:p>
        </w:tc>
        <w:tc>
          <w:tcPr>
            <w:tcW w:w="7576" w:type="dxa"/>
            <w:gridSpan w:val="13"/>
            <w:vAlign w:val="top"/>
          </w:tcPr>
          <w:p w14:paraId="60E61AAB">
            <w:pPr>
              <w:rPr>
                <w:rFonts w:ascii="Arial"/>
                <w:sz w:val="21"/>
              </w:rPr>
            </w:pPr>
          </w:p>
        </w:tc>
      </w:tr>
    </w:tbl>
    <w:p w14:paraId="763CA060">
      <w:pPr>
        <w:pStyle w:val="2"/>
        <w:spacing w:line="14" w:lineRule="auto"/>
        <w:rPr>
          <w:sz w:val="2"/>
        </w:rPr>
      </w:pPr>
    </w:p>
    <w:p w14:paraId="19194366">
      <w:pPr>
        <w:spacing w:line="14" w:lineRule="auto"/>
        <w:rPr>
          <w:sz w:val="2"/>
          <w:szCs w:val="2"/>
        </w:rPr>
        <w:sectPr>
          <w:headerReference r:id="rId15" w:type="default"/>
          <w:pgSz w:w="11910" w:h="16840"/>
          <w:pgMar w:top="1046" w:right="1199" w:bottom="0" w:left="1229" w:header="876" w:footer="0" w:gutter="0"/>
          <w:cols w:equalWidth="0" w:num="1">
            <w:col w:w="9481"/>
          </w:cols>
        </w:sectPr>
      </w:pPr>
    </w:p>
    <w:p w14:paraId="683BEEFF">
      <w:pPr>
        <w:spacing w:before="3" w:line="219" w:lineRule="auto"/>
        <w:rPr>
          <w:rFonts w:ascii="宋体" w:hAnsi="宋体" w:eastAsia="宋体" w:cs="宋体"/>
          <w:sz w:val="19"/>
          <w:szCs w:val="19"/>
        </w:rPr>
      </w:pPr>
      <w:r>
        <w:rPr>
          <w:rFonts w:ascii="宋体" w:hAnsi="宋体" w:eastAsia="宋体" w:cs="宋体"/>
          <w:spacing w:val="-2"/>
          <w:sz w:val="19"/>
          <w:szCs w:val="19"/>
        </w:rPr>
        <w:t>单位负责人</w:t>
      </w:r>
    </w:p>
    <w:p w14:paraId="1DC268C4">
      <w:pPr>
        <w:pStyle w:val="2"/>
        <w:spacing w:line="14" w:lineRule="auto"/>
        <w:rPr>
          <w:sz w:val="2"/>
        </w:rPr>
      </w:pPr>
      <w:r>
        <w:rPr>
          <w:sz w:val="2"/>
          <w:szCs w:val="2"/>
        </w:rPr>
        <w:br w:type="column"/>
      </w:r>
    </w:p>
    <w:p w14:paraId="086F1D7E">
      <w:pPr>
        <w:spacing w:before="42" w:line="196" w:lineRule="auto"/>
        <w:rPr>
          <w:rFonts w:ascii="宋体" w:hAnsi="宋体" w:eastAsia="宋体" w:cs="宋体"/>
          <w:sz w:val="19"/>
          <w:szCs w:val="19"/>
        </w:rPr>
      </w:pPr>
      <w:r>
        <w:rPr>
          <w:rFonts w:ascii="宋体" w:hAnsi="宋体" w:eastAsia="宋体" w:cs="宋体"/>
          <w:spacing w:val="-1"/>
          <w:sz w:val="19"/>
          <w:szCs w:val="19"/>
        </w:rPr>
        <w:t>统计负责人：</w:t>
      </w:r>
    </w:p>
    <w:p w14:paraId="15E54648">
      <w:pPr>
        <w:pStyle w:val="2"/>
        <w:spacing w:line="14" w:lineRule="auto"/>
        <w:rPr>
          <w:sz w:val="2"/>
        </w:rPr>
      </w:pPr>
      <w:r>
        <w:rPr>
          <w:sz w:val="2"/>
          <w:szCs w:val="2"/>
        </w:rPr>
        <w:br w:type="column"/>
      </w:r>
    </w:p>
    <w:p w14:paraId="76958185">
      <w:pPr>
        <w:spacing w:before="42" w:line="196" w:lineRule="auto"/>
        <w:rPr>
          <w:rFonts w:ascii="宋体" w:hAnsi="宋体" w:eastAsia="宋体" w:cs="宋体"/>
          <w:sz w:val="19"/>
          <w:szCs w:val="19"/>
        </w:rPr>
      </w:pPr>
      <w:r>
        <w:rPr>
          <w:rFonts w:ascii="宋体" w:hAnsi="宋体" w:eastAsia="宋体" w:cs="宋体"/>
          <w:spacing w:val="-1"/>
          <w:sz w:val="19"/>
          <w:szCs w:val="19"/>
        </w:rPr>
        <w:t>填表人：</w:t>
      </w:r>
    </w:p>
    <w:p w14:paraId="030BDAA0">
      <w:pPr>
        <w:pStyle w:val="2"/>
        <w:spacing w:line="14" w:lineRule="auto"/>
        <w:rPr>
          <w:sz w:val="2"/>
        </w:rPr>
      </w:pPr>
      <w:r>
        <w:rPr>
          <w:sz w:val="2"/>
          <w:szCs w:val="2"/>
        </w:rPr>
        <w:br w:type="column"/>
      </w:r>
    </w:p>
    <w:p w14:paraId="15F08C4B">
      <w:pPr>
        <w:spacing w:before="54" w:line="184" w:lineRule="auto"/>
        <w:rPr>
          <w:rFonts w:ascii="宋体" w:hAnsi="宋体" w:eastAsia="宋体" w:cs="宋体"/>
          <w:sz w:val="19"/>
          <w:szCs w:val="19"/>
        </w:rPr>
      </w:pPr>
      <w:r>
        <w:rPr>
          <w:rFonts w:ascii="宋体" w:hAnsi="宋体" w:eastAsia="宋体" w:cs="宋体"/>
          <w:spacing w:val="-1"/>
          <w:sz w:val="19"/>
          <w:szCs w:val="19"/>
        </w:rPr>
        <w:t>联系电话：</w:t>
      </w:r>
    </w:p>
    <w:p w14:paraId="3D1E8C64">
      <w:pPr>
        <w:pStyle w:val="2"/>
        <w:spacing w:line="14" w:lineRule="auto"/>
        <w:rPr>
          <w:sz w:val="2"/>
        </w:rPr>
      </w:pPr>
      <w:r>
        <w:rPr>
          <w:sz w:val="2"/>
          <w:szCs w:val="2"/>
        </w:rPr>
        <w:br w:type="column"/>
      </w:r>
    </w:p>
    <w:p w14:paraId="2DB403E3">
      <w:pPr>
        <w:spacing w:before="11" w:line="219" w:lineRule="auto"/>
        <w:rPr>
          <w:rFonts w:ascii="宋体" w:hAnsi="宋体" w:eastAsia="宋体" w:cs="宋体"/>
          <w:sz w:val="19"/>
          <w:szCs w:val="19"/>
        </w:rPr>
      </w:pPr>
      <w:r>
        <w:rPr>
          <w:rFonts w:ascii="宋体" w:hAnsi="宋体" w:eastAsia="宋体" w:cs="宋体"/>
          <w:spacing w:val="3"/>
          <w:sz w:val="19"/>
          <w:szCs w:val="19"/>
        </w:rPr>
        <w:t>报出日期：20年月日</w:t>
      </w:r>
    </w:p>
    <w:p w14:paraId="2187A962">
      <w:pPr>
        <w:spacing w:line="219" w:lineRule="auto"/>
        <w:rPr>
          <w:rFonts w:ascii="宋体" w:hAnsi="宋体" w:eastAsia="宋体" w:cs="宋体"/>
          <w:sz w:val="19"/>
          <w:szCs w:val="19"/>
        </w:rPr>
        <w:sectPr>
          <w:type w:val="continuous"/>
          <w:pgSz w:w="11910" w:h="16840"/>
          <w:pgMar w:top="1046" w:right="1199" w:bottom="0" w:left="1229" w:header="876" w:footer="0" w:gutter="0"/>
          <w:cols w:equalWidth="0" w:num="5">
            <w:col w:w="1881" w:space="100"/>
            <w:col w:w="1961" w:space="100"/>
            <w:col w:w="1310" w:space="100"/>
            <w:col w:w="1571" w:space="100"/>
            <w:col w:w="2361"/>
          </w:cols>
        </w:sectPr>
      </w:pPr>
    </w:p>
    <w:p w14:paraId="31EB7285">
      <w:pPr>
        <w:pStyle w:val="2"/>
        <w:spacing w:line="256" w:lineRule="auto"/>
      </w:pPr>
    </w:p>
    <w:p w14:paraId="27103F02">
      <w:pPr>
        <w:spacing w:before="59" w:line="219" w:lineRule="auto"/>
        <w:ind w:left="10"/>
        <w:rPr>
          <w:rFonts w:ascii="宋体" w:hAnsi="宋体" w:eastAsia="宋体" w:cs="宋体"/>
          <w:sz w:val="18"/>
          <w:szCs w:val="18"/>
        </w:rPr>
      </w:pPr>
      <w:r>
        <w:rPr>
          <w:rFonts w:ascii="宋体" w:hAnsi="宋体" w:eastAsia="宋体" w:cs="宋体"/>
          <w:spacing w:val="-3"/>
          <w:sz w:val="18"/>
          <w:szCs w:val="18"/>
        </w:rPr>
        <w:t>说明：1.统计范围：辖区内有资质的建筑业、限额以上批发和零售业、限额以上住宿和餐饮业、有开发经营活动的房地产</w:t>
      </w:r>
    </w:p>
    <w:p w14:paraId="5425F63F">
      <w:pPr>
        <w:spacing w:before="67" w:line="219" w:lineRule="auto"/>
        <w:ind w:left="1590"/>
        <w:rPr>
          <w:rFonts w:ascii="宋体" w:hAnsi="宋体" w:eastAsia="宋体" w:cs="宋体"/>
          <w:sz w:val="18"/>
          <w:szCs w:val="18"/>
        </w:rPr>
      </w:pPr>
      <w:r>
        <w:rPr>
          <w:rFonts w:ascii="宋体" w:hAnsi="宋体" w:eastAsia="宋体" w:cs="宋体"/>
          <w:spacing w:val="-2"/>
          <w:sz w:val="18"/>
          <w:szCs w:val="18"/>
        </w:rPr>
        <w:t>开发经营业和规模以上服务业等重点法人单位。</w:t>
      </w:r>
    </w:p>
    <w:p w14:paraId="53E2E9B5">
      <w:pPr>
        <w:spacing w:before="25" w:line="265" w:lineRule="auto"/>
        <w:ind w:left="2120" w:hanging="1560"/>
        <w:rPr>
          <w:rFonts w:ascii="宋体" w:hAnsi="宋体" w:eastAsia="宋体" w:cs="宋体"/>
          <w:sz w:val="18"/>
          <w:szCs w:val="18"/>
        </w:rPr>
      </w:pPr>
      <w:r>
        <w:rPr>
          <w:rFonts w:ascii="宋体" w:hAnsi="宋体" w:eastAsia="宋体" w:cs="宋体"/>
          <w:spacing w:val="9"/>
          <w:sz w:val="18"/>
          <w:szCs w:val="18"/>
        </w:rPr>
        <w:t>2.报送日期及方式：调查单位2、5、6、7、8、10、11月月后7日，3月月后8日，4、</w:t>
      </w:r>
      <w:r>
        <w:rPr>
          <w:rFonts w:ascii="宋体" w:hAnsi="宋体" w:eastAsia="宋体" w:cs="宋体"/>
          <w:spacing w:val="8"/>
          <w:sz w:val="18"/>
          <w:szCs w:val="18"/>
        </w:rPr>
        <w:t>12月月后9日，9月月后</w:t>
      </w:r>
      <w:r>
        <w:rPr>
          <w:rFonts w:ascii="宋体" w:hAnsi="宋体" w:eastAsia="宋体" w:cs="宋体"/>
          <w:sz w:val="18"/>
          <w:szCs w:val="18"/>
        </w:rPr>
        <w:t xml:space="preserve"> </w:t>
      </w:r>
      <w:r>
        <w:rPr>
          <w:rFonts w:ascii="宋体" w:hAnsi="宋体" w:eastAsia="宋体" w:cs="宋体"/>
          <w:spacing w:val="5"/>
          <w:sz w:val="18"/>
          <w:szCs w:val="18"/>
        </w:rPr>
        <w:t>10日12:00前独立自行网上填报，1月免报；市级统计机构6、7、8、10、11月月后9日，2、</w:t>
      </w:r>
      <w:r>
        <w:rPr>
          <w:rFonts w:ascii="宋体" w:hAnsi="宋体" w:eastAsia="宋体" w:cs="宋体"/>
          <w:spacing w:val="8"/>
          <w:sz w:val="18"/>
          <w:szCs w:val="18"/>
        </w:rPr>
        <w:t xml:space="preserve"> </w:t>
      </w:r>
      <w:r>
        <w:rPr>
          <w:rFonts w:ascii="宋体" w:hAnsi="宋体" w:eastAsia="宋体" w:cs="宋体"/>
          <w:spacing w:val="10"/>
          <w:sz w:val="18"/>
          <w:szCs w:val="18"/>
        </w:rPr>
        <w:t>3、5月月后10日，4、12月月后11日，9月月后12日12:00完成</w:t>
      </w:r>
      <w:r>
        <w:rPr>
          <w:rFonts w:ascii="宋体" w:hAnsi="宋体" w:eastAsia="宋体" w:cs="宋体"/>
          <w:spacing w:val="9"/>
          <w:sz w:val="18"/>
          <w:szCs w:val="18"/>
        </w:rPr>
        <w:t>数据审核、验收、上报。</w:t>
      </w:r>
    </w:p>
    <w:p w14:paraId="642E229D">
      <w:pPr>
        <w:spacing w:before="77" w:line="264" w:lineRule="auto"/>
        <w:ind w:left="2120" w:hanging="1560"/>
        <w:rPr>
          <w:rFonts w:ascii="宋体" w:hAnsi="宋体" w:eastAsia="宋体" w:cs="宋体"/>
          <w:sz w:val="18"/>
          <w:szCs w:val="18"/>
        </w:rPr>
      </w:pPr>
      <w:r>
        <w:rPr>
          <w:rFonts w:ascii="宋体" w:hAnsi="宋体" w:eastAsia="宋体" w:cs="宋体"/>
          <w:spacing w:val="-1"/>
          <w:sz w:val="18"/>
          <w:szCs w:val="18"/>
        </w:rPr>
        <w:t>3.本表中“上年同期”数据统一由国家统计局</w:t>
      </w:r>
      <w:r>
        <w:rPr>
          <w:rFonts w:ascii="宋体" w:hAnsi="宋体" w:eastAsia="宋体" w:cs="宋体"/>
          <w:spacing w:val="-2"/>
          <w:sz w:val="18"/>
          <w:szCs w:val="18"/>
        </w:rPr>
        <w:t>在数据处理软件中复制，调查单位和各级统计机构原则上不得修改；</w:t>
      </w:r>
      <w:r>
        <w:rPr>
          <w:rFonts w:ascii="宋体" w:hAnsi="宋体" w:eastAsia="宋体" w:cs="宋体"/>
          <w:sz w:val="18"/>
          <w:szCs w:val="18"/>
        </w:rPr>
        <w:t xml:space="preserve"> </w:t>
      </w:r>
      <w:r>
        <w:rPr>
          <w:rFonts w:ascii="宋体" w:hAnsi="宋体" w:eastAsia="宋体" w:cs="宋体"/>
          <w:spacing w:val="-2"/>
          <w:sz w:val="18"/>
          <w:szCs w:val="18"/>
        </w:rPr>
        <w:t>本年新增的调查单位自行填报“上年同期”</w:t>
      </w:r>
      <w:r>
        <w:rPr>
          <w:rFonts w:ascii="宋体" w:hAnsi="宋体" w:eastAsia="宋体" w:cs="宋体"/>
          <w:spacing w:val="-3"/>
          <w:sz w:val="18"/>
          <w:szCs w:val="18"/>
        </w:rPr>
        <w:t>数据；涉及兼并、重组等情况的企业，经国家统计</w:t>
      </w:r>
      <w:r>
        <w:rPr>
          <w:rFonts w:ascii="宋体" w:hAnsi="宋体" w:eastAsia="宋体" w:cs="宋体"/>
          <w:sz w:val="18"/>
          <w:szCs w:val="18"/>
        </w:rPr>
        <w:t xml:space="preserve">  </w:t>
      </w:r>
      <w:r>
        <w:rPr>
          <w:rFonts w:ascii="宋体" w:hAnsi="宋体" w:eastAsia="宋体" w:cs="宋体"/>
          <w:spacing w:val="-1"/>
          <w:sz w:val="18"/>
          <w:szCs w:val="18"/>
        </w:rPr>
        <w:t>局批准后，调查单位可调整同期数；本年新增指标的同期数由调查单位自行填报。</w:t>
      </w:r>
    </w:p>
    <w:p w14:paraId="653ADDE8">
      <w:pPr>
        <w:spacing w:before="67" w:line="270" w:lineRule="exact"/>
        <w:ind w:left="560"/>
        <w:rPr>
          <w:rFonts w:ascii="宋体" w:hAnsi="宋体" w:eastAsia="宋体" w:cs="宋体"/>
          <w:sz w:val="18"/>
          <w:szCs w:val="18"/>
        </w:rPr>
      </w:pPr>
      <w:r>
        <w:rPr>
          <w:rFonts w:ascii="宋体" w:hAnsi="宋体" w:eastAsia="宋体" w:cs="宋体"/>
          <w:spacing w:val="-4"/>
          <w:position w:val="6"/>
          <w:sz w:val="18"/>
          <w:szCs w:val="18"/>
        </w:rPr>
        <w:t>4.油品重量单位与容积单位的换算关系：</w:t>
      </w:r>
    </w:p>
    <w:p w14:paraId="72786605">
      <w:pPr>
        <w:spacing w:line="219" w:lineRule="auto"/>
        <w:ind w:left="730"/>
        <w:rPr>
          <w:rFonts w:ascii="宋体" w:hAnsi="宋体" w:eastAsia="宋体" w:cs="宋体"/>
          <w:sz w:val="18"/>
          <w:szCs w:val="18"/>
        </w:rPr>
      </w:pPr>
      <w:r>
        <w:rPr>
          <w:rFonts w:ascii="宋体" w:hAnsi="宋体" w:eastAsia="宋体" w:cs="宋体"/>
          <w:spacing w:val="-9"/>
          <w:sz w:val="18"/>
          <w:szCs w:val="18"/>
        </w:rPr>
        <w:t>(1)汽  油：1升≈0.73</w:t>
      </w:r>
      <w:r>
        <w:rPr>
          <w:rFonts w:ascii="宋体" w:hAnsi="宋体" w:eastAsia="宋体" w:cs="宋体"/>
          <w:spacing w:val="-19"/>
          <w:sz w:val="18"/>
          <w:szCs w:val="18"/>
        </w:rPr>
        <w:t xml:space="preserve"> </w:t>
      </w:r>
      <w:r>
        <w:rPr>
          <w:rFonts w:ascii="宋体" w:hAnsi="宋体" w:eastAsia="宋体" w:cs="宋体"/>
          <w:spacing w:val="-9"/>
          <w:sz w:val="18"/>
          <w:szCs w:val="18"/>
        </w:rPr>
        <w:t>千克≈0.00073吨</w:t>
      </w:r>
    </w:p>
    <w:p w14:paraId="282ABE24">
      <w:pPr>
        <w:spacing w:before="47" w:line="219" w:lineRule="auto"/>
        <w:ind w:left="730"/>
        <w:rPr>
          <w:rFonts w:ascii="宋体" w:hAnsi="宋体" w:eastAsia="宋体" w:cs="宋体"/>
          <w:sz w:val="18"/>
          <w:szCs w:val="18"/>
        </w:rPr>
      </w:pPr>
      <w:r>
        <w:rPr>
          <w:rFonts w:ascii="宋体" w:hAnsi="宋体" w:eastAsia="宋体" w:cs="宋体"/>
          <w:spacing w:val="-8"/>
          <w:sz w:val="18"/>
          <w:szCs w:val="18"/>
        </w:rPr>
        <w:t>(2)轻柴油：1升≈0.86千克≈0.00086吨</w:t>
      </w:r>
    </w:p>
    <w:p w14:paraId="4758F43D">
      <w:pPr>
        <w:spacing w:before="46" w:line="219" w:lineRule="auto"/>
        <w:ind w:left="730"/>
        <w:rPr>
          <w:rFonts w:ascii="宋体" w:hAnsi="宋体" w:eastAsia="宋体" w:cs="宋体"/>
          <w:sz w:val="18"/>
          <w:szCs w:val="18"/>
        </w:rPr>
      </w:pPr>
      <w:r>
        <w:rPr>
          <w:rFonts w:ascii="宋体" w:hAnsi="宋体" w:eastAsia="宋体" w:cs="宋体"/>
          <w:spacing w:val="-8"/>
          <w:sz w:val="18"/>
          <w:szCs w:val="18"/>
        </w:rPr>
        <w:t>(3)重柴油：1升≈0.92千克≈0.00092吨</w:t>
      </w:r>
    </w:p>
    <w:p w14:paraId="5A4DCB8C">
      <w:pPr>
        <w:spacing w:before="37" w:line="219" w:lineRule="auto"/>
        <w:ind w:left="730"/>
        <w:rPr>
          <w:rFonts w:ascii="宋体" w:hAnsi="宋体" w:eastAsia="宋体" w:cs="宋体"/>
          <w:sz w:val="18"/>
          <w:szCs w:val="18"/>
        </w:rPr>
      </w:pPr>
      <w:r>
        <w:rPr>
          <w:rFonts w:ascii="宋体" w:hAnsi="宋体" w:eastAsia="宋体" w:cs="宋体"/>
          <w:spacing w:val="-4"/>
          <w:sz w:val="18"/>
          <w:szCs w:val="18"/>
        </w:rPr>
        <w:t>(4)煤 油：1升≈0.82千克≈0.00082吨</w:t>
      </w:r>
    </w:p>
    <w:p w14:paraId="1BC7310B">
      <w:pPr>
        <w:spacing w:before="56" w:line="184" w:lineRule="auto"/>
        <w:ind w:left="730"/>
        <w:rPr>
          <w:rFonts w:ascii="宋体" w:hAnsi="宋体" w:eastAsia="宋体" w:cs="宋体"/>
          <w:sz w:val="18"/>
          <w:szCs w:val="18"/>
        </w:rPr>
      </w:pPr>
      <w:r>
        <w:rPr>
          <w:rFonts w:ascii="宋体" w:hAnsi="宋体" w:eastAsia="宋体" w:cs="宋体"/>
          <w:spacing w:val="-7"/>
          <w:sz w:val="18"/>
          <w:szCs w:val="18"/>
        </w:rPr>
        <w:t>(5)燃料油：1升≈0.91千克≈0.00091吨</w:t>
      </w:r>
    </w:p>
    <w:p w14:paraId="710499F7">
      <w:pPr>
        <w:spacing w:line="184" w:lineRule="auto"/>
        <w:rPr>
          <w:rFonts w:ascii="宋体" w:hAnsi="宋体" w:eastAsia="宋体" w:cs="宋体"/>
          <w:sz w:val="18"/>
          <w:szCs w:val="18"/>
        </w:rPr>
        <w:sectPr>
          <w:type w:val="continuous"/>
          <w:pgSz w:w="11910" w:h="16840"/>
          <w:pgMar w:top="1046" w:right="1199" w:bottom="0" w:left="1229" w:header="876" w:footer="0" w:gutter="0"/>
          <w:cols w:equalWidth="0" w:num="1">
            <w:col w:w="9481"/>
          </w:cols>
        </w:sectPr>
      </w:pPr>
    </w:p>
    <w:p w14:paraId="1DFA89B9">
      <w:pPr>
        <w:pStyle w:val="2"/>
        <w:spacing w:line="258" w:lineRule="auto"/>
      </w:pPr>
    </w:p>
    <w:p w14:paraId="64E28318">
      <w:pPr>
        <w:pStyle w:val="2"/>
        <w:spacing w:line="259" w:lineRule="auto"/>
      </w:pPr>
    </w:p>
    <w:p w14:paraId="3FF02E7C">
      <w:pPr>
        <w:pStyle w:val="2"/>
        <w:spacing w:line="259" w:lineRule="auto"/>
      </w:pPr>
    </w:p>
    <w:p w14:paraId="2DC459E6">
      <w:pPr>
        <w:spacing w:before="100" w:line="219" w:lineRule="auto"/>
        <w:ind w:left="2834"/>
        <w:rPr>
          <w:rFonts w:ascii="宋体" w:hAnsi="宋体" w:eastAsia="宋体" w:cs="宋体"/>
          <w:sz w:val="31"/>
          <w:szCs w:val="31"/>
        </w:rPr>
      </w:pPr>
      <w:r>
        <w:rPr>
          <w:rFonts w:ascii="宋体" w:hAnsi="宋体" w:eastAsia="宋体" w:cs="宋体"/>
          <w:b/>
          <w:bCs/>
          <w:sz w:val="31"/>
          <w:szCs w:val="31"/>
        </w:rPr>
        <w:t>四下企业主要能源产品产量</w:t>
      </w:r>
    </w:p>
    <w:p w14:paraId="26FFA4C3">
      <w:pPr>
        <w:spacing w:before="233" w:line="228" w:lineRule="auto"/>
        <w:ind w:left="6720"/>
        <w:rPr>
          <w:rFonts w:ascii="宋体" w:hAnsi="宋体" w:eastAsia="宋体" w:cs="宋体"/>
          <w:sz w:val="22"/>
          <w:szCs w:val="22"/>
        </w:rPr>
      </w:pPr>
      <w:r>
        <w:rPr>
          <w:rFonts w:ascii="宋体" w:hAnsi="宋体" w:eastAsia="宋体" w:cs="宋体"/>
          <w:spacing w:val="-12"/>
          <w:sz w:val="18"/>
          <w:szCs w:val="18"/>
        </w:rPr>
        <w:t>表</w:t>
      </w:r>
      <w:r>
        <w:rPr>
          <w:rFonts w:ascii="宋体" w:hAnsi="宋体" w:eastAsia="宋体" w:cs="宋体"/>
          <w:spacing w:val="25"/>
          <w:sz w:val="18"/>
          <w:szCs w:val="18"/>
        </w:rPr>
        <w:t xml:space="preserve">   </w:t>
      </w:r>
      <w:r>
        <w:rPr>
          <w:rFonts w:ascii="宋体" w:hAnsi="宋体" w:eastAsia="宋体" w:cs="宋体"/>
          <w:spacing w:val="-12"/>
          <w:sz w:val="18"/>
          <w:szCs w:val="18"/>
        </w:rPr>
        <w:t xml:space="preserve">号：   </w:t>
      </w:r>
      <w:r>
        <w:rPr>
          <w:rFonts w:ascii="Times New Roman" w:hAnsi="Times New Roman" w:eastAsia="Times New Roman" w:cs="Times New Roman"/>
          <w:spacing w:val="-12"/>
          <w:sz w:val="22"/>
          <w:szCs w:val="22"/>
        </w:rPr>
        <w:t>P</w:t>
      </w:r>
      <w:r>
        <w:rPr>
          <w:rFonts w:ascii="Times New Roman" w:hAnsi="Times New Roman" w:eastAsia="Times New Roman" w:cs="Times New Roman"/>
          <w:spacing w:val="2"/>
          <w:sz w:val="22"/>
          <w:szCs w:val="22"/>
        </w:rPr>
        <w:t xml:space="preserve">    </w:t>
      </w:r>
      <w:r>
        <w:rPr>
          <w:rFonts w:ascii="宋体" w:hAnsi="宋体" w:eastAsia="宋体" w:cs="宋体"/>
          <w:spacing w:val="-12"/>
          <w:sz w:val="22"/>
          <w:szCs w:val="22"/>
        </w:rPr>
        <w:t>2</w:t>
      </w:r>
      <w:r>
        <w:rPr>
          <w:rFonts w:ascii="宋体" w:hAnsi="宋体" w:eastAsia="宋体" w:cs="宋体"/>
          <w:spacing w:val="7"/>
          <w:sz w:val="22"/>
          <w:szCs w:val="22"/>
        </w:rPr>
        <w:t xml:space="preserve">  </w:t>
      </w:r>
      <w:r>
        <w:rPr>
          <w:rFonts w:ascii="宋体" w:hAnsi="宋体" w:eastAsia="宋体" w:cs="宋体"/>
          <w:spacing w:val="-12"/>
          <w:sz w:val="22"/>
          <w:szCs w:val="22"/>
        </w:rPr>
        <w:t>0</w:t>
      </w:r>
      <w:r>
        <w:rPr>
          <w:rFonts w:ascii="宋体" w:hAnsi="宋体" w:eastAsia="宋体" w:cs="宋体"/>
          <w:spacing w:val="5"/>
          <w:sz w:val="22"/>
          <w:szCs w:val="22"/>
        </w:rPr>
        <w:t xml:space="preserve">  </w:t>
      </w:r>
      <w:r>
        <w:rPr>
          <w:rFonts w:ascii="宋体" w:hAnsi="宋体" w:eastAsia="宋体" w:cs="宋体"/>
          <w:spacing w:val="-12"/>
          <w:sz w:val="22"/>
          <w:szCs w:val="22"/>
        </w:rPr>
        <w:t>6</w:t>
      </w:r>
      <w:r>
        <w:rPr>
          <w:rFonts w:ascii="宋体" w:hAnsi="宋体" w:eastAsia="宋体" w:cs="宋体"/>
          <w:spacing w:val="101"/>
          <w:sz w:val="22"/>
          <w:szCs w:val="22"/>
        </w:rPr>
        <w:t xml:space="preserve"> </w:t>
      </w:r>
      <w:r>
        <w:rPr>
          <w:rFonts w:ascii="宋体" w:hAnsi="宋体" w:eastAsia="宋体" w:cs="宋体"/>
          <w:spacing w:val="-12"/>
          <w:sz w:val="22"/>
          <w:szCs w:val="22"/>
        </w:rPr>
        <w:t>表</w:t>
      </w:r>
    </w:p>
    <w:p w14:paraId="0FE230FF">
      <w:pPr>
        <w:spacing w:before="14" w:line="220" w:lineRule="auto"/>
        <w:rPr>
          <w:rFonts w:ascii="宋体" w:hAnsi="宋体" w:eastAsia="宋体" w:cs="宋体"/>
          <w:sz w:val="18"/>
          <w:szCs w:val="18"/>
        </w:rPr>
      </w:pPr>
      <w:r>
        <w:rPr>
          <w:rFonts w:ascii="宋体" w:hAnsi="宋体" w:eastAsia="宋体" w:cs="宋体"/>
          <w:spacing w:val="-10"/>
          <w:sz w:val="18"/>
          <w:szCs w:val="18"/>
        </w:rPr>
        <w:t>统一社会信用代码口□</w:t>
      </w:r>
      <w:r>
        <w:rPr>
          <w:rFonts w:ascii="宋体" w:hAnsi="宋体" w:eastAsia="宋体" w:cs="宋体"/>
          <w:spacing w:val="1"/>
          <w:sz w:val="18"/>
          <w:szCs w:val="18"/>
        </w:rPr>
        <w:t xml:space="preserve">                                    </w:t>
      </w:r>
      <w:r>
        <w:rPr>
          <w:rFonts w:ascii="宋体" w:hAnsi="宋体" w:eastAsia="宋体" w:cs="宋体"/>
          <w:sz w:val="18"/>
          <w:szCs w:val="18"/>
        </w:rPr>
        <w:t xml:space="preserve">                   </w:t>
      </w:r>
      <w:r>
        <w:rPr>
          <w:rFonts w:ascii="宋体" w:hAnsi="宋体" w:eastAsia="宋体" w:cs="宋体"/>
          <w:spacing w:val="-10"/>
          <w:sz w:val="18"/>
          <w:szCs w:val="18"/>
        </w:rPr>
        <w:t>制定机关：   国</w:t>
      </w:r>
      <w:r>
        <w:rPr>
          <w:rFonts w:ascii="宋体" w:hAnsi="宋体" w:eastAsia="宋体" w:cs="宋体"/>
          <w:spacing w:val="9"/>
          <w:sz w:val="18"/>
          <w:szCs w:val="18"/>
        </w:rPr>
        <w:t xml:space="preserve">  </w:t>
      </w:r>
      <w:r>
        <w:rPr>
          <w:rFonts w:ascii="宋体" w:hAnsi="宋体" w:eastAsia="宋体" w:cs="宋体"/>
          <w:spacing w:val="-10"/>
          <w:sz w:val="18"/>
          <w:szCs w:val="18"/>
        </w:rPr>
        <w:t>家</w:t>
      </w:r>
      <w:r>
        <w:rPr>
          <w:rFonts w:ascii="宋体" w:hAnsi="宋体" w:eastAsia="宋体" w:cs="宋体"/>
          <w:spacing w:val="10"/>
          <w:sz w:val="18"/>
          <w:szCs w:val="18"/>
        </w:rPr>
        <w:t xml:space="preserve">  </w:t>
      </w:r>
      <w:r>
        <w:rPr>
          <w:rFonts w:ascii="宋体" w:hAnsi="宋体" w:eastAsia="宋体" w:cs="宋体"/>
          <w:spacing w:val="-10"/>
          <w:sz w:val="18"/>
          <w:szCs w:val="18"/>
        </w:rPr>
        <w:t>统</w:t>
      </w:r>
      <w:r>
        <w:rPr>
          <w:rFonts w:ascii="宋体" w:hAnsi="宋体" w:eastAsia="宋体" w:cs="宋体"/>
          <w:spacing w:val="12"/>
          <w:sz w:val="18"/>
          <w:szCs w:val="18"/>
        </w:rPr>
        <w:t xml:space="preserve"> </w:t>
      </w:r>
      <w:r>
        <w:rPr>
          <w:rFonts w:ascii="宋体" w:hAnsi="宋体" w:eastAsia="宋体" w:cs="宋体"/>
          <w:spacing w:val="-10"/>
          <w:sz w:val="18"/>
          <w:szCs w:val="18"/>
        </w:rPr>
        <w:t>计</w:t>
      </w:r>
      <w:r>
        <w:rPr>
          <w:rFonts w:ascii="宋体" w:hAnsi="宋体" w:eastAsia="宋体" w:cs="宋体"/>
          <w:spacing w:val="53"/>
          <w:sz w:val="18"/>
          <w:szCs w:val="18"/>
        </w:rPr>
        <w:t xml:space="preserve"> </w:t>
      </w:r>
      <w:r>
        <w:rPr>
          <w:rFonts w:ascii="宋体" w:hAnsi="宋体" w:eastAsia="宋体" w:cs="宋体"/>
          <w:spacing w:val="-10"/>
          <w:sz w:val="18"/>
          <w:szCs w:val="18"/>
        </w:rPr>
        <w:t>局</w:t>
      </w:r>
    </w:p>
    <w:p w14:paraId="6C8409E0">
      <w:pPr>
        <w:spacing w:before="26" w:line="221" w:lineRule="auto"/>
        <w:ind w:left="6720"/>
        <w:rPr>
          <w:rFonts w:ascii="宋体" w:hAnsi="宋体" w:eastAsia="宋体" w:cs="宋体"/>
          <w:sz w:val="18"/>
          <w:szCs w:val="18"/>
        </w:rPr>
      </w:pPr>
      <w:r>
        <w:rPr>
          <w:rFonts w:ascii="宋体" w:hAnsi="宋体" w:eastAsia="宋体" w:cs="宋体"/>
          <w:sz w:val="18"/>
          <w:szCs w:val="18"/>
        </w:rPr>
        <w:t>文</w:t>
      </w:r>
      <w:r>
        <w:rPr>
          <w:rFonts w:ascii="宋体" w:hAnsi="宋体" w:eastAsia="宋体" w:cs="宋体"/>
          <w:spacing w:val="26"/>
          <w:sz w:val="18"/>
          <w:szCs w:val="18"/>
        </w:rPr>
        <w:t xml:space="preserve">   </w:t>
      </w:r>
      <w:r>
        <w:rPr>
          <w:rFonts w:ascii="宋体" w:hAnsi="宋体" w:eastAsia="宋体" w:cs="宋体"/>
          <w:sz w:val="18"/>
          <w:szCs w:val="18"/>
        </w:rPr>
        <w:t>号：</w:t>
      </w:r>
      <w:r>
        <w:rPr>
          <w:rFonts w:ascii="宋体" w:hAnsi="宋体" w:eastAsia="宋体" w:cs="宋体"/>
          <w:spacing w:val="36"/>
          <w:sz w:val="18"/>
          <w:szCs w:val="18"/>
        </w:rPr>
        <w:t xml:space="preserve">  </w:t>
      </w:r>
      <w:r>
        <w:rPr>
          <w:rFonts w:ascii="宋体" w:hAnsi="宋体" w:eastAsia="宋体" w:cs="宋体"/>
          <w:sz w:val="18"/>
          <w:szCs w:val="18"/>
        </w:rPr>
        <w:t>国统字(202</w:t>
      </w:r>
      <w:r>
        <w:rPr>
          <w:rFonts w:hint="eastAsia" w:ascii="宋体" w:hAnsi="宋体" w:eastAsia="宋体" w:cs="宋体"/>
          <w:sz w:val="18"/>
          <w:szCs w:val="18"/>
          <w:lang w:val="en-US" w:eastAsia="zh-CN"/>
        </w:rPr>
        <w:t>4</w:t>
      </w:r>
      <w:r>
        <w:rPr>
          <w:rFonts w:ascii="宋体" w:hAnsi="宋体" w:eastAsia="宋体" w:cs="宋体"/>
          <w:sz w:val="18"/>
          <w:szCs w:val="18"/>
        </w:rPr>
        <w:t>)</w:t>
      </w:r>
      <w:r>
        <w:rPr>
          <w:rFonts w:hint="eastAsia" w:ascii="宋体" w:hAnsi="宋体" w:eastAsia="宋体" w:cs="宋体"/>
          <w:sz w:val="18"/>
          <w:szCs w:val="18"/>
          <w:lang w:val="en-US" w:eastAsia="zh-CN"/>
        </w:rPr>
        <w:t>77</w:t>
      </w:r>
      <w:r>
        <w:rPr>
          <w:rFonts w:ascii="宋体" w:hAnsi="宋体" w:eastAsia="宋体" w:cs="宋体"/>
          <w:sz w:val="18"/>
          <w:szCs w:val="18"/>
        </w:rPr>
        <w:t>号</w:t>
      </w:r>
    </w:p>
    <w:p w14:paraId="2DCF3694">
      <w:pPr>
        <w:spacing w:before="3" w:line="233" w:lineRule="auto"/>
        <w:ind w:left="10"/>
        <w:rPr>
          <w:rFonts w:ascii="宋体" w:hAnsi="宋体" w:eastAsia="宋体" w:cs="宋体"/>
          <w:sz w:val="15"/>
          <w:szCs w:val="15"/>
        </w:rPr>
      </w:pPr>
      <w:r>
        <w:rPr>
          <w:rFonts w:ascii="宋体" w:hAnsi="宋体" w:eastAsia="宋体" w:cs="宋体"/>
          <w:spacing w:val="-4"/>
          <w:sz w:val="15"/>
          <w:szCs w:val="15"/>
        </w:rPr>
        <w:t xml:space="preserve">单位详细名称                                               </w:t>
      </w:r>
      <w:r>
        <w:rPr>
          <w:rFonts w:ascii="宋体" w:hAnsi="宋体" w:eastAsia="宋体" w:cs="宋体"/>
          <w:spacing w:val="-4"/>
          <w:position w:val="1"/>
          <w:sz w:val="15"/>
          <w:szCs w:val="15"/>
        </w:rPr>
        <w:t>20</w:t>
      </w:r>
      <w:r>
        <w:rPr>
          <w:rFonts w:ascii="宋体" w:hAnsi="宋体" w:eastAsia="宋体" w:cs="宋体"/>
          <w:spacing w:val="9"/>
          <w:position w:val="1"/>
          <w:sz w:val="15"/>
          <w:szCs w:val="15"/>
        </w:rPr>
        <w:t xml:space="preserve">    </w:t>
      </w:r>
      <w:r>
        <w:rPr>
          <w:rFonts w:ascii="宋体" w:hAnsi="宋体" w:eastAsia="宋体" w:cs="宋体"/>
          <w:spacing w:val="-4"/>
          <w:position w:val="1"/>
          <w:sz w:val="15"/>
          <w:szCs w:val="15"/>
        </w:rPr>
        <w:t xml:space="preserve">年1一  月                   </w:t>
      </w:r>
      <w:r>
        <w:rPr>
          <w:rFonts w:ascii="宋体" w:hAnsi="宋体" w:eastAsia="宋体" w:cs="宋体"/>
          <w:spacing w:val="-4"/>
          <w:position w:val="-1"/>
          <w:sz w:val="15"/>
          <w:szCs w:val="15"/>
        </w:rPr>
        <w:t xml:space="preserve">有效期至：     </w:t>
      </w:r>
      <w:r>
        <w:rPr>
          <w:rFonts w:ascii="宋体" w:hAnsi="宋体" w:eastAsia="宋体" w:cs="宋体"/>
          <w:spacing w:val="-4"/>
          <w:sz w:val="15"/>
          <w:szCs w:val="15"/>
        </w:rPr>
        <w:t xml:space="preserve">2  0  2  </w:t>
      </w:r>
      <w:r>
        <w:rPr>
          <w:rFonts w:hint="eastAsia" w:ascii="宋体" w:hAnsi="宋体" w:eastAsia="宋体" w:cs="宋体"/>
          <w:spacing w:val="-4"/>
          <w:sz w:val="15"/>
          <w:szCs w:val="15"/>
          <w:lang w:val="en-US" w:eastAsia="zh-CN"/>
        </w:rPr>
        <w:t>6</w:t>
      </w:r>
      <w:r>
        <w:rPr>
          <w:rFonts w:ascii="宋体" w:hAnsi="宋体" w:eastAsia="宋体" w:cs="宋体"/>
          <w:spacing w:val="-4"/>
          <w:sz w:val="15"/>
          <w:szCs w:val="15"/>
        </w:rPr>
        <w:t xml:space="preserve"> 年</w:t>
      </w:r>
      <w:r>
        <w:rPr>
          <w:rFonts w:ascii="宋体" w:hAnsi="宋体" w:eastAsia="宋体" w:cs="宋体"/>
          <w:spacing w:val="2"/>
          <w:sz w:val="15"/>
          <w:szCs w:val="15"/>
        </w:rPr>
        <w:t xml:space="preserve">  </w:t>
      </w:r>
      <w:r>
        <w:rPr>
          <w:rFonts w:ascii="宋体" w:hAnsi="宋体" w:eastAsia="宋体" w:cs="宋体"/>
          <w:spacing w:val="-4"/>
          <w:sz w:val="15"/>
          <w:szCs w:val="15"/>
        </w:rPr>
        <w:t>1  月</w:t>
      </w:r>
    </w:p>
    <w:p w14:paraId="55AD9329">
      <w:pPr>
        <w:spacing w:line="30" w:lineRule="exact"/>
      </w:pPr>
    </w:p>
    <w:tbl>
      <w:tblPr>
        <w:tblStyle w:val="5"/>
        <w:tblW w:w="9410"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40"/>
        <w:gridCol w:w="1570"/>
        <w:gridCol w:w="1290"/>
        <w:gridCol w:w="2250"/>
        <w:gridCol w:w="2060"/>
      </w:tblGrid>
      <w:tr w14:paraId="26A4C1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2240" w:type="dxa"/>
            <w:vMerge w:val="restart"/>
            <w:tcBorders>
              <w:left w:val="nil"/>
              <w:bottom w:val="nil"/>
            </w:tcBorders>
            <w:vAlign w:val="top"/>
          </w:tcPr>
          <w:p w14:paraId="0BDD44B3">
            <w:pPr>
              <w:pStyle w:val="6"/>
              <w:spacing w:before="232" w:line="219" w:lineRule="auto"/>
              <w:ind w:left="760"/>
              <w:rPr>
                <w:sz w:val="17"/>
                <w:szCs w:val="17"/>
              </w:rPr>
            </w:pPr>
            <w:r>
              <w:rPr>
                <w:spacing w:val="-2"/>
                <w:sz w:val="17"/>
                <w:szCs w:val="17"/>
              </w:rPr>
              <w:t>产品名称</w:t>
            </w:r>
          </w:p>
        </w:tc>
        <w:tc>
          <w:tcPr>
            <w:tcW w:w="1570" w:type="dxa"/>
            <w:vMerge w:val="restart"/>
            <w:tcBorders>
              <w:bottom w:val="nil"/>
            </w:tcBorders>
            <w:vAlign w:val="top"/>
          </w:tcPr>
          <w:p w14:paraId="0A900C86">
            <w:pPr>
              <w:pStyle w:val="6"/>
              <w:spacing w:before="232" w:line="220" w:lineRule="auto"/>
              <w:ind w:left="434"/>
              <w:rPr>
                <w:sz w:val="17"/>
                <w:szCs w:val="17"/>
              </w:rPr>
            </w:pPr>
            <w:r>
              <w:rPr>
                <w:spacing w:val="-2"/>
                <w:sz w:val="17"/>
                <w:szCs w:val="17"/>
              </w:rPr>
              <w:t>计量单位</w:t>
            </w:r>
          </w:p>
        </w:tc>
        <w:tc>
          <w:tcPr>
            <w:tcW w:w="1290" w:type="dxa"/>
            <w:vMerge w:val="restart"/>
            <w:tcBorders>
              <w:bottom w:val="nil"/>
            </w:tcBorders>
            <w:vAlign w:val="top"/>
          </w:tcPr>
          <w:p w14:paraId="505727D4">
            <w:pPr>
              <w:pStyle w:val="6"/>
              <w:spacing w:before="232" w:line="219" w:lineRule="auto"/>
              <w:ind w:left="295"/>
              <w:rPr>
                <w:sz w:val="17"/>
                <w:szCs w:val="17"/>
              </w:rPr>
            </w:pPr>
            <w:r>
              <w:rPr>
                <w:spacing w:val="-2"/>
                <w:sz w:val="17"/>
                <w:szCs w:val="17"/>
              </w:rPr>
              <w:t>产品代码</w:t>
            </w:r>
          </w:p>
        </w:tc>
        <w:tc>
          <w:tcPr>
            <w:tcW w:w="4310" w:type="dxa"/>
            <w:gridSpan w:val="2"/>
            <w:tcBorders>
              <w:right w:val="nil"/>
            </w:tcBorders>
            <w:vAlign w:val="top"/>
          </w:tcPr>
          <w:p w14:paraId="1A7CC49C">
            <w:pPr>
              <w:pStyle w:val="6"/>
              <w:spacing w:before="72" w:line="219" w:lineRule="auto"/>
              <w:ind w:left="1895"/>
              <w:rPr>
                <w:sz w:val="17"/>
                <w:szCs w:val="17"/>
              </w:rPr>
            </w:pPr>
            <w:r>
              <w:rPr>
                <w:spacing w:val="-2"/>
                <w:sz w:val="17"/>
                <w:szCs w:val="17"/>
              </w:rPr>
              <w:t>生产量</w:t>
            </w:r>
          </w:p>
        </w:tc>
      </w:tr>
      <w:tr w14:paraId="2001FD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8" w:hRule="atLeast"/>
        </w:trPr>
        <w:tc>
          <w:tcPr>
            <w:tcW w:w="2240" w:type="dxa"/>
            <w:vMerge w:val="continue"/>
            <w:tcBorders>
              <w:top w:val="nil"/>
              <w:left w:val="nil"/>
            </w:tcBorders>
            <w:vAlign w:val="top"/>
          </w:tcPr>
          <w:p w14:paraId="2F09D96F">
            <w:pPr>
              <w:rPr>
                <w:rFonts w:ascii="Arial"/>
                <w:sz w:val="21"/>
              </w:rPr>
            </w:pPr>
          </w:p>
        </w:tc>
        <w:tc>
          <w:tcPr>
            <w:tcW w:w="1570" w:type="dxa"/>
            <w:vMerge w:val="continue"/>
            <w:tcBorders>
              <w:top w:val="nil"/>
            </w:tcBorders>
            <w:vAlign w:val="top"/>
          </w:tcPr>
          <w:p w14:paraId="19FAA063">
            <w:pPr>
              <w:rPr>
                <w:rFonts w:ascii="Arial"/>
                <w:sz w:val="21"/>
              </w:rPr>
            </w:pPr>
          </w:p>
        </w:tc>
        <w:tc>
          <w:tcPr>
            <w:tcW w:w="1290" w:type="dxa"/>
            <w:vMerge w:val="continue"/>
            <w:tcBorders>
              <w:top w:val="nil"/>
            </w:tcBorders>
            <w:vAlign w:val="top"/>
          </w:tcPr>
          <w:p w14:paraId="30495DB1">
            <w:pPr>
              <w:rPr>
                <w:rFonts w:ascii="Arial"/>
                <w:sz w:val="21"/>
              </w:rPr>
            </w:pPr>
          </w:p>
        </w:tc>
        <w:tc>
          <w:tcPr>
            <w:tcW w:w="2250" w:type="dxa"/>
            <w:vAlign w:val="top"/>
          </w:tcPr>
          <w:p w14:paraId="5500F3E2">
            <w:pPr>
              <w:pStyle w:val="6"/>
              <w:spacing w:before="67" w:line="219" w:lineRule="auto"/>
              <w:ind w:left="945"/>
              <w:rPr>
                <w:sz w:val="17"/>
                <w:szCs w:val="17"/>
              </w:rPr>
            </w:pPr>
            <w:r>
              <w:rPr>
                <w:spacing w:val="-2"/>
                <w:sz w:val="17"/>
                <w:szCs w:val="17"/>
              </w:rPr>
              <w:t>本年</w:t>
            </w:r>
          </w:p>
        </w:tc>
        <w:tc>
          <w:tcPr>
            <w:tcW w:w="2060" w:type="dxa"/>
            <w:tcBorders>
              <w:right w:val="nil"/>
            </w:tcBorders>
            <w:vAlign w:val="top"/>
          </w:tcPr>
          <w:p w14:paraId="2FE45EAC">
            <w:pPr>
              <w:pStyle w:val="6"/>
              <w:spacing w:before="69" w:line="219" w:lineRule="auto"/>
              <w:ind w:left="685"/>
              <w:rPr>
                <w:sz w:val="17"/>
                <w:szCs w:val="17"/>
              </w:rPr>
            </w:pPr>
            <w:r>
              <w:rPr>
                <w:spacing w:val="-2"/>
                <w:sz w:val="17"/>
                <w:szCs w:val="17"/>
              </w:rPr>
              <w:t>上年同期</w:t>
            </w:r>
          </w:p>
        </w:tc>
      </w:tr>
      <w:tr w14:paraId="075D26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8" w:hRule="atLeast"/>
        </w:trPr>
        <w:tc>
          <w:tcPr>
            <w:tcW w:w="2240" w:type="dxa"/>
            <w:tcBorders>
              <w:left w:val="nil"/>
            </w:tcBorders>
            <w:vAlign w:val="top"/>
          </w:tcPr>
          <w:p w14:paraId="2608AC5F">
            <w:pPr>
              <w:pStyle w:val="6"/>
              <w:spacing w:before="73" w:line="222" w:lineRule="auto"/>
              <w:ind w:left="1040"/>
              <w:rPr>
                <w:sz w:val="17"/>
                <w:szCs w:val="17"/>
              </w:rPr>
            </w:pPr>
            <w:r>
              <w:rPr>
                <w:sz w:val="17"/>
                <w:szCs w:val="17"/>
              </w:rPr>
              <w:t>甲</w:t>
            </w:r>
          </w:p>
        </w:tc>
        <w:tc>
          <w:tcPr>
            <w:tcW w:w="1570" w:type="dxa"/>
            <w:vAlign w:val="top"/>
          </w:tcPr>
          <w:p w14:paraId="0A3D53C2">
            <w:pPr>
              <w:pStyle w:val="6"/>
              <w:spacing w:before="84" w:line="221" w:lineRule="auto"/>
              <w:ind w:left="695"/>
              <w:rPr>
                <w:sz w:val="17"/>
                <w:szCs w:val="17"/>
              </w:rPr>
            </w:pPr>
            <w:r>
              <w:rPr>
                <w:sz w:val="17"/>
                <w:szCs w:val="17"/>
              </w:rPr>
              <w:t>乙</w:t>
            </w:r>
          </w:p>
        </w:tc>
        <w:tc>
          <w:tcPr>
            <w:tcW w:w="1290" w:type="dxa"/>
            <w:vAlign w:val="top"/>
          </w:tcPr>
          <w:p w14:paraId="351BC686">
            <w:pPr>
              <w:pStyle w:val="6"/>
              <w:spacing w:before="71" w:line="220" w:lineRule="auto"/>
              <w:ind w:left="555"/>
              <w:rPr>
                <w:sz w:val="17"/>
                <w:szCs w:val="17"/>
              </w:rPr>
            </w:pPr>
            <w:r>
              <w:rPr>
                <w:sz w:val="17"/>
                <w:szCs w:val="17"/>
              </w:rPr>
              <w:t>丙</w:t>
            </w:r>
          </w:p>
        </w:tc>
        <w:tc>
          <w:tcPr>
            <w:tcW w:w="2250" w:type="dxa"/>
            <w:vAlign w:val="top"/>
          </w:tcPr>
          <w:p w14:paraId="4D452917">
            <w:pPr>
              <w:pStyle w:val="6"/>
              <w:spacing w:before="113" w:line="184" w:lineRule="auto"/>
              <w:ind w:left="1075"/>
              <w:rPr>
                <w:sz w:val="17"/>
                <w:szCs w:val="17"/>
              </w:rPr>
            </w:pPr>
            <w:r>
              <w:rPr>
                <w:sz w:val="17"/>
                <w:szCs w:val="17"/>
              </w:rPr>
              <w:t>1</w:t>
            </w:r>
          </w:p>
        </w:tc>
        <w:tc>
          <w:tcPr>
            <w:tcW w:w="2060" w:type="dxa"/>
            <w:tcBorders>
              <w:right w:val="nil"/>
            </w:tcBorders>
            <w:vAlign w:val="top"/>
          </w:tcPr>
          <w:p w14:paraId="0124714C">
            <w:pPr>
              <w:pStyle w:val="6"/>
              <w:spacing w:before="114" w:line="183" w:lineRule="auto"/>
              <w:ind w:left="975"/>
              <w:rPr>
                <w:sz w:val="17"/>
                <w:szCs w:val="17"/>
              </w:rPr>
            </w:pPr>
            <w:r>
              <w:rPr>
                <w:sz w:val="17"/>
                <w:szCs w:val="17"/>
              </w:rPr>
              <w:t>2</w:t>
            </w:r>
          </w:p>
        </w:tc>
      </w:tr>
      <w:tr w14:paraId="7AAB24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2240" w:type="dxa"/>
            <w:tcBorders>
              <w:left w:val="nil"/>
              <w:bottom w:val="nil"/>
            </w:tcBorders>
            <w:vAlign w:val="top"/>
          </w:tcPr>
          <w:p w14:paraId="196FF078">
            <w:pPr>
              <w:pStyle w:val="6"/>
              <w:spacing w:before="83" w:line="220" w:lineRule="auto"/>
              <w:ind w:left="110"/>
              <w:rPr>
                <w:sz w:val="17"/>
                <w:szCs w:val="17"/>
              </w:rPr>
            </w:pPr>
            <w:r>
              <w:rPr>
                <w:spacing w:val="-3"/>
                <w:sz w:val="17"/>
                <w:szCs w:val="17"/>
              </w:rPr>
              <w:t>原煤</w:t>
            </w:r>
          </w:p>
        </w:tc>
        <w:tc>
          <w:tcPr>
            <w:tcW w:w="1570" w:type="dxa"/>
            <w:tcBorders>
              <w:bottom w:val="nil"/>
            </w:tcBorders>
            <w:vAlign w:val="top"/>
          </w:tcPr>
          <w:p w14:paraId="5BC2CC75">
            <w:pPr>
              <w:pStyle w:val="6"/>
              <w:spacing w:before="81" w:line="229" w:lineRule="auto"/>
              <w:ind w:left="695"/>
              <w:rPr>
                <w:sz w:val="17"/>
                <w:szCs w:val="17"/>
              </w:rPr>
            </w:pPr>
            <w:r>
              <w:rPr>
                <w:sz w:val="17"/>
                <w:szCs w:val="17"/>
              </w:rPr>
              <w:t>吨</w:t>
            </w:r>
          </w:p>
        </w:tc>
        <w:tc>
          <w:tcPr>
            <w:tcW w:w="1290" w:type="dxa"/>
            <w:tcBorders>
              <w:bottom w:val="nil"/>
            </w:tcBorders>
            <w:vAlign w:val="top"/>
          </w:tcPr>
          <w:p w14:paraId="6A8B8AE1">
            <w:pPr>
              <w:pStyle w:val="6"/>
              <w:spacing w:before="136" w:line="181" w:lineRule="auto"/>
              <w:ind w:left="214"/>
              <w:rPr>
                <w:sz w:val="17"/>
                <w:szCs w:val="17"/>
              </w:rPr>
            </w:pPr>
            <w:r>
              <w:rPr>
                <w:spacing w:val="-1"/>
                <w:sz w:val="17"/>
                <w:szCs w:val="17"/>
              </w:rPr>
              <w:t>0601000000</w:t>
            </w:r>
          </w:p>
        </w:tc>
        <w:tc>
          <w:tcPr>
            <w:tcW w:w="4310" w:type="dxa"/>
            <w:gridSpan w:val="2"/>
            <w:tcBorders>
              <w:bottom w:val="nil"/>
              <w:right w:val="nil"/>
            </w:tcBorders>
            <w:vAlign w:val="top"/>
          </w:tcPr>
          <w:p w14:paraId="7F7544B9">
            <w:pPr>
              <w:rPr>
                <w:rFonts w:ascii="Arial"/>
                <w:sz w:val="21"/>
              </w:rPr>
            </w:pPr>
          </w:p>
        </w:tc>
      </w:tr>
      <w:tr w14:paraId="6E608C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2240" w:type="dxa"/>
            <w:tcBorders>
              <w:top w:val="nil"/>
              <w:left w:val="nil"/>
              <w:bottom w:val="nil"/>
            </w:tcBorders>
            <w:vAlign w:val="top"/>
          </w:tcPr>
          <w:p w14:paraId="6450CEA3">
            <w:pPr>
              <w:pStyle w:val="6"/>
              <w:spacing w:before="80" w:line="220" w:lineRule="auto"/>
              <w:ind w:left="110"/>
              <w:rPr>
                <w:sz w:val="17"/>
                <w:szCs w:val="17"/>
              </w:rPr>
            </w:pPr>
            <w:r>
              <w:rPr>
                <w:spacing w:val="3"/>
                <w:sz w:val="17"/>
                <w:szCs w:val="17"/>
              </w:rPr>
              <w:t>天然气</w:t>
            </w:r>
          </w:p>
        </w:tc>
        <w:tc>
          <w:tcPr>
            <w:tcW w:w="1570" w:type="dxa"/>
            <w:tcBorders>
              <w:top w:val="nil"/>
              <w:bottom w:val="nil"/>
            </w:tcBorders>
            <w:vAlign w:val="top"/>
          </w:tcPr>
          <w:p w14:paraId="4A657118">
            <w:pPr>
              <w:pStyle w:val="6"/>
              <w:spacing w:before="70" w:line="219" w:lineRule="auto"/>
              <w:ind w:left="434"/>
              <w:rPr>
                <w:sz w:val="17"/>
                <w:szCs w:val="17"/>
              </w:rPr>
            </w:pPr>
            <w:r>
              <w:rPr>
                <w:spacing w:val="-3"/>
                <w:sz w:val="17"/>
                <w:szCs w:val="17"/>
              </w:rPr>
              <w:t>万立方米</w:t>
            </w:r>
          </w:p>
        </w:tc>
        <w:tc>
          <w:tcPr>
            <w:tcW w:w="1290" w:type="dxa"/>
            <w:tcBorders>
              <w:top w:val="nil"/>
              <w:bottom w:val="nil"/>
            </w:tcBorders>
            <w:vAlign w:val="top"/>
          </w:tcPr>
          <w:p w14:paraId="58E101C8">
            <w:pPr>
              <w:pStyle w:val="6"/>
              <w:spacing w:before="133" w:line="183" w:lineRule="auto"/>
              <w:ind w:left="214"/>
              <w:rPr>
                <w:sz w:val="17"/>
                <w:szCs w:val="17"/>
              </w:rPr>
            </w:pPr>
            <w:r>
              <w:rPr>
                <w:spacing w:val="-1"/>
                <w:sz w:val="17"/>
                <w:szCs w:val="17"/>
              </w:rPr>
              <w:t>0702000000</w:t>
            </w:r>
          </w:p>
        </w:tc>
        <w:tc>
          <w:tcPr>
            <w:tcW w:w="4310" w:type="dxa"/>
            <w:gridSpan w:val="2"/>
            <w:tcBorders>
              <w:top w:val="nil"/>
              <w:bottom w:val="nil"/>
              <w:right w:val="nil"/>
            </w:tcBorders>
            <w:vAlign w:val="top"/>
          </w:tcPr>
          <w:p w14:paraId="2D8957EE">
            <w:pPr>
              <w:rPr>
                <w:rFonts w:ascii="Arial"/>
                <w:sz w:val="21"/>
              </w:rPr>
            </w:pPr>
          </w:p>
        </w:tc>
      </w:tr>
      <w:tr w14:paraId="056AA6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2240" w:type="dxa"/>
            <w:tcBorders>
              <w:top w:val="nil"/>
              <w:left w:val="nil"/>
            </w:tcBorders>
            <w:vAlign w:val="top"/>
          </w:tcPr>
          <w:p w14:paraId="5F0CE54B">
            <w:pPr>
              <w:pStyle w:val="6"/>
              <w:spacing w:before="77" w:line="203" w:lineRule="auto"/>
              <w:ind w:left="110"/>
              <w:rPr>
                <w:sz w:val="17"/>
                <w:szCs w:val="17"/>
              </w:rPr>
            </w:pPr>
            <w:r>
              <w:rPr>
                <w:spacing w:val="-2"/>
                <w:sz w:val="17"/>
                <w:szCs w:val="17"/>
              </w:rPr>
              <w:t>火力发电量</w:t>
            </w:r>
          </w:p>
        </w:tc>
        <w:tc>
          <w:tcPr>
            <w:tcW w:w="1570" w:type="dxa"/>
            <w:tcBorders>
              <w:top w:val="nil"/>
            </w:tcBorders>
            <w:vAlign w:val="top"/>
          </w:tcPr>
          <w:p w14:paraId="0509F61D">
            <w:pPr>
              <w:pStyle w:val="6"/>
              <w:spacing w:before="77" w:line="202" w:lineRule="auto"/>
              <w:ind w:left="434"/>
              <w:rPr>
                <w:sz w:val="17"/>
                <w:szCs w:val="17"/>
              </w:rPr>
            </w:pPr>
            <w:r>
              <w:rPr>
                <w:spacing w:val="2"/>
                <w:sz w:val="17"/>
                <w:szCs w:val="17"/>
              </w:rPr>
              <w:t>万千瓦时</w:t>
            </w:r>
          </w:p>
        </w:tc>
        <w:tc>
          <w:tcPr>
            <w:tcW w:w="1290" w:type="dxa"/>
            <w:tcBorders>
              <w:top w:val="nil"/>
            </w:tcBorders>
            <w:vAlign w:val="top"/>
          </w:tcPr>
          <w:p w14:paraId="009E696D">
            <w:pPr>
              <w:pStyle w:val="6"/>
              <w:spacing w:before="120" w:line="144" w:lineRule="exact"/>
              <w:ind w:left="214"/>
              <w:rPr>
                <w:sz w:val="17"/>
                <w:szCs w:val="17"/>
              </w:rPr>
            </w:pPr>
            <w:r>
              <w:rPr>
                <w:spacing w:val="-1"/>
                <w:position w:val="-2"/>
                <w:sz w:val="17"/>
                <w:szCs w:val="17"/>
              </w:rPr>
              <w:t>4401010100</w:t>
            </w:r>
          </w:p>
        </w:tc>
        <w:tc>
          <w:tcPr>
            <w:tcW w:w="4310" w:type="dxa"/>
            <w:gridSpan w:val="2"/>
            <w:tcBorders>
              <w:top w:val="nil"/>
              <w:right w:val="nil"/>
            </w:tcBorders>
            <w:vAlign w:val="top"/>
          </w:tcPr>
          <w:p w14:paraId="3D773497">
            <w:pPr>
              <w:rPr>
                <w:rFonts w:ascii="Arial"/>
                <w:sz w:val="21"/>
              </w:rPr>
            </w:pPr>
          </w:p>
        </w:tc>
      </w:tr>
    </w:tbl>
    <w:p w14:paraId="022B0CB4">
      <w:pPr>
        <w:spacing w:before="82" w:line="230" w:lineRule="auto"/>
        <w:jc w:val="right"/>
        <w:rPr>
          <w:rFonts w:ascii="宋体" w:hAnsi="宋体" w:eastAsia="宋体" w:cs="宋体"/>
          <w:sz w:val="18"/>
          <w:szCs w:val="18"/>
        </w:rPr>
      </w:pPr>
      <w:r>
        <w:rPr>
          <w:rFonts w:ascii="宋体" w:hAnsi="宋体" w:eastAsia="宋体" w:cs="宋体"/>
          <w:spacing w:val="-10"/>
          <w:sz w:val="18"/>
          <w:szCs w:val="18"/>
        </w:rPr>
        <w:t xml:space="preserve">单位负责人：                统计负责人：           填表人：     </w:t>
      </w:r>
      <w:r>
        <w:rPr>
          <w:rFonts w:ascii="宋体" w:hAnsi="宋体" w:eastAsia="宋体" w:cs="宋体"/>
          <w:spacing w:val="-11"/>
          <w:sz w:val="18"/>
          <w:szCs w:val="18"/>
        </w:rPr>
        <w:t xml:space="preserve">      联系电话：         报出日期：20   年</w:t>
      </w:r>
      <w:r>
        <w:rPr>
          <w:rFonts w:ascii="宋体" w:hAnsi="宋体" w:eastAsia="宋体" w:cs="宋体"/>
          <w:spacing w:val="18"/>
          <w:sz w:val="18"/>
          <w:szCs w:val="18"/>
        </w:rPr>
        <w:t xml:space="preserve">  </w:t>
      </w:r>
      <w:r>
        <w:rPr>
          <w:rFonts w:ascii="宋体" w:hAnsi="宋体" w:eastAsia="宋体" w:cs="宋体"/>
          <w:spacing w:val="-11"/>
          <w:sz w:val="18"/>
          <w:szCs w:val="18"/>
        </w:rPr>
        <w:t>月  日</w:t>
      </w:r>
    </w:p>
    <w:p w14:paraId="7B3114AB">
      <w:pPr>
        <w:spacing w:before="285" w:line="219" w:lineRule="auto"/>
        <w:rPr>
          <w:rFonts w:ascii="宋体" w:hAnsi="宋体" w:eastAsia="宋体" w:cs="宋体"/>
          <w:sz w:val="18"/>
          <w:szCs w:val="18"/>
        </w:rPr>
      </w:pPr>
      <w:r>
        <w:rPr>
          <w:rFonts w:ascii="宋体" w:hAnsi="宋体" w:eastAsia="宋体" w:cs="宋体"/>
          <w:spacing w:val="-2"/>
          <w:sz w:val="18"/>
          <w:szCs w:val="18"/>
        </w:rPr>
        <w:t>说明：1.统计范围：辖区内有原煤、天然气</w:t>
      </w:r>
      <w:r>
        <w:rPr>
          <w:rFonts w:ascii="宋体" w:hAnsi="宋体" w:eastAsia="宋体" w:cs="宋体"/>
          <w:spacing w:val="-3"/>
          <w:sz w:val="18"/>
          <w:szCs w:val="18"/>
        </w:rPr>
        <w:t>和火电生产的规模以下工业、资质外的建筑业、限额以下批发和零售业、限额</w:t>
      </w:r>
    </w:p>
    <w:p w14:paraId="3495E1F0">
      <w:pPr>
        <w:spacing w:before="67" w:line="260" w:lineRule="exact"/>
        <w:ind w:left="1570"/>
        <w:rPr>
          <w:rFonts w:ascii="宋体" w:hAnsi="宋体" w:eastAsia="宋体" w:cs="宋体"/>
          <w:sz w:val="18"/>
          <w:szCs w:val="18"/>
        </w:rPr>
      </w:pPr>
      <w:r>
        <w:rPr>
          <w:rFonts w:ascii="宋体" w:hAnsi="宋体" w:eastAsia="宋体" w:cs="宋体"/>
          <w:spacing w:val="-4"/>
          <w:position w:val="5"/>
          <w:sz w:val="18"/>
          <w:szCs w:val="18"/>
        </w:rPr>
        <w:t>以下住宿和餐饮业和规模以下服务业等重点法人单位。</w:t>
      </w:r>
    </w:p>
    <w:p w14:paraId="48CD5308">
      <w:pPr>
        <w:spacing w:line="218" w:lineRule="auto"/>
        <w:ind w:left="539"/>
        <w:rPr>
          <w:rFonts w:ascii="宋体" w:hAnsi="宋体" w:eastAsia="宋体" w:cs="宋体"/>
          <w:sz w:val="18"/>
          <w:szCs w:val="18"/>
        </w:rPr>
      </w:pPr>
      <w:r>
        <w:rPr>
          <w:rFonts w:ascii="宋体" w:hAnsi="宋体" w:eastAsia="宋体" w:cs="宋体"/>
          <w:spacing w:val="-1"/>
          <w:sz w:val="18"/>
          <w:szCs w:val="18"/>
        </w:rPr>
        <w:t>2.本表为半年报，上半年免报，下半年报送1-</w:t>
      </w:r>
      <w:r>
        <w:rPr>
          <w:rFonts w:ascii="宋体" w:hAnsi="宋体" w:eastAsia="宋体" w:cs="宋体"/>
          <w:spacing w:val="-2"/>
          <w:sz w:val="18"/>
          <w:szCs w:val="18"/>
        </w:rPr>
        <w:t>12月份累计数据。</w:t>
      </w:r>
    </w:p>
    <w:p w14:paraId="6925E8C9">
      <w:pPr>
        <w:spacing w:before="38" w:line="219" w:lineRule="auto"/>
        <w:ind w:left="529"/>
        <w:rPr>
          <w:rFonts w:ascii="宋体" w:hAnsi="宋体" w:eastAsia="宋体" w:cs="宋体"/>
          <w:sz w:val="18"/>
          <w:szCs w:val="18"/>
        </w:rPr>
      </w:pPr>
      <w:r>
        <w:rPr>
          <w:rFonts w:ascii="宋体" w:hAnsi="宋体" w:eastAsia="宋体" w:cs="宋体"/>
          <w:spacing w:val="4"/>
          <w:sz w:val="18"/>
          <w:szCs w:val="18"/>
        </w:rPr>
        <w:t>3.报送日期及方式：调查单位次年1月12日12:00前网上填报。</w:t>
      </w:r>
    </w:p>
    <w:p w14:paraId="72BDBC86">
      <w:pPr>
        <w:spacing w:line="219" w:lineRule="auto"/>
        <w:rPr>
          <w:rFonts w:ascii="宋体" w:hAnsi="宋体" w:eastAsia="宋体" w:cs="宋体"/>
          <w:sz w:val="18"/>
          <w:szCs w:val="18"/>
        </w:rPr>
        <w:sectPr>
          <w:headerReference r:id="rId16" w:type="default"/>
          <w:pgSz w:w="11910" w:h="16840"/>
          <w:pgMar w:top="1056" w:right="1237" w:bottom="0" w:left="1239" w:header="877" w:footer="0" w:gutter="0"/>
          <w:cols w:space="720" w:num="1"/>
        </w:sectPr>
      </w:pPr>
    </w:p>
    <w:p w14:paraId="09F4363F">
      <w:pPr>
        <w:pStyle w:val="2"/>
        <w:spacing w:line="274" w:lineRule="auto"/>
      </w:pPr>
    </w:p>
    <w:p w14:paraId="34A65ACA">
      <w:pPr>
        <w:pStyle w:val="2"/>
        <w:spacing w:line="274" w:lineRule="auto"/>
      </w:pPr>
    </w:p>
    <w:p w14:paraId="3451A27B">
      <w:pPr>
        <w:spacing w:before="91" w:line="222" w:lineRule="auto"/>
        <w:ind w:left="3649"/>
        <w:rPr>
          <w:rFonts w:ascii="黑体" w:hAnsi="黑体" w:eastAsia="黑体" w:cs="黑体"/>
          <w:sz w:val="28"/>
          <w:szCs w:val="28"/>
        </w:rPr>
      </w:pPr>
      <w:bookmarkStart w:id="12" w:name="bookmark15"/>
      <w:bookmarkEnd w:id="12"/>
      <w:r>
        <w:rPr>
          <w:rFonts w:ascii="黑体" w:hAnsi="黑体" w:eastAsia="黑体" w:cs="黑体"/>
          <w:b/>
          <w:bCs/>
          <w:spacing w:val="7"/>
          <w:sz w:val="28"/>
          <w:szCs w:val="28"/>
        </w:rPr>
        <w:t>(二)综合年报表式</w:t>
      </w:r>
    </w:p>
    <w:p w14:paraId="322AD9FF">
      <w:pPr>
        <w:spacing w:before="271" w:line="220" w:lineRule="auto"/>
        <w:ind w:left="3165"/>
        <w:rPr>
          <w:rFonts w:ascii="宋体" w:hAnsi="宋体" w:eastAsia="宋体" w:cs="宋体"/>
          <w:sz w:val="32"/>
          <w:szCs w:val="32"/>
        </w:rPr>
      </w:pPr>
      <w:r>
        <w:rPr>
          <w:rFonts w:ascii="宋体" w:hAnsi="宋体" w:eastAsia="宋体" w:cs="宋体"/>
          <w:spacing w:val="18"/>
          <w:sz w:val="32"/>
          <w:szCs w:val="32"/>
        </w:rPr>
        <w:t>能源平衡表(实物量)</w:t>
      </w:r>
    </w:p>
    <w:p w14:paraId="3216B37B">
      <w:pPr>
        <w:spacing w:before="153" w:line="242" w:lineRule="auto"/>
        <w:ind w:left="7034"/>
        <w:jc w:val="both"/>
        <w:rPr>
          <w:rFonts w:ascii="宋体" w:hAnsi="宋体" w:eastAsia="宋体" w:cs="宋体"/>
          <w:sz w:val="18"/>
          <w:szCs w:val="18"/>
        </w:rPr>
      </w:pPr>
      <w:r>
        <w:rPr>
          <w:rFonts w:ascii="宋体" w:hAnsi="宋体" w:eastAsia="宋体" w:cs="宋体"/>
          <w:spacing w:val="-9"/>
          <w:sz w:val="18"/>
          <w:szCs w:val="18"/>
        </w:rPr>
        <w:t>表</w:t>
      </w:r>
      <w:r>
        <w:rPr>
          <w:rFonts w:ascii="宋体" w:hAnsi="宋体" w:eastAsia="宋体" w:cs="宋体"/>
          <w:spacing w:val="28"/>
          <w:sz w:val="18"/>
          <w:szCs w:val="18"/>
        </w:rPr>
        <w:t xml:space="preserve">   </w:t>
      </w:r>
      <w:r>
        <w:rPr>
          <w:rFonts w:ascii="宋体" w:hAnsi="宋体" w:eastAsia="宋体" w:cs="宋体"/>
          <w:spacing w:val="-9"/>
          <w:sz w:val="18"/>
          <w:szCs w:val="18"/>
        </w:rPr>
        <w:t>号：</w:t>
      </w:r>
      <w:r>
        <w:rPr>
          <w:rFonts w:ascii="宋体" w:hAnsi="宋体" w:eastAsia="宋体" w:cs="宋体"/>
          <w:spacing w:val="-34"/>
          <w:sz w:val="18"/>
          <w:szCs w:val="18"/>
        </w:rPr>
        <w:t xml:space="preserve"> </w:t>
      </w:r>
      <w:r>
        <w:rPr>
          <w:rFonts w:ascii="Times New Roman" w:hAnsi="Times New Roman" w:eastAsia="Times New Roman" w:cs="Times New Roman"/>
          <w:spacing w:val="-9"/>
          <w:sz w:val="18"/>
          <w:szCs w:val="18"/>
        </w:rPr>
        <w:t>P3</w:t>
      </w:r>
      <w:r>
        <w:rPr>
          <w:rFonts w:ascii="Times New Roman" w:hAnsi="Times New Roman" w:eastAsia="Times New Roman" w:cs="Times New Roman"/>
          <w:spacing w:val="2"/>
          <w:sz w:val="18"/>
          <w:szCs w:val="18"/>
        </w:rPr>
        <w:t xml:space="preserve">      </w:t>
      </w:r>
      <w:r>
        <w:rPr>
          <w:rFonts w:ascii="宋体" w:hAnsi="宋体" w:eastAsia="宋体" w:cs="宋体"/>
          <w:spacing w:val="-9"/>
          <w:sz w:val="18"/>
          <w:szCs w:val="18"/>
        </w:rPr>
        <w:t>0</w:t>
      </w:r>
      <w:r>
        <w:rPr>
          <w:rFonts w:ascii="宋体" w:hAnsi="宋体" w:eastAsia="宋体" w:cs="宋体"/>
          <w:spacing w:val="50"/>
          <w:sz w:val="18"/>
          <w:szCs w:val="18"/>
        </w:rPr>
        <w:t xml:space="preserve"> </w:t>
      </w:r>
      <w:r>
        <w:rPr>
          <w:rFonts w:ascii="宋体" w:hAnsi="宋体" w:eastAsia="宋体" w:cs="宋体"/>
          <w:spacing w:val="-9"/>
          <w:sz w:val="18"/>
          <w:szCs w:val="18"/>
        </w:rPr>
        <w:t>3—1</w:t>
      </w:r>
      <w:r>
        <w:rPr>
          <w:rFonts w:ascii="宋体" w:hAnsi="宋体" w:eastAsia="宋体" w:cs="宋体"/>
          <w:sz w:val="18"/>
          <w:szCs w:val="18"/>
        </w:rPr>
        <w:t xml:space="preserve">   </w:t>
      </w:r>
      <w:r>
        <w:rPr>
          <w:rFonts w:ascii="宋体" w:hAnsi="宋体" w:eastAsia="宋体" w:cs="宋体"/>
          <w:spacing w:val="-9"/>
          <w:sz w:val="18"/>
          <w:szCs w:val="18"/>
        </w:rPr>
        <w:t>表</w:t>
      </w:r>
      <w:r>
        <w:rPr>
          <w:rFonts w:ascii="宋体" w:hAnsi="宋体" w:eastAsia="宋体" w:cs="宋体"/>
          <w:sz w:val="18"/>
          <w:szCs w:val="18"/>
        </w:rPr>
        <w:t xml:space="preserve"> </w:t>
      </w:r>
      <w:r>
        <w:rPr>
          <w:rFonts w:ascii="宋体" w:hAnsi="宋体" w:eastAsia="宋体" w:cs="宋体"/>
          <w:spacing w:val="-2"/>
          <w:sz w:val="18"/>
          <w:szCs w:val="18"/>
        </w:rPr>
        <w:t>制定机关：国</w:t>
      </w:r>
      <w:r>
        <w:rPr>
          <w:rFonts w:ascii="宋体" w:hAnsi="宋体" w:eastAsia="宋体" w:cs="宋体"/>
          <w:spacing w:val="11"/>
          <w:sz w:val="18"/>
          <w:szCs w:val="18"/>
        </w:rPr>
        <w:t xml:space="preserve">  </w:t>
      </w:r>
      <w:r>
        <w:rPr>
          <w:rFonts w:ascii="宋体" w:hAnsi="宋体" w:eastAsia="宋体" w:cs="宋体"/>
          <w:spacing w:val="-2"/>
          <w:sz w:val="18"/>
          <w:szCs w:val="18"/>
        </w:rPr>
        <w:t>家</w:t>
      </w:r>
      <w:r>
        <w:rPr>
          <w:rFonts w:ascii="宋体" w:hAnsi="宋体" w:eastAsia="宋体" w:cs="宋体"/>
          <w:spacing w:val="10"/>
          <w:sz w:val="18"/>
          <w:szCs w:val="18"/>
        </w:rPr>
        <w:t xml:space="preserve">  </w:t>
      </w:r>
      <w:r>
        <w:rPr>
          <w:rFonts w:ascii="宋体" w:hAnsi="宋体" w:eastAsia="宋体" w:cs="宋体"/>
          <w:spacing w:val="-2"/>
          <w:sz w:val="18"/>
          <w:szCs w:val="18"/>
        </w:rPr>
        <w:t>统 计</w:t>
      </w:r>
      <w:r>
        <w:rPr>
          <w:rFonts w:ascii="宋体" w:hAnsi="宋体" w:eastAsia="宋体" w:cs="宋体"/>
          <w:spacing w:val="15"/>
          <w:sz w:val="18"/>
          <w:szCs w:val="18"/>
        </w:rPr>
        <w:t xml:space="preserve"> </w:t>
      </w:r>
      <w:r>
        <w:rPr>
          <w:rFonts w:ascii="宋体" w:hAnsi="宋体" w:eastAsia="宋体" w:cs="宋体"/>
          <w:spacing w:val="-2"/>
          <w:sz w:val="18"/>
          <w:szCs w:val="18"/>
        </w:rPr>
        <w:t>局</w:t>
      </w:r>
      <w:r>
        <w:rPr>
          <w:rFonts w:ascii="宋体" w:hAnsi="宋体" w:eastAsia="宋体" w:cs="宋体"/>
          <w:sz w:val="18"/>
          <w:szCs w:val="18"/>
        </w:rPr>
        <w:t xml:space="preserve"> </w:t>
      </w:r>
      <w:r>
        <w:rPr>
          <w:rFonts w:ascii="宋体" w:hAnsi="宋体" w:eastAsia="宋体" w:cs="宋体"/>
          <w:spacing w:val="-7"/>
          <w:sz w:val="18"/>
          <w:szCs w:val="18"/>
        </w:rPr>
        <w:t>文</w:t>
      </w:r>
      <w:r>
        <w:rPr>
          <w:rFonts w:ascii="宋体" w:hAnsi="宋体" w:eastAsia="宋体" w:cs="宋体"/>
          <w:spacing w:val="24"/>
          <w:w w:val="101"/>
          <w:sz w:val="18"/>
          <w:szCs w:val="18"/>
        </w:rPr>
        <w:t xml:space="preserve">   </w:t>
      </w:r>
      <w:r>
        <w:rPr>
          <w:rFonts w:ascii="宋体" w:hAnsi="宋体" w:eastAsia="宋体" w:cs="宋体"/>
          <w:spacing w:val="-7"/>
          <w:sz w:val="18"/>
          <w:szCs w:val="18"/>
        </w:rPr>
        <w:t>号：国统字〔202</w:t>
      </w:r>
      <w:r>
        <w:rPr>
          <w:rFonts w:hint="eastAsia" w:ascii="宋体" w:hAnsi="宋体" w:eastAsia="宋体" w:cs="宋体"/>
          <w:spacing w:val="-7"/>
          <w:sz w:val="18"/>
          <w:szCs w:val="18"/>
          <w:lang w:val="en-US" w:eastAsia="zh-CN"/>
        </w:rPr>
        <w:t>4</w:t>
      </w:r>
      <w:r>
        <w:rPr>
          <w:rFonts w:ascii="宋体" w:hAnsi="宋体" w:eastAsia="宋体" w:cs="宋体"/>
          <w:spacing w:val="-7"/>
          <w:sz w:val="18"/>
          <w:szCs w:val="18"/>
        </w:rPr>
        <w:t>〕</w:t>
      </w:r>
      <w:r>
        <w:rPr>
          <w:rFonts w:hint="eastAsia" w:ascii="宋体" w:hAnsi="宋体" w:eastAsia="宋体" w:cs="宋体"/>
          <w:spacing w:val="-7"/>
          <w:sz w:val="18"/>
          <w:szCs w:val="18"/>
          <w:lang w:val="en-US" w:eastAsia="zh-CN"/>
        </w:rPr>
        <w:t>77</w:t>
      </w:r>
      <w:r>
        <w:rPr>
          <w:rFonts w:ascii="宋体" w:hAnsi="宋体" w:eastAsia="宋体" w:cs="宋体"/>
          <w:spacing w:val="-7"/>
          <w:sz w:val="18"/>
          <w:szCs w:val="18"/>
        </w:rPr>
        <w:t>号</w:t>
      </w:r>
    </w:p>
    <w:p w14:paraId="61286F94">
      <w:pPr>
        <w:spacing w:line="242" w:lineRule="auto"/>
        <w:rPr>
          <w:rFonts w:ascii="宋体" w:hAnsi="宋体" w:eastAsia="宋体" w:cs="宋体"/>
          <w:sz w:val="18"/>
          <w:szCs w:val="18"/>
        </w:rPr>
        <w:sectPr>
          <w:headerReference r:id="rId17" w:type="default"/>
          <w:pgSz w:w="11910" w:h="16840"/>
          <w:pgMar w:top="1052" w:right="1249" w:bottom="0" w:left="1224" w:header="876" w:footer="0" w:gutter="0"/>
          <w:cols w:equalWidth="0" w:num="1">
            <w:col w:w="9436"/>
          </w:cols>
        </w:sectPr>
      </w:pPr>
    </w:p>
    <w:p w14:paraId="7F4D725B">
      <w:pPr>
        <w:spacing w:before="80" w:line="176" w:lineRule="auto"/>
        <w:ind w:left="34"/>
        <w:rPr>
          <w:rFonts w:ascii="宋体" w:hAnsi="宋体" w:eastAsia="宋体" w:cs="宋体"/>
          <w:sz w:val="21"/>
          <w:szCs w:val="21"/>
        </w:rPr>
      </w:pPr>
      <w:r>
        <w:rPr>
          <w:rFonts w:ascii="宋体" w:hAnsi="宋体" w:eastAsia="宋体" w:cs="宋体"/>
          <w:spacing w:val="-8"/>
          <w:sz w:val="21"/>
          <w:szCs w:val="21"/>
        </w:rPr>
        <w:t xml:space="preserve">综合机关名称：                             </w:t>
      </w:r>
      <w:r>
        <w:rPr>
          <w:rFonts w:ascii="宋体" w:hAnsi="宋体" w:eastAsia="宋体" w:cs="宋体"/>
          <w:spacing w:val="-8"/>
          <w:position w:val="-1"/>
          <w:sz w:val="21"/>
          <w:szCs w:val="21"/>
        </w:rPr>
        <w:t>20</w:t>
      </w:r>
    </w:p>
    <w:p w14:paraId="4F5EB698">
      <w:pPr>
        <w:pStyle w:val="2"/>
        <w:spacing w:line="14" w:lineRule="auto"/>
        <w:rPr>
          <w:sz w:val="2"/>
        </w:rPr>
      </w:pPr>
      <w:r>
        <w:rPr>
          <w:sz w:val="2"/>
          <w:szCs w:val="2"/>
        </w:rPr>
        <w:br w:type="column"/>
      </w:r>
    </w:p>
    <w:p w14:paraId="69FFCCF4">
      <w:pPr>
        <w:spacing w:before="70" w:line="193" w:lineRule="auto"/>
        <w:rPr>
          <w:rFonts w:ascii="宋体" w:hAnsi="宋体" w:eastAsia="宋体" w:cs="宋体"/>
          <w:sz w:val="21"/>
          <w:szCs w:val="21"/>
        </w:rPr>
      </w:pPr>
      <w:r>
        <w:rPr>
          <w:rFonts w:ascii="宋体" w:hAnsi="宋体" w:eastAsia="宋体" w:cs="宋体"/>
          <w:sz w:val="21"/>
          <w:szCs w:val="21"/>
        </w:rPr>
        <w:t>年</w:t>
      </w:r>
    </w:p>
    <w:p w14:paraId="13320C0D">
      <w:pPr>
        <w:pStyle w:val="2"/>
        <w:spacing w:line="14" w:lineRule="auto"/>
        <w:rPr>
          <w:sz w:val="2"/>
        </w:rPr>
      </w:pPr>
      <w:r>
        <w:rPr>
          <w:sz w:val="2"/>
          <w:szCs w:val="2"/>
        </w:rPr>
        <w:br w:type="column"/>
      </w:r>
    </w:p>
    <w:p w14:paraId="41933581">
      <w:pPr>
        <w:spacing w:before="40" w:line="219" w:lineRule="auto"/>
        <w:rPr>
          <w:rFonts w:ascii="宋体" w:hAnsi="宋体" w:eastAsia="宋体" w:cs="宋体"/>
          <w:sz w:val="21"/>
          <w:szCs w:val="21"/>
        </w:rPr>
      </w:pPr>
      <w:r>
        <w:rPr>
          <w:rFonts w:ascii="宋体" w:hAnsi="宋体" w:eastAsia="宋体" w:cs="宋体"/>
          <w:spacing w:val="3"/>
          <w:sz w:val="21"/>
          <w:szCs w:val="21"/>
        </w:rPr>
        <w:t>有效期至：202</w:t>
      </w:r>
      <w:r>
        <w:rPr>
          <w:rFonts w:hint="eastAsia" w:ascii="宋体" w:hAnsi="宋体" w:eastAsia="宋体" w:cs="宋体"/>
          <w:spacing w:val="3"/>
          <w:sz w:val="21"/>
          <w:szCs w:val="21"/>
          <w:lang w:val="en-US" w:eastAsia="zh-CN"/>
        </w:rPr>
        <w:t>5</w:t>
      </w:r>
      <w:r>
        <w:rPr>
          <w:rFonts w:ascii="宋体" w:hAnsi="宋体" w:eastAsia="宋体" w:cs="宋体"/>
          <w:spacing w:val="3"/>
          <w:sz w:val="21"/>
          <w:szCs w:val="21"/>
        </w:rPr>
        <w:t>年6月</w:t>
      </w:r>
    </w:p>
    <w:p w14:paraId="79DA54F9">
      <w:pPr>
        <w:spacing w:line="219" w:lineRule="auto"/>
        <w:rPr>
          <w:rFonts w:ascii="宋体" w:hAnsi="宋体" w:eastAsia="宋体" w:cs="宋体"/>
          <w:sz w:val="21"/>
          <w:szCs w:val="21"/>
        </w:rPr>
        <w:sectPr>
          <w:type w:val="continuous"/>
          <w:pgSz w:w="11910" w:h="16840"/>
          <w:pgMar w:top="1052" w:right="1249" w:bottom="0" w:left="1224" w:header="876" w:footer="0" w:gutter="0"/>
          <w:cols w:equalWidth="0" w:num="3">
            <w:col w:w="4825" w:space="100"/>
            <w:col w:w="2001" w:space="100"/>
            <w:col w:w="2411"/>
          </w:cols>
        </w:sectPr>
      </w:pPr>
    </w:p>
    <w:p w14:paraId="304C08F8">
      <w:pPr>
        <w:spacing w:line="78" w:lineRule="auto"/>
        <w:rPr>
          <w:rFonts w:ascii="Arial"/>
          <w:sz w:val="2"/>
        </w:rPr>
      </w:pPr>
    </w:p>
    <w:tbl>
      <w:tblPr>
        <w:tblStyle w:val="5"/>
        <w:tblW w:w="9400" w:type="dxa"/>
        <w:tblInd w:w="24"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3267"/>
        <w:gridCol w:w="600"/>
        <w:gridCol w:w="680"/>
        <w:gridCol w:w="689"/>
        <w:gridCol w:w="709"/>
        <w:gridCol w:w="680"/>
        <w:gridCol w:w="689"/>
        <w:gridCol w:w="678"/>
        <w:gridCol w:w="20"/>
        <w:gridCol w:w="699"/>
        <w:gridCol w:w="689"/>
      </w:tblGrid>
      <w:tr w14:paraId="0E99878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99" w:hRule="atLeast"/>
        </w:trPr>
        <w:tc>
          <w:tcPr>
            <w:tcW w:w="3267" w:type="dxa"/>
            <w:vMerge w:val="restart"/>
            <w:tcBorders>
              <w:top w:val="single" w:color="000000" w:sz="4" w:space="0"/>
              <w:bottom w:val="nil"/>
              <w:right w:val="single" w:color="000000" w:sz="4" w:space="0"/>
            </w:tcBorders>
            <w:vAlign w:val="top"/>
          </w:tcPr>
          <w:p w14:paraId="1AD1C581">
            <w:pPr>
              <w:spacing w:line="352" w:lineRule="auto"/>
              <w:rPr>
                <w:rFonts w:ascii="Arial"/>
                <w:sz w:val="21"/>
              </w:rPr>
            </w:pPr>
          </w:p>
          <w:p w14:paraId="1C29DE5B">
            <w:pPr>
              <w:pStyle w:val="6"/>
              <w:spacing w:before="58" w:line="220" w:lineRule="auto"/>
              <w:ind w:left="1280"/>
            </w:pPr>
            <w:r>
              <w:rPr>
                <w:spacing w:val="-2"/>
              </w:rPr>
              <w:t>指标名称</w:t>
            </w:r>
          </w:p>
        </w:tc>
        <w:tc>
          <w:tcPr>
            <w:tcW w:w="600" w:type="dxa"/>
            <w:vMerge w:val="restart"/>
            <w:tcBorders>
              <w:top w:val="single" w:color="000000" w:sz="4" w:space="0"/>
              <w:left w:val="single" w:color="000000" w:sz="4" w:space="0"/>
              <w:bottom w:val="nil"/>
              <w:right w:val="single" w:color="000000" w:sz="4" w:space="0"/>
            </w:tcBorders>
            <w:vAlign w:val="top"/>
          </w:tcPr>
          <w:p w14:paraId="6FE43435">
            <w:pPr>
              <w:spacing w:line="351" w:lineRule="auto"/>
              <w:rPr>
                <w:rFonts w:ascii="Arial"/>
                <w:sz w:val="21"/>
              </w:rPr>
            </w:pPr>
          </w:p>
          <w:p w14:paraId="3B3EBC2D">
            <w:pPr>
              <w:pStyle w:val="6"/>
              <w:spacing w:before="59" w:line="219" w:lineRule="auto"/>
              <w:ind w:left="118"/>
            </w:pPr>
            <w:r>
              <w:rPr>
                <w:spacing w:val="-2"/>
              </w:rPr>
              <w:t>代码</w:t>
            </w:r>
          </w:p>
        </w:tc>
        <w:tc>
          <w:tcPr>
            <w:tcW w:w="680" w:type="dxa"/>
            <w:vMerge w:val="restart"/>
            <w:tcBorders>
              <w:top w:val="single" w:color="000000" w:sz="4" w:space="0"/>
              <w:left w:val="single" w:color="000000" w:sz="4" w:space="0"/>
              <w:bottom w:val="nil"/>
              <w:right w:val="single" w:color="000000" w:sz="4" w:space="0"/>
            </w:tcBorders>
            <w:vAlign w:val="top"/>
          </w:tcPr>
          <w:p w14:paraId="78F478A7">
            <w:pPr>
              <w:spacing w:line="243" w:lineRule="auto"/>
              <w:rPr>
                <w:rFonts w:ascii="Arial"/>
                <w:sz w:val="21"/>
              </w:rPr>
            </w:pPr>
          </w:p>
          <w:p w14:paraId="602BA22C">
            <w:pPr>
              <w:pStyle w:val="6"/>
              <w:spacing w:before="58" w:line="233" w:lineRule="auto"/>
              <w:ind w:left="68" w:right="22"/>
            </w:pPr>
            <w:r>
              <w:rPr>
                <w:spacing w:val="-3"/>
              </w:rPr>
              <w:t>煤合计</w:t>
            </w:r>
            <w:r>
              <w:t xml:space="preserve"> </w:t>
            </w:r>
            <w:r>
              <w:rPr>
                <w:spacing w:val="9"/>
              </w:rPr>
              <w:t>(万吨)</w:t>
            </w:r>
          </w:p>
        </w:tc>
        <w:tc>
          <w:tcPr>
            <w:tcW w:w="3445" w:type="dxa"/>
            <w:gridSpan w:val="5"/>
            <w:tcBorders>
              <w:top w:val="single" w:color="000000" w:sz="4" w:space="0"/>
              <w:left w:val="single" w:color="000000" w:sz="4" w:space="0"/>
              <w:bottom w:val="single" w:color="000000" w:sz="4" w:space="0"/>
              <w:right w:val="single" w:color="000000" w:sz="4" w:space="0"/>
            </w:tcBorders>
            <w:vAlign w:val="top"/>
          </w:tcPr>
          <w:p w14:paraId="0BACC5D1">
            <w:pPr>
              <w:spacing w:line="189" w:lineRule="exact"/>
              <w:rPr>
                <w:rFonts w:ascii="Arial"/>
                <w:sz w:val="16"/>
              </w:rPr>
            </w:pPr>
          </w:p>
        </w:tc>
        <w:tc>
          <w:tcPr>
            <w:tcW w:w="20" w:type="dxa"/>
            <w:vAlign w:val="top"/>
          </w:tcPr>
          <w:p w14:paraId="18EB4427">
            <w:pPr>
              <w:spacing w:line="189" w:lineRule="exact"/>
              <w:rPr>
                <w:rFonts w:ascii="Arial"/>
                <w:sz w:val="16"/>
              </w:rPr>
            </w:pPr>
          </w:p>
        </w:tc>
        <w:tc>
          <w:tcPr>
            <w:tcW w:w="699" w:type="dxa"/>
            <w:vMerge w:val="restart"/>
            <w:tcBorders>
              <w:top w:val="single" w:color="000000" w:sz="4" w:space="0"/>
              <w:bottom w:val="nil"/>
              <w:right w:val="single" w:color="000000" w:sz="4" w:space="0"/>
            </w:tcBorders>
            <w:vAlign w:val="top"/>
          </w:tcPr>
          <w:p w14:paraId="5488716C">
            <w:pPr>
              <w:spacing w:line="241" w:lineRule="auto"/>
              <w:rPr>
                <w:rFonts w:ascii="Arial"/>
                <w:sz w:val="21"/>
              </w:rPr>
            </w:pPr>
          </w:p>
          <w:p w14:paraId="082A3A37">
            <w:pPr>
              <w:pStyle w:val="6"/>
              <w:spacing w:before="58" w:line="234" w:lineRule="auto"/>
              <w:ind w:left="77" w:right="36"/>
            </w:pPr>
            <w:r>
              <w:rPr>
                <w:spacing w:val="-3"/>
              </w:rPr>
              <w:t>洗精煤</w:t>
            </w:r>
            <w:r>
              <w:rPr>
                <w:spacing w:val="1"/>
              </w:rPr>
              <w:t xml:space="preserve"> </w:t>
            </w:r>
            <w:r>
              <w:rPr>
                <w:spacing w:val="9"/>
              </w:rPr>
              <w:t>(万吨)</w:t>
            </w:r>
          </w:p>
        </w:tc>
        <w:tc>
          <w:tcPr>
            <w:tcW w:w="689" w:type="dxa"/>
            <w:vMerge w:val="restart"/>
            <w:tcBorders>
              <w:top w:val="single" w:color="000000" w:sz="4" w:space="0"/>
              <w:left w:val="single" w:color="000000" w:sz="4" w:space="0"/>
              <w:bottom w:val="nil"/>
            </w:tcBorders>
            <w:vAlign w:val="top"/>
          </w:tcPr>
          <w:p w14:paraId="73112DF8">
            <w:pPr>
              <w:pStyle w:val="6"/>
              <w:spacing w:before="192" w:line="220" w:lineRule="auto"/>
              <w:ind w:left="154"/>
            </w:pPr>
            <w:r>
              <w:rPr>
                <w:spacing w:val="-2"/>
              </w:rPr>
              <w:t>其他</w:t>
            </w:r>
          </w:p>
          <w:p w14:paraId="7414CFC0">
            <w:pPr>
              <w:pStyle w:val="6"/>
              <w:spacing w:before="15" w:line="233" w:lineRule="auto"/>
              <w:ind w:left="64" w:right="40" w:firstLine="90"/>
            </w:pPr>
            <w:r>
              <w:rPr>
                <w:spacing w:val="-4"/>
              </w:rPr>
              <w:t>洗煤</w:t>
            </w:r>
            <w:r>
              <w:t xml:space="preserve">  </w:t>
            </w:r>
            <w:r>
              <w:rPr>
                <w:spacing w:val="9"/>
              </w:rPr>
              <w:t>(万吨)</w:t>
            </w:r>
          </w:p>
        </w:tc>
      </w:tr>
      <w:tr w14:paraId="458FC68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80" w:hRule="atLeast"/>
        </w:trPr>
        <w:tc>
          <w:tcPr>
            <w:tcW w:w="3267" w:type="dxa"/>
            <w:vMerge w:val="continue"/>
            <w:tcBorders>
              <w:top w:val="nil"/>
              <w:bottom w:val="nil"/>
              <w:right w:val="single" w:color="000000" w:sz="4" w:space="0"/>
            </w:tcBorders>
            <w:vAlign w:val="top"/>
          </w:tcPr>
          <w:p w14:paraId="3D223DF5">
            <w:pPr>
              <w:rPr>
                <w:rFonts w:ascii="Arial"/>
                <w:sz w:val="21"/>
              </w:rPr>
            </w:pPr>
          </w:p>
        </w:tc>
        <w:tc>
          <w:tcPr>
            <w:tcW w:w="600" w:type="dxa"/>
            <w:vMerge w:val="continue"/>
            <w:tcBorders>
              <w:top w:val="nil"/>
              <w:left w:val="single" w:color="000000" w:sz="4" w:space="0"/>
              <w:bottom w:val="nil"/>
              <w:right w:val="single" w:color="000000" w:sz="4" w:space="0"/>
            </w:tcBorders>
            <w:vAlign w:val="top"/>
          </w:tcPr>
          <w:p w14:paraId="2F471B92">
            <w:pPr>
              <w:rPr>
                <w:rFonts w:ascii="Arial"/>
                <w:sz w:val="21"/>
              </w:rPr>
            </w:pPr>
          </w:p>
        </w:tc>
        <w:tc>
          <w:tcPr>
            <w:tcW w:w="680" w:type="dxa"/>
            <w:vMerge w:val="continue"/>
            <w:tcBorders>
              <w:top w:val="nil"/>
              <w:left w:val="single" w:color="000000" w:sz="4" w:space="0"/>
              <w:bottom w:val="nil"/>
              <w:right w:val="single" w:color="000000" w:sz="4" w:space="0"/>
            </w:tcBorders>
            <w:vAlign w:val="top"/>
          </w:tcPr>
          <w:p w14:paraId="519962C0">
            <w:pPr>
              <w:rPr>
                <w:rFonts w:ascii="Arial"/>
                <w:sz w:val="21"/>
              </w:rPr>
            </w:pPr>
          </w:p>
        </w:tc>
        <w:tc>
          <w:tcPr>
            <w:tcW w:w="689" w:type="dxa"/>
            <w:vMerge w:val="restart"/>
            <w:tcBorders>
              <w:top w:val="single" w:color="000000" w:sz="4" w:space="0"/>
              <w:left w:val="single" w:color="000000" w:sz="4" w:space="0"/>
              <w:bottom w:val="nil"/>
              <w:right w:val="single" w:color="000000" w:sz="4" w:space="0"/>
            </w:tcBorders>
            <w:vAlign w:val="top"/>
          </w:tcPr>
          <w:p w14:paraId="14CDCDDF">
            <w:pPr>
              <w:pStyle w:val="6"/>
              <w:spacing w:before="94" w:line="233" w:lineRule="auto"/>
              <w:ind w:left="68" w:right="31" w:firstLine="30"/>
            </w:pPr>
            <w:r>
              <w:rPr>
                <w:spacing w:val="-10"/>
              </w:rPr>
              <w:t>原</w:t>
            </w:r>
            <w:r>
              <w:rPr>
                <w:spacing w:val="56"/>
              </w:rPr>
              <w:t xml:space="preserve"> </w:t>
            </w:r>
            <w:r>
              <w:rPr>
                <w:spacing w:val="-10"/>
              </w:rPr>
              <w:t>煤</w:t>
            </w:r>
            <w:r>
              <w:t xml:space="preserve"> </w:t>
            </w:r>
            <w:r>
              <w:rPr>
                <w:spacing w:val="9"/>
              </w:rPr>
              <w:t>(万吨)</w:t>
            </w:r>
          </w:p>
        </w:tc>
        <w:tc>
          <w:tcPr>
            <w:tcW w:w="709" w:type="dxa"/>
            <w:vMerge w:val="restart"/>
            <w:tcBorders>
              <w:top w:val="single" w:color="000000" w:sz="4" w:space="0"/>
              <w:left w:val="single" w:color="000000" w:sz="4" w:space="0"/>
              <w:bottom w:val="nil"/>
              <w:right w:val="single" w:color="000000" w:sz="4" w:space="0"/>
            </w:tcBorders>
            <w:vAlign w:val="top"/>
          </w:tcPr>
          <w:p w14:paraId="5E6818AD">
            <w:pPr>
              <w:pStyle w:val="6"/>
              <w:spacing w:before="204" w:line="238" w:lineRule="auto"/>
              <w:ind w:left="79" w:right="40"/>
            </w:pPr>
            <w:r>
              <w:rPr>
                <w:spacing w:val="-3"/>
              </w:rPr>
              <w:t>无烟煤</w:t>
            </w:r>
            <w:r>
              <w:t xml:space="preserve"> </w:t>
            </w:r>
            <w:r>
              <w:rPr>
                <w:spacing w:val="9"/>
              </w:rPr>
              <w:t>(万吨)</w:t>
            </w:r>
          </w:p>
        </w:tc>
        <w:tc>
          <w:tcPr>
            <w:tcW w:w="1369" w:type="dxa"/>
            <w:gridSpan w:val="2"/>
            <w:tcBorders>
              <w:top w:val="single" w:color="000000" w:sz="4" w:space="0"/>
              <w:left w:val="single" w:color="000000" w:sz="4" w:space="0"/>
              <w:bottom w:val="single" w:color="000000" w:sz="4" w:space="0"/>
              <w:right w:val="single" w:color="000000" w:sz="4" w:space="0"/>
            </w:tcBorders>
            <w:vAlign w:val="top"/>
          </w:tcPr>
          <w:p w14:paraId="204D9BC4">
            <w:pPr>
              <w:pStyle w:val="6"/>
              <w:spacing w:before="64" w:line="211" w:lineRule="auto"/>
              <w:ind w:left="249"/>
            </w:pPr>
            <w:r>
              <w:rPr>
                <w:spacing w:val="6"/>
              </w:rPr>
              <w:t>烟煤(万吨)</w:t>
            </w:r>
          </w:p>
        </w:tc>
        <w:tc>
          <w:tcPr>
            <w:tcW w:w="678" w:type="dxa"/>
            <w:vMerge w:val="restart"/>
            <w:tcBorders>
              <w:top w:val="single" w:color="000000" w:sz="4" w:space="0"/>
              <w:left w:val="single" w:color="000000" w:sz="4" w:space="0"/>
              <w:bottom w:val="nil"/>
              <w:right w:val="single" w:color="000000" w:sz="4" w:space="0"/>
            </w:tcBorders>
            <w:vAlign w:val="top"/>
          </w:tcPr>
          <w:p w14:paraId="3F5B07E9">
            <w:pPr>
              <w:pStyle w:val="6"/>
              <w:spacing w:before="203" w:line="223" w:lineRule="auto"/>
              <w:ind w:left="121" w:right="79" w:hanging="20"/>
            </w:pPr>
            <w:r>
              <w:rPr>
                <w:spacing w:val="-8"/>
              </w:rPr>
              <w:t>褐</w:t>
            </w:r>
            <w:r>
              <w:rPr>
                <w:spacing w:val="51"/>
                <w:w w:val="101"/>
              </w:rPr>
              <w:t xml:space="preserve"> </w:t>
            </w:r>
            <w:r>
              <w:rPr>
                <w:spacing w:val="-8"/>
              </w:rPr>
              <w:t>煤</w:t>
            </w:r>
            <w:r>
              <w:t xml:space="preserve"> </w:t>
            </w:r>
            <w:r>
              <w:rPr>
                <w:spacing w:val="3"/>
              </w:rPr>
              <w:t>(万吨</w:t>
            </w:r>
          </w:p>
        </w:tc>
        <w:tc>
          <w:tcPr>
            <w:tcW w:w="20" w:type="dxa"/>
            <w:vAlign w:val="top"/>
          </w:tcPr>
          <w:p w14:paraId="38AE8F1A">
            <w:pPr>
              <w:rPr>
                <w:rFonts w:ascii="Arial"/>
                <w:sz w:val="21"/>
              </w:rPr>
            </w:pPr>
          </w:p>
        </w:tc>
        <w:tc>
          <w:tcPr>
            <w:tcW w:w="699" w:type="dxa"/>
            <w:vMerge w:val="continue"/>
            <w:tcBorders>
              <w:top w:val="nil"/>
              <w:bottom w:val="nil"/>
              <w:right w:val="single" w:color="000000" w:sz="4" w:space="0"/>
            </w:tcBorders>
            <w:vAlign w:val="top"/>
          </w:tcPr>
          <w:p w14:paraId="2E157B87">
            <w:pPr>
              <w:rPr>
                <w:rFonts w:ascii="Arial"/>
                <w:sz w:val="21"/>
              </w:rPr>
            </w:pPr>
          </w:p>
        </w:tc>
        <w:tc>
          <w:tcPr>
            <w:tcW w:w="689" w:type="dxa"/>
            <w:vMerge w:val="continue"/>
            <w:tcBorders>
              <w:top w:val="nil"/>
              <w:left w:val="single" w:color="000000" w:sz="4" w:space="0"/>
              <w:bottom w:val="nil"/>
            </w:tcBorders>
            <w:vAlign w:val="top"/>
          </w:tcPr>
          <w:p w14:paraId="3F5C89E9">
            <w:pPr>
              <w:rPr>
                <w:rFonts w:ascii="Arial"/>
                <w:sz w:val="21"/>
              </w:rPr>
            </w:pPr>
          </w:p>
        </w:tc>
      </w:tr>
      <w:tr w14:paraId="40B5411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03" w:hRule="atLeast"/>
        </w:trPr>
        <w:tc>
          <w:tcPr>
            <w:tcW w:w="3267" w:type="dxa"/>
            <w:vMerge w:val="continue"/>
            <w:tcBorders>
              <w:top w:val="nil"/>
              <w:bottom w:val="single" w:color="000000" w:sz="4" w:space="0"/>
              <w:right w:val="single" w:color="000000" w:sz="4" w:space="0"/>
            </w:tcBorders>
            <w:vAlign w:val="top"/>
          </w:tcPr>
          <w:p w14:paraId="05527C41">
            <w:pPr>
              <w:rPr>
                <w:rFonts w:ascii="Arial"/>
                <w:sz w:val="21"/>
              </w:rPr>
            </w:pPr>
          </w:p>
        </w:tc>
        <w:tc>
          <w:tcPr>
            <w:tcW w:w="600" w:type="dxa"/>
            <w:vMerge w:val="continue"/>
            <w:tcBorders>
              <w:top w:val="nil"/>
              <w:left w:val="single" w:color="000000" w:sz="4" w:space="0"/>
              <w:bottom w:val="single" w:color="000000" w:sz="4" w:space="0"/>
              <w:right w:val="single" w:color="000000" w:sz="4" w:space="0"/>
            </w:tcBorders>
            <w:vAlign w:val="top"/>
          </w:tcPr>
          <w:p w14:paraId="2154D96F">
            <w:pPr>
              <w:rPr>
                <w:rFonts w:ascii="Arial"/>
                <w:sz w:val="21"/>
              </w:rPr>
            </w:pPr>
          </w:p>
        </w:tc>
        <w:tc>
          <w:tcPr>
            <w:tcW w:w="680" w:type="dxa"/>
            <w:vMerge w:val="continue"/>
            <w:tcBorders>
              <w:top w:val="nil"/>
              <w:left w:val="single" w:color="000000" w:sz="4" w:space="0"/>
              <w:bottom w:val="single" w:color="000000" w:sz="4" w:space="0"/>
              <w:right w:val="single" w:color="000000" w:sz="4" w:space="0"/>
            </w:tcBorders>
            <w:vAlign w:val="top"/>
          </w:tcPr>
          <w:p w14:paraId="0F1ACCDF">
            <w:pPr>
              <w:rPr>
                <w:rFonts w:ascii="Arial"/>
                <w:sz w:val="21"/>
              </w:rPr>
            </w:pPr>
          </w:p>
        </w:tc>
        <w:tc>
          <w:tcPr>
            <w:tcW w:w="689" w:type="dxa"/>
            <w:vMerge w:val="continue"/>
            <w:tcBorders>
              <w:top w:val="nil"/>
              <w:left w:val="single" w:color="000000" w:sz="4" w:space="0"/>
              <w:bottom w:val="single" w:color="000000" w:sz="4" w:space="0"/>
              <w:right w:val="single" w:color="000000" w:sz="4" w:space="0"/>
            </w:tcBorders>
            <w:vAlign w:val="top"/>
          </w:tcPr>
          <w:p w14:paraId="5F625E07">
            <w:pPr>
              <w:rPr>
                <w:rFonts w:ascii="Arial"/>
                <w:sz w:val="21"/>
              </w:rPr>
            </w:pPr>
          </w:p>
        </w:tc>
        <w:tc>
          <w:tcPr>
            <w:tcW w:w="709" w:type="dxa"/>
            <w:vMerge w:val="continue"/>
            <w:tcBorders>
              <w:top w:val="nil"/>
              <w:left w:val="single" w:color="000000" w:sz="4" w:space="0"/>
              <w:bottom w:val="single" w:color="000000" w:sz="4" w:space="0"/>
              <w:right w:val="single" w:color="000000" w:sz="4" w:space="0"/>
            </w:tcBorders>
            <w:vAlign w:val="top"/>
          </w:tcPr>
          <w:p w14:paraId="106DFF4D">
            <w:pPr>
              <w:rPr>
                <w:rFonts w:ascii="Arial"/>
                <w:sz w:val="21"/>
              </w:rPr>
            </w:pPr>
          </w:p>
        </w:tc>
        <w:tc>
          <w:tcPr>
            <w:tcW w:w="680" w:type="dxa"/>
            <w:tcBorders>
              <w:top w:val="single" w:color="000000" w:sz="4" w:space="0"/>
              <w:left w:val="single" w:color="000000" w:sz="4" w:space="0"/>
              <w:bottom w:val="single" w:color="000000" w:sz="4" w:space="0"/>
              <w:right w:val="single" w:color="000000" w:sz="4" w:space="0"/>
            </w:tcBorders>
            <w:vAlign w:val="top"/>
          </w:tcPr>
          <w:p w14:paraId="1023B604">
            <w:pPr>
              <w:pStyle w:val="6"/>
              <w:spacing w:before="63" w:line="236" w:lineRule="auto"/>
              <w:ind w:left="160"/>
            </w:pPr>
            <w:r>
              <w:rPr>
                <w:spacing w:val="-3"/>
              </w:rPr>
              <w:t>炼焦</w:t>
            </w:r>
          </w:p>
          <w:p w14:paraId="1B3F9101">
            <w:pPr>
              <w:pStyle w:val="6"/>
              <w:spacing w:line="204" w:lineRule="auto"/>
              <w:ind w:left="160"/>
            </w:pPr>
            <w:r>
              <w:rPr>
                <w:spacing w:val="-2"/>
              </w:rPr>
              <w:t>烟煤</w:t>
            </w:r>
          </w:p>
        </w:tc>
        <w:tc>
          <w:tcPr>
            <w:tcW w:w="689" w:type="dxa"/>
            <w:tcBorders>
              <w:top w:val="single" w:color="000000" w:sz="4" w:space="0"/>
              <w:left w:val="single" w:color="000000" w:sz="4" w:space="0"/>
              <w:bottom w:val="single" w:color="000000" w:sz="4" w:space="0"/>
              <w:right w:val="single" w:color="000000" w:sz="4" w:space="0"/>
            </w:tcBorders>
            <w:vAlign w:val="top"/>
          </w:tcPr>
          <w:p w14:paraId="06958401">
            <w:pPr>
              <w:pStyle w:val="6"/>
              <w:spacing w:before="64" w:line="235" w:lineRule="auto"/>
              <w:ind w:left="160"/>
            </w:pPr>
            <w:r>
              <w:rPr>
                <w:spacing w:val="-5"/>
              </w:rPr>
              <w:t>一般</w:t>
            </w:r>
          </w:p>
          <w:p w14:paraId="7C34C59F">
            <w:pPr>
              <w:pStyle w:val="6"/>
              <w:spacing w:line="204" w:lineRule="auto"/>
              <w:ind w:left="160"/>
            </w:pPr>
            <w:r>
              <w:rPr>
                <w:spacing w:val="-2"/>
              </w:rPr>
              <w:t>烟煤</w:t>
            </w:r>
          </w:p>
        </w:tc>
        <w:tc>
          <w:tcPr>
            <w:tcW w:w="678" w:type="dxa"/>
            <w:vMerge w:val="continue"/>
            <w:tcBorders>
              <w:top w:val="nil"/>
              <w:left w:val="single" w:color="000000" w:sz="4" w:space="0"/>
              <w:bottom w:val="single" w:color="000000" w:sz="4" w:space="0"/>
              <w:right w:val="single" w:color="000000" w:sz="4" w:space="0"/>
            </w:tcBorders>
            <w:vAlign w:val="top"/>
          </w:tcPr>
          <w:p w14:paraId="2E70C7C5">
            <w:pPr>
              <w:rPr>
                <w:rFonts w:ascii="Arial"/>
                <w:sz w:val="21"/>
              </w:rPr>
            </w:pPr>
          </w:p>
        </w:tc>
        <w:tc>
          <w:tcPr>
            <w:tcW w:w="20" w:type="dxa"/>
            <w:vAlign w:val="top"/>
          </w:tcPr>
          <w:p w14:paraId="48492186">
            <w:pPr>
              <w:rPr>
                <w:rFonts w:ascii="Arial"/>
                <w:sz w:val="21"/>
              </w:rPr>
            </w:pPr>
          </w:p>
        </w:tc>
        <w:tc>
          <w:tcPr>
            <w:tcW w:w="699" w:type="dxa"/>
            <w:vMerge w:val="continue"/>
            <w:tcBorders>
              <w:top w:val="nil"/>
              <w:bottom w:val="single" w:color="000000" w:sz="4" w:space="0"/>
              <w:right w:val="single" w:color="000000" w:sz="4" w:space="0"/>
            </w:tcBorders>
            <w:vAlign w:val="top"/>
          </w:tcPr>
          <w:p w14:paraId="6201F6AD">
            <w:pPr>
              <w:rPr>
                <w:rFonts w:ascii="Arial"/>
                <w:sz w:val="21"/>
              </w:rPr>
            </w:pPr>
          </w:p>
        </w:tc>
        <w:tc>
          <w:tcPr>
            <w:tcW w:w="689" w:type="dxa"/>
            <w:vMerge w:val="continue"/>
            <w:tcBorders>
              <w:top w:val="nil"/>
              <w:left w:val="single" w:color="000000" w:sz="4" w:space="0"/>
              <w:bottom w:val="single" w:color="000000" w:sz="4" w:space="0"/>
            </w:tcBorders>
            <w:vAlign w:val="top"/>
          </w:tcPr>
          <w:p w14:paraId="07650DB6">
            <w:pPr>
              <w:rPr>
                <w:rFonts w:ascii="Arial"/>
                <w:sz w:val="21"/>
              </w:rPr>
            </w:pPr>
          </w:p>
        </w:tc>
      </w:tr>
      <w:tr w14:paraId="4722C87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87" w:hRule="atLeast"/>
        </w:trPr>
        <w:tc>
          <w:tcPr>
            <w:tcW w:w="3267" w:type="dxa"/>
            <w:tcBorders>
              <w:top w:val="single" w:color="000000" w:sz="4" w:space="0"/>
              <w:bottom w:val="single" w:color="000000" w:sz="4" w:space="0"/>
              <w:right w:val="single" w:color="000000" w:sz="4" w:space="0"/>
            </w:tcBorders>
            <w:vAlign w:val="top"/>
          </w:tcPr>
          <w:p w14:paraId="7F4CB2EC">
            <w:pPr>
              <w:pStyle w:val="6"/>
              <w:spacing w:before="63" w:line="219" w:lineRule="auto"/>
              <w:ind w:left="1550"/>
            </w:pPr>
            <w:r>
              <w:t>甲</w:t>
            </w:r>
          </w:p>
        </w:tc>
        <w:tc>
          <w:tcPr>
            <w:tcW w:w="600" w:type="dxa"/>
            <w:tcBorders>
              <w:top w:val="single" w:color="000000" w:sz="4" w:space="0"/>
              <w:left w:val="single" w:color="000000" w:sz="4" w:space="0"/>
              <w:bottom w:val="single" w:color="000000" w:sz="4" w:space="0"/>
              <w:right w:val="single" w:color="000000" w:sz="4" w:space="0"/>
            </w:tcBorders>
            <w:vAlign w:val="top"/>
          </w:tcPr>
          <w:p w14:paraId="0AC50F36">
            <w:pPr>
              <w:pStyle w:val="6"/>
              <w:spacing w:before="75" w:line="207" w:lineRule="auto"/>
              <w:ind w:left="208"/>
            </w:pPr>
            <w:r>
              <w:t>乙</w:t>
            </w:r>
          </w:p>
        </w:tc>
        <w:tc>
          <w:tcPr>
            <w:tcW w:w="680" w:type="dxa"/>
            <w:tcBorders>
              <w:top w:val="single" w:color="000000" w:sz="4" w:space="0"/>
              <w:left w:val="single" w:color="000000" w:sz="4" w:space="0"/>
              <w:bottom w:val="single" w:color="000000" w:sz="4" w:space="0"/>
              <w:right w:val="single" w:color="000000" w:sz="4" w:space="0"/>
            </w:tcBorders>
            <w:vAlign w:val="top"/>
          </w:tcPr>
          <w:p w14:paraId="3B2605A7">
            <w:pPr>
              <w:rPr>
                <w:rFonts w:ascii="Arial"/>
                <w:sz w:val="21"/>
              </w:rPr>
            </w:pPr>
          </w:p>
        </w:tc>
        <w:tc>
          <w:tcPr>
            <w:tcW w:w="689" w:type="dxa"/>
            <w:tcBorders>
              <w:top w:val="single" w:color="000000" w:sz="4" w:space="0"/>
              <w:left w:val="single" w:color="000000" w:sz="4" w:space="0"/>
              <w:bottom w:val="single" w:color="000000" w:sz="4" w:space="0"/>
              <w:right w:val="single" w:color="000000" w:sz="4" w:space="0"/>
            </w:tcBorders>
            <w:vAlign w:val="top"/>
          </w:tcPr>
          <w:p w14:paraId="04FEF63B">
            <w:pPr>
              <w:pStyle w:val="6"/>
              <w:spacing w:before="136" w:line="140" w:lineRule="exact"/>
              <w:ind w:left="297"/>
            </w:pPr>
            <w:r>
              <w:rPr>
                <w:position w:val="-2"/>
              </w:rPr>
              <w:t>2</w:t>
            </w:r>
          </w:p>
        </w:tc>
        <w:tc>
          <w:tcPr>
            <w:tcW w:w="709" w:type="dxa"/>
            <w:tcBorders>
              <w:top w:val="single" w:color="000000" w:sz="4" w:space="0"/>
              <w:left w:val="single" w:color="000000" w:sz="4" w:space="0"/>
              <w:bottom w:val="single" w:color="000000" w:sz="4" w:space="0"/>
              <w:right w:val="single" w:color="000000" w:sz="4" w:space="0"/>
            </w:tcBorders>
            <w:vAlign w:val="top"/>
          </w:tcPr>
          <w:p w14:paraId="39CDC033">
            <w:pPr>
              <w:pStyle w:val="6"/>
              <w:spacing w:before="136" w:line="140" w:lineRule="exact"/>
              <w:ind w:left="309"/>
            </w:pPr>
            <w:r>
              <w:rPr>
                <w:position w:val="-2"/>
              </w:rPr>
              <w:t>3</w:t>
            </w:r>
          </w:p>
        </w:tc>
        <w:tc>
          <w:tcPr>
            <w:tcW w:w="680" w:type="dxa"/>
            <w:tcBorders>
              <w:top w:val="single" w:color="000000" w:sz="4" w:space="0"/>
              <w:left w:val="single" w:color="000000" w:sz="4" w:space="0"/>
              <w:bottom w:val="single" w:color="000000" w:sz="4" w:space="0"/>
              <w:right w:val="single" w:color="000000" w:sz="4" w:space="0"/>
            </w:tcBorders>
            <w:vAlign w:val="top"/>
          </w:tcPr>
          <w:p w14:paraId="5F852196">
            <w:pPr>
              <w:pStyle w:val="6"/>
              <w:spacing w:before="136" w:line="140" w:lineRule="exact"/>
              <w:ind w:left="290"/>
            </w:pPr>
            <w:r>
              <w:rPr>
                <w:position w:val="-2"/>
              </w:rPr>
              <w:t>4</w:t>
            </w:r>
          </w:p>
        </w:tc>
        <w:tc>
          <w:tcPr>
            <w:tcW w:w="689" w:type="dxa"/>
            <w:tcBorders>
              <w:top w:val="single" w:color="000000" w:sz="4" w:space="0"/>
              <w:left w:val="single" w:color="000000" w:sz="4" w:space="0"/>
              <w:bottom w:val="single" w:color="000000" w:sz="4" w:space="0"/>
              <w:right w:val="single" w:color="000000" w:sz="4" w:space="0"/>
            </w:tcBorders>
            <w:vAlign w:val="top"/>
          </w:tcPr>
          <w:p w14:paraId="0894F1C5">
            <w:pPr>
              <w:pStyle w:val="6"/>
              <w:spacing w:before="138" w:line="138" w:lineRule="exact"/>
              <w:ind w:left="300"/>
            </w:pPr>
            <w:r>
              <w:rPr>
                <w:position w:val="-2"/>
              </w:rPr>
              <w:t>5</w:t>
            </w:r>
          </w:p>
        </w:tc>
        <w:tc>
          <w:tcPr>
            <w:tcW w:w="678" w:type="dxa"/>
            <w:tcBorders>
              <w:top w:val="single" w:color="000000" w:sz="4" w:space="0"/>
              <w:left w:val="single" w:color="000000" w:sz="4" w:space="0"/>
              <w:bottom w:val="single" w:color="000000" w:sz="4" w:space="0"/>
              <w:right w:val="single" w:color="000000" w:sz="4" w:space="0"/>
            </w:tcBorders>
            <w:vAlign w:val="top"/>
          </w:tcPr>
          <w:p w14:paraId="035E3421">
            <w:pPr>
              <w:pStyle w:val="6"/>
              <w:spacing w:before="136" w:line="140" w:lineRule="exact"/>
              <w:ind w:left="301"/>
            </w:pPr>
            <w:r>
              <w:rPr>
                <w:position w:val="-2"/>
              </w:rPr>
              <w:t>6</w:t>
            </w:r>
          </w:p>
        </w:tc>
        <w:tc>
          <w:tcPr>
            <w:tcW w:w="20" w:type="dxa"/>
            <w:vAlign w:val="top"/>
          </w:tcPr>
          <w:p w14:paraId="0B947C09">
            <w:pPr>
              <w:rPr>
                <w:rFonts w:ascii="Arial"/>
                <w:sz w:val="21"/>
              </w:rPr>
            </w:pPr>
          </w:p>
        </w:tc>
        <w:tc>
          <w:tcPr>
            <w:tcW w:w="699" w:type="dxa"/>
            <w:tcBorders>
              <w:top w:val="single" w:color="000000" w:sz="4" w:space="0"/>
              <w:bottom w:val="single" w:color="000000" w:sz="4" w:space="0"/>
              <w:right w:val="single" w:color="000000" w:sz="4" w:space="0"/>
            </w:tcBorders>
            <w:vAlign w:val="top"/>
          </w:tcPr>
          <w:p w14:paraId="154E00E3">
            <w:pPr>
              <w:pStyle w:val="6"/>
              <w:spacing w:before="108" w:line="173" w:lineRule="auto"/>
              <w:ind w:left="298"/>
            </w:pPr>
            <w:r>
              <w:t>7</w:t>
            </w:r>
          </w:p>
        </w:tc>
        <w:tc>
          <w:tcPr>
            <w:tcW w:w="689" w:type="dxa"/>
            <w:tcBorders>
              <w:top w:val="single" w:color="000000" w:sz="4" w:space="0"/>
              <w:left w:val="single" w:color="000000" w:sz="4" w:space="0"/>
              <w:bottom w:val="single" w:color="000000" w:sz="4" w:space="0"/>
            </w:tcBorders>
            <w:vAlign w:val="top"/>
          </w:tcPr>
          <w:p w14:paraId="7D20DC22">
            <w:pPr>
              <w:pStyle w:val="6"/>
              <w:spacing w:before="136" w:line="140" w:lineRule="exact"/>
              <w:ind w:left="294"/>
            </w:pPr>
            <w:r>
              <w:rPr>
                <w:position w:val="-2"/>
              </w:rPr>
              <w:t>8</w:t>
            </w:r>
          </w:p>
        </w:tc>
      </w:tr>
      <w:tr w14:paraId="0770E4F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91" w:hRule="atLeast"/>
        </w:trPr>
        <w:tc>
          <w:tcPr>
            <w:tcW w:w="3267" w:type="dxa"/>
            <w:tcBorders>
              <w:top w:val="single" w:color="000000" w:sz="4" w:space="0"/>
              <w:right w:val="single" w:color="000000" w:sz="4" w:space="0"/>
            </w:tcBorders>
            <w:vAlign w:val="top"/>
          </w:tcPr>
          <w:p w14:paraId="5E85FF64">
            <w:pPr>
              <w:pStyle w:val="6"/>
              <w:spacing w:before="83" w:line="203" w:lineRule="auto"/>
              <w:ind w:left="150"/>
            </w:pPr>
            <w:r>
              <w:rPr>
                <w:spacing w:val="-2"/>
              </w:rPr>
              <w:t>一、可供本地区消费的能源量</w:t>
            </w:r>
          </w:p>
        </w:tc>
        <w:tc>
          <w:tcPr>
            <w:tcW w:w="600" w:type="dxa"/>
            <w:tcBorders>
              <w:top w:val="single" w:color="000000" w:sz="4" w:space="0"/>
              <w:left w:val="single" w:color="000000" w:sz="4" w:space="0"/>
              <w:right w:val="single" w:color="000000" w:sz="4" w:space="0"/>
            </w:tcBorders>
            <w:vAlign w:val="top"/>
          </w:tcPr>
          <w:p w14:paraId="7662824C">
            <w:pPr>
              <w:pStyle w:val="6"/>
              <w:spacing w:before="129" w:line="151" w:lineRule="exact"/>
              <w:ind w:left="208"/>
            </w:pPr>
            <w:r>
              <w:rPr>
                <w:spacing w:val="-3"/>
                <w:position w:val="-2"/>
              </w:rPr>
              <w:t>01</w:t>
            </w:r>
          </w:p>
        </w:tc>
        <w:tc>
          <w:tcPr>
            <w:tcW w:w="680" w:type="dxa"/>
            <w:tcBorders>
              <w:top w:val="single" w:color="000000" w:sz="4" w:space="0"/>
              <w:left w:val="single" w:color="000000" w:sz="4" w:space="0"/>
            </w:tcBorders>
            <w:vAlign w:val="top"/>
          </w:tcPr>
          <w:p w14:paraId="4B512269">
            <w:pPr>
              <w:rPr>
                <w:rFonts w:ascii="Arial"/>
                <w:sz w:val="21"/>
              </w:rPr>
            </w:pPr>
          </w:p>
        </w:tc>
        <w:tc>
          <w:tcPr>
            <w:tcW w:w="3465" w:type="dxa"/>
            <w:gridSpan w:val="6"/>
            <w:tcBorders>
              <w:top w:val="single" w:color="000000" w:sz="4" w:space="0"/>
            </w:tcBorders>
            <w:vAlign w:val="top"/>
          </w:tcPr>
          <w:p w14:paraId="77DF8B9C">
            <w:pPr>
              <w:rPr>
                <w:rFonts w:ascii="Arial"/>
                <w:sz w:val="21"/>
              </w:rPr>
            </w:pPr>
          </w:p>
        </w:tc>
        <w:tc>
          <w:tcPr>
            <w:tcW w:w="1388" w:type="dxa"/>
            <w:gridSpan w:val="2"/>
            <w:tcBorders>
              <w:top w:val="single" w:color="000000" w:sz="4" w:space="0"/>
            </w:tcBorders>
            <w:vAlign w:val="top"/>
          </w:tcPr>
          <w:p w14:paraId="6C9DC4F0">
            <w:pPr>
              <w:rPr>
                <w:rFonts w:ascii="Arial"/>
                <w:sz w:val="21"/>
              </w:rPr>
            </w:pPr>
          </w:p>
        </w:tc>
      </w:tr>
      <w:tr w14:paraId="047D761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PrEx>
        <w:trPr>
          <w:trHeight w:val="250" w:hRule="atLeast"/>
        </w:trPr>
        <w:tc>
          <w:tcPr>
            <w:tcW w:w="3267" w:type="dxa"/>
            <w:tcBorders>
              <w:right w:val="single" w:color="000000" w:sz="4" w:space="0"/>
            </w:tcBorders>
            <w:vAlign w:val="top"/>
          </w:tcPr>
          <w:p w14:paraId="7319F9DE">
            <w:pPr>
              <w:pStyle w:val="6"/>
              <w:spacing w:before="42" w:line="203" w:lineRule="auto"/>
              <w:ind w:left="360"/>
            </w:pPr>
            <w:r>
              <w:rPr>
                <w:spacing w:val="1"/>
              </w:rPr>
              <w:t>1.年初库存量</w:t>
            </w:r>
          </w:p>
        </w:tc>
        <w:tc>
          <w:tcPr>
            <w:tcW w:w="600" w:type="dxa"/>
            <w:tcBorders>
              <w:left w:val="single" w:color="000000" w:sz="4" w:space="0"/>
              <w:right w:val="single" w:color="000000" w:sz="4" w:space="0"/>
            </w:tcBorders>
            <w:vAlign w:val="top"/>
          </w:tcPr>
          <w:p w14:paraId="64900FF6">
            <w:pPr>
              <w:pStyle w:val="6"/>
              <w:spacing w:before="79" w:line="165" w:lineRule="auto"/>
              <w:ind w:left="208"/>
            </w:pPr>
            <w:r>
              <w:rPr>
                <w:spacing w:val="-3"/>
              </w:rPr>
              <w:t>02</w:t>
            </w:r>
          </w:p>
        </w:tc>
        <w:tc>
          <w:tcPr>
            <w:tcW w:w="680" w:type="dxa"/>
            <w:tcBorders>
              <w:left w:val="single" w:color="000000" w:sz="4" w:space="0"/>
            </w:tcBorders>
            <w:vAlign w:val="top"/>
          </w:tcPr>
          <w:p w14:paraId="079C6592">
            <w:pPr>
              <w:spacing w:line="240" w:lineRule="exact"/>
              <w:rPr>
                <w:rFonts w:ascii="Arial"/>
                <w:sz w:val="20"/>
              </w:rPr>
            </w:pPr>
          </w:p>
        </w:tc>
        <w:tc>
          <w:tcPr>
            <w:tcW w:w="3465" w:type="dxa"/>
            <w:gridSpan w:val="6"/>
            <w:vAlign w:val="top"/>
          </w:tcPr>
          <w:p w14:paraId="379CCB1A">
            <w:pPr>
              <w:spacing w:line="240" w:lineRule="exact"/>
              <w:rPr>
                <w:rFonts w:ascii="Arial"/>
                <w:sz w:val="20"/>
              </w:rPr>
            </w:pPr>
          </w:p>
        </w:tc>
        <w:tc>
          <w:tcPr>
            <w:tcW w:w="1388" w:type="dxa"/>
            <w:gridSpan w:val="2"/>
            <w:vAlign w:val="top"/>
          </w:tcPr>
          <w:p w14:paraId="2172F951">
            <w:pPr>
              <w:spacing w:line="240" w:lineRule="exact"/>
              <w:rPr>
                <w:rFonts w:ascii="Arial"/>
                <w:sz w:val="20"/>
              </w:rPr>
            </w:pPr>
          </w:p>
        </w:tc>
      </w:tr>
      <w:tr w14:paraId="58C1390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55" w:hRule="atLeast"/>
        </w:trPr>
        <w:tc>
          <w:tcPr>
            <w:tcW w:w="3267" w:type="dxa"/>
            <w:tcBorders>
              <w:right w:val="single" w:color="000000" w:sz="4" w:space="0"/>
            </w:tcBorders>
            <w:vAlign w:val="top"/>
          </w:tcPr>
          <w:p w14:paraId="4ABAFFD4">
            <w:pPr>
              <w:pStyle w:val="6"/>
              <w:spacing w:before="42" w:line="208" w:lineRule="auto"/>
              <w:ind w:left="360"/>
            </w:pPr>
            <w:r>
              <w:rPr>
                <w:spacing w:val="-2"/>
              </w:rPr>
              <w:t>2.一次能源生产量</w:t>
            </w:r>
          </w:p>
        </w:tc>
        <w:tc>
          <w:tcPr>
            <w:tcW w:w="600" w:type="dxa"/>
            <w:tcBorders>
              <w:left w:val="single" w:color="000000" w:sz="4" w:space="0"/>
              <w:right w:val="single" w:color="000000" w:sz="4" w:space="0"/>
            </w:tcBorders>
            <w:vAlign w:val="top"/>
          </w:tcPr>
          <w:p w14:paraId="201D3B16">
            <w:pPr>
              <w:pStyle w:val="6"/>
              <w:spacing w:before="79" w:line="170" w:lineRule="auto"/>
              <w:ind w:left="208"/>
            </w:pPr>
            <w:r>
              <w:rPr>
                <w:spacing w:val="-3"/>
              </w:rPr>
              <w:t>03</w:t>
            </w:r>
          </w:p>
        </w:tc>
        <w:tc>
          <w:tcPr>
            <w:tcW w:w="680" w:type="dxa"/>
            <w:tcBorders>
              <w:left w:val="single" w:color="000000" w:sz="4" w:space="0"/>
            </w:tcBorders>
            <w:vAlign w:val="top"/>
          </w:tcPr>
          <w:p w14:paraId="22C19C11">
            <w:pPr>
              <w:rPr>
                <w:rFonts w:ascii="Arial"/>
                <w:sz w:val="21"/>
              </w:rPr>
            </w:pPr>
          </w:p>
        </w:tc>
        <w:tc>
          <w:tcPr>
            <w:tcW w:w="3465" w:type="dxa"/>
            <w:gridSpan w:val="6"/>
            <w:vAlign w:val="top"/>
          </w:tcPr>
          <w:p w14:paraId="7516C92B">
            <w:pPr>
              <w:rPr>
                <w:rFonts w:ascii="Arial"/>
                <w:sz w:val="21"/>
              </w:rPr>
            </w:pPr>
          </w:p>
        </w:tc>
        <w:tc>
          <w:tcPr>
            <w:tcW w:w="1388" w:type="dxa"/>
            <w:gridSpan w:val="2"/>
            <w:vAlign w:val="top"/>
          </w:tcPr>
          <w:p w14:paraId="40191761">
            <w:pPr>
              <w:rPr>
                <w:rFonts w:ascii="Arial"/>
                <w:sz w:val="21"/>
              </w:rPr>
            </w:pPr>
          </w:p>
        </w:tc>
      </w:tr>
      <w:tr w14:paraId="3600732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63" w:hRule="atLeast"/>
        </w:trPr>
        <w:tc>
          <w:tcPr>
            <w:tcW w:w="3267" w:type="dxa"/>
            <w:tcBorders>
              <w:right w:val="single" w:color="000000" w:sz="4" w:space="0"/>
            </w:tcBorders>
            <w:vAlign w:val="top"/>
          </w:tcPr>
          <w:p w14:paraId="666905E7">
            <w:pPr>
              <w:pStyle w:val="6"/>
              <w:spacing w:before="47" w:line="211" w:lineRule="auto"/>
              <w:ind w:left="360"/>
            </w:pPr>
            <w:r>
              <w:rPr>
                <w:spacing w:val="-1"/>
              </w:rPr>
              <w:t>3.外省(区、市)调入量</w:t>
            </w:r>
          </w:p>
        </w:tc>
        <w:tc>
          <w:tcPr>
            <w:tcW w:w="600" w:type="dxa"/>
            <w:tcBorders>
              <w:left w:val="single" w:color="000000" w:sz="4" w:space="0"/>
              <w:right w:val="single" w:color="000000" w:sz="4" w:space="0"/>
            </w:tcBorders>
            <w:vAlign w:val="top"/>
          </w:tcPr>
          <w:p w14:paraId="2EB868FE">
            <w:pPr>
              <w:pStyle w:val="6"/>
              <w:spacing w:before="103" w:line="150" w:lineRule="exact"/>
              <w:ind w:left="208"/>
            </w:pPr>
            <w:r>
              <w:rPr>
                <w:spacing w:val="-3"/>
                <w:position w:val="-2"/>
              </w:rPr>
              <w:t>04</w:t>
            </w:r>
          </w:p>
        </w:tc>
        <w:tc>
          <w:tcPr>
            <w:tcW w:w="680" w:type="dxa"/>
            <w:tcBorders>
              <w:left w:val="single" w:color="000000" w:sz="4" w:space="0"/>
            </w:tcBorders>
            <w:vAlign w:val="top"/>
          </w:tcPr>
          <w:p w14:paraId="0EABAB61">
            <w:pPr>
              <w:rPr>
                <w:rFonts w:ascii="Arial"/>
                <w:sz w:val="21"/>
              </w:rPr>
            </w:pPr>
          </w:p>
        </w:tc>
        <w:tc>
          <w:tcPr>
            <w:tcW w:w="3465" w:type="dxa"/>
            <w:gridSpan w:val="6"/>
            <w:vAlign w:val="top"/>
          </w:tcPr>
          <w:p w14:paraId="2E0DC7E8">
            <w:pPr>
              <w:rPr>
                <w:rFonts w:ascii="Arial"/>
                <w:sz w:val="21"/>
              </w:rPr>
            </w:pPr>
          </w:p>
        </w:tc>
        <w:tc>
          <w:tcPr>
            <w:tcW w:w="1388" w:type="dxa"/>
            <w:gridSpan w:val="2"/>
            <w:vAlign w:val="top"/>
          </w:tcPr>
          <w:p w14:paraId="263520E1">
            <w:pPr>
              <w:rPr>
                <w:rFonts w:ascii="Arial"/>
                <w:sz w:val="21"/>
              </w:rPr>
            </w:pPr>
          </w:p>
        </w:tc>
      </w:tr>
      <w:tr w14:paraId="432C3C4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46" w:hRule="atLeast"/>
        </w:trPr>
        <w:tc>
          <w:tcPr>
            <w:tcW w:w="3267" w:type="dxa"/>
            <w:tcBorders>
              <w:right w:val="single" w:color="000000" w:sz="4" w:space="0"/>
            </w:tcBorders>
            <w:vAlign w:val="top"/>
          </w:tcPr>
          <w:p w14:paraId="0B7F02EF">
            <w:pPr>
              <w:pStyle w:val="6"/>
              <w:spacing w:before="40" w:line="201" w:lineRule="auto"/>
              <w:ind w:left="360"/>
            </w:pPr>
            <w:r>
              <w:rPr>
                <w:spacing w:val="-2"/>
              </w:rPr>
              <w:t>4.进口量</w:t>
            </w:r>
          </w:p>
        </w:tc>
        <w:tc>
          <w:tcPr>
            <w:tcW w:w="600" w:type="dxa"/>
            <w:tcBorders>
              <w:left w:val="single" w:color="000000" w:sz="4" w:space="0"/>
              <w:right w:val="single" w:color="000000" w:sz="4" w:space="0"/>
            </w:tcBorders>
            <w:vAlign w:val="top"/>
          </w:tcPr>
          <w:p w14:paraId="70F1C1E5">
            <w:pPr>
              <w:pStyle w:val="6"/>
              <w:spacing w:before="71" w:line="169" w:lineRule="auto"/>
              <w:ind w:left="208"/>
            </w:pPr>
            <w:r>
              <w:rPr>
                <w:spacing w:val="-3"/>
              </w:rPr>
              <w:t>05</w:t>
            </w:r>
          </w:p>
        </w:tc>
        <w:tc>
          <w:tcPr>
            <w:tcW w:w="680" w:type="dxa"/>
            <w:tcBorders>
              <w:left w:val="single" w:color="000000" w:sz="4" w:space="0"/>
            </w:tcBorders>
            <w:vAlign w:val="top"/>
          </w:tcPr>
          <w:p w14:paraId="33E79FF3">
            <w:pPr>
              <w:spacing w:line="235" w:lineRule="exact"/>
              <w:rPr>
                <w:rFonts w:ascii="Arial"/>
                <w:sz w:val="20"/>
              </w:rPr>
            </w:pPr>
          </w:p>
        </w:tc>
        <w:tc>
          <w:tcPr>
            <w:tcW w:w="3465" w:type="dxa"/>
            <w:gridSpan w:val="6"/>
            <w:vAlign w:val="top"/>
          </w:tcPr>
          <w:p w14:paraId="3858F81B">
            <w:pPr>
              <w:spacing w:line="235" w:lineRule="exact"/>
              <w:rPr>
                <w:rFonts w:ascii="Arial"/>
                <w:sz w:val="20"/>
              </w:rPr>
            </w:pPr>
          </w:p>
        </w:tc>
        <w:tc>
          <w:tcPr>
            <w:tcW w:w="1388" w:type="dxa"/>
            <w:gridSpan w:val="2"/>
            <w:vAlign w:val="top"/>
          </w:tcPr>
          <w:p w14:paraId="23496CC6">
            <w:pPr>
              <w:spacing w:line="235" w:lineRule="exact"/>
              <w:rPr>
                <w:rFonts w:ascii="Arial"/>
                <w:sz w:val="20"/>
              </w:rPr>
            </w:pPr>
          </w:p>
        </w:tc>
      </w:tr>
      <w:tr w14:paraId="5A45822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60" w:hRule="atLeast"/>
        </w:trPr>
        <w:tc>
          <w:tcPr>
            <w:tcW w:w="3267" w:type="dxa"/>
            <w:tcBorders>
              <w:right w:val="single" w:color="000000" w:sz="4" w:space="0"/>
            </w:tcBorders>
            <w:vAlign w:val="top"/>
          </w:tcPr>
          <w:p w14:paraId="171A5083">
            <w:pPr>
              <w:pStyle w:val="6"/>
              <w:spacing w:before="48" w:line="207" w:lineRule="auto"/>
              <w:ind w:left="360"/>
            </w:pPr>
            <w:r>
              <w:rPr>
                <w:spacing w:val="-1"/>
              </w:rPr>
              <w:t>5.境内飞机和轮船在境外加油量</w:t>
            </w:r>
          </w:p>
        </w:tc>
        <w:tc>
          <w:tcPr>
            <w:tcW w:w="600" w:type="dxa"/>
            <w:tcBorders>
              <w:left w:val="single" w:color="000000" w:sz="4" w:space="0"/>
              <w:right w:val="single" w:color="000000" w:sz="4" w:space="0"/>
            </w:tcBorders>
            <w:vAlign w:val="top"/>
          </w:tcPr>
          <w:p w14:paraId="128BA7C1">
            <w:pPr>
              <w:pStyle w:val="6"/>
              <w:spacing w:before="94" w:line="159" w:lineRule="auto"/>
              <w:ind w:left="208"/>
            </w:pPr>
            <w:r>
              <w:rPr>
                <w:spacing w:val="-3"/>
              </w:rPr>
              <w:t>06</w:t>
            </w:r>
          </w:p>
        </w:tc>
        <w:tc>
          <w:tcPr>
            <w:tcW w:w="680" w:type="dxa"/>
            <w:tcBorders>
              <w:left w:val="single" w:color="000000" w:sz="4" w:space="0"/>
            </w:tcBorders>
            <w:vAlign w:val="top"/>
          </w:tcPr>
          <w:p w14:paraId="41C7A919">
            <w:pPr>
              <w:rPr>
                <w:rFonts w:ascii="Arial"/>
                <w:sz w:val="21"/>
              </w:rPr>
            </w:pPr>
          </w:p>
        </w:tc>
        <w:tc>
          <w:tcPr>
            <w:tcW w:w="3465" w:type="dxa"/>
            <w:gridSpan w:val="6"/>
            <w:vAlign w:val="top"/>
          </w:tcPr>
          <w:p w14:paraId="030D6690">
            <w:pPr>
              <w:rPr>
                <w:rFonts w:ascii="Arial"/>
                <w:sz w:val="21"/>
              </w:rPr>
            </w:pPr>
          </w:p>
        </w:tc>
        <w:tc>
          <w:tcPr>
            <w:tcW w:w="1388" w:type="dxa"/>
            <w:gridSpan w:val="2"/>
            <w:vAlign w:val="top"/>
          </w:tcPr>
          <w:p w14:paraId="1BA4B8BD">
            <w:pPr>
              <w:rPr>
                <w:rFonts w:ascii="Arial"/>
                <w:sz w:val="21"/>
              </w:rPr>
            </w:pPr>
          </w:p>
        </w:tc>
      </w:tr>
      <w:tr w14:paraId="16AB4C7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63" w:hRule="atLeast"/>
        </w:trPr>
        <w:tc>
          <w:tcPr>
            <w:tcW w:w="3267" w:type="dxa"/>
            <w:tcBorders>
              <w:right w:val="single" w:color="000000" w:sz="4" w:space="0"/>
            </w:tcBorders>
            <w:vAlign w:val="top"/>
          </w:tcPr>
          <w:p w14:paraId="5C5A34FE">
            <w:pPr>
              <w:pStyle w:val="6"/>
              <w:spacing w:before="47" w:line="211" w:lineRule="auto"/>
              <w:ind w:left="360"/>
            </w:pPr>
            <w:r>
              <w:rPr>
                <w:spacing w:val="2"/>
              </w:rPr>
              <w:t>6.本省(区、市)调出量(-)</w:t>
            </w:r>
          </w:p>
        </w:tc>
        <w:tc>
          <w:tcPr>
            <w:tcW w:w="600" w:type="dxa"/>
            <w:tcBorders>
              <w:left w:val="single" w:color="000000" w:sz="4" w:space="0"/>
              <w:right w:val="single" w:color="000000" w:sz="4" w:space="0"/>
            </w:tcBorders>
            <w:vAlign w:val="top"/>
          </w:tcPr>
          <w:p w14:paraId="60E99291">
            <w:pPr>
              <w:pStyle w:val="6"/>
              <w:spacing w:before="95" w:line="162" w:lineRule="auto"/>
              <w:ind w:left="208"/>
            </w:pPr>
            <w:r>
              <w:rPr>
                <w:spacing w:val="-3"/>
              </w:rPr>
              <w:t>07</w:t>
            </w:r>
          </w:p>
        </w:tc>
        <w:tc>
          <w:tcPr>
            <w:tcW w:w="680" w:type="dxa"/>
            <w:tcBorders>
              <w:left w:val="single" w:color="000000" w:sz="4" w:space="0"/>
            </w:tcBorders>
            <w:vAlign w:val="top"/>
          </w:tcPr>
          <w:p w14:paraId="4DCD2495">
            <w:pPr>
              <w:rPr>
                <w:rFonts w:ascii="Arial"/>
                <w:sz w:val="21"/>
              </w:rPr>
            </w:pPr>
          </w:p>
        </w:tc>
        <w:tc>
          <w:tcPr>
            <w:tcW w:w="3465" w:type="dxa"/>
            <w:gridSpan w:val="6"/>
            <w:vAlign w:val="top"/>
          </w:tcPr>
          <w:p w14:paraId="1349C7B5">
            <w:pPr>
              <w:rPr>
                <w:rFonts w:ascii="Arial"/>
                <w:sz w:val="21"/>
              </w:rPr>
            </w:pPr>
          </w:p>
        </w:tc>
        <w:tc>
          <w:tcPr>
            <w:tcW w:w="1388" w:type="dxa"/>
            <w:gridSpan w:val="2"/>
            <w:vAlign w:val="top"/>
          </w:tcPr>
          <w:p w14:paraId="2A4FE98D">
            <w:pPr>
              <w:rPr>
                <w:rFonts w:ascii="Arial"/>
                <w:sz w:val="21"/>
              </w:rPr>
            </w:pPr>
          </w:p>
        </w:tc>
      </w:tr>
      <w:tr w14:paraId="7FBD628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42" w:hRule="atLeast"/>
        </w:trPr>
        <w:tc>
          <w:tcPr>
            <w:tcW w:w="3267" w:type="dxa"/>
            <w:tcBorders>
              <w:right w:val="single" w:color="000000" w:sz="4" w:space="0"/>
            </w:tcBorders>
            <w:vAlign w:val="top"/>
          </w:tcPr>
          <w:p w14:paraId="0811A9BA">
            <w:pPr>
              <w:pStyle w:val="6"/>
              <w:spacing w:before="47" w:line="189" w:lineRule="auto"/>
              <w:ind w:left="360"/>
            </w:pPr>
            <w:r>
              <w:rPr>
                <w:spacing w:val="4"/>
              </w:rPr>
              <w:t>7.出口量(-)</w:t>
            </w:r>
          </w:p>
        </w:tc>
        <w:tc>
          <w:tcPr>
            <w:tcW w:w="600" w:type="dxa"/>
            <w:tcBorders>
              <w:left w:val="single" w:color="000000" w:sz="4" w:space="0"/>
              <w:right w:val="single" w:color="000000" w:sz="4" w:space="0"/>
            </w:tcBorders>
            <w:vAlign w:val="top"/>
          </w:tcPr>
          <w:p w14:paraId="31FFEC04">
            <w:pPr>
              <w:pStyle w:val="6"/>
              <w:spacing w:before="81" w:line="151" w:lineRule="exact"/>
              <w:ind w:left="208"/>
            </w:pPr>
            <w:r>
              <w:rPr>
                <w:spacing w:val="-3"/>
                <w:position w:val="-2"/>
              </w:rPr>
              <w:t>08</w:t>
            </w:r>
          </w:p>
        </w:tc>
        <w:tc>
          <w:tcPr>
            <w:tcW w:w="680" w:type="dxa"/>
            <w:tcBorders>
              <w:left w:val="single" w:color="000000" w:sz="4" w:space="0"/>
            </w:tcBorders>
            <w:vAlign w:val="top"/>
          </w:tcPr>
          <w:p w14:paraId="65844C33">
            <w:pPr>
              <w:spacing w:line="232" w:lineRule="exact"/>
              <w:rPr>
                <w:rFonts w:ascii="Arial"/>
                <w:sz w:val="20"/>
              </w:rPr>
            </w:pPr>
          </w:p>
        </w:tc>
        <w:tc>
          <w:tcPr>
            <w:tcW w:w="3465" w:type="dxa"/>
            <w:gridSpan w:val="6"/>
            <w:vAlign w:val="top"/>
          </w:tcPr>
          <w:p w14:paraId="6B29254C">
            <w:pPr>
              <w:spacing w:line="232" w:lineRule="exact"/>
              <w:rPr>
                <w:rFonts w:ascii="Arial"/>
                <w:sz w:val="20"/>
              </w:rPr>
            </w:pPr>
          </w:p>
        </w:tc>
        <w:tc>
          <w:tcPr>
            <w:tcW w:w="1388" w:type="dxa"/>
            <w:gridSpan w:val="2"/>
            <w:vAlign w:val="top"/>
          </w:tcPr>
          <w:p w14:paraId="06D01008">
            <w:pPr>
              <w:spacing w:line="232" w:lineRule="exact"/>
              <w:rPr>
                <w:rFonts w:ascii="Arial"/>
                <w:sz w:val="20"/>
              </w:rPr>
            </w:pPr>
          </w:p>
        </w:tc>
      </w:tr>
      <w:tr w14:paraId="581E49B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59" w:hRule="atLeast"/>
        </w:trPr>
        <w:tc>
          <w:tcPr>
            <w:tcW w:w="3267" w:type="dxa"/>
            <w:tcBorders>
              <w:right w:val="single" w:color="000000" w:sz="4" w:space="0"/>
            </w:tcBorders>
            <w:vAlign w:val="top"/>
          </w:tcPr>
          <w:p w14:paraId="6DFDFC73">
            <w:pPr>
              <w:pStyle w:val="6"/>
              <w:spacing w:before="32" w:line="219" w:lineRule="auto"/>
              <w:ind w:left="340"/>
            </w:pPr>
            <w:r>
              <w:rPr>
                <w:spacing w:val="2"/>
              </w:rPr>
              <w:t>8.境外飞机和轮船在境内加油量(-)</w:t>
            </w:r>
          </w:p>
        </w:tc>
        <w:tc>
          <w:tcPr>
            <w:tcW w:w="600" w:type="dxa"/>
            <w:tcBorders>
              <w:left w:val="single" w:color="000000" w:sz="4" w:space="0"/>
              <w:right w:val="single" w:color="000000" w:sz="4" w:space="0"/>
            </w:tcBorders>
            <w:vAlign w:val="top"/>
          </w:tcPr>
          <w:p w14:paraId="4162DD34">
            <w:pPr>
              <w:pStyle w:val="6"/>
              <w:spacing w:before="90" w:line="163" w:lineRule="auto"/>
              <w:ind w:left="208"/>
            </w:pPr>
            <w:r>
              <w:rPr>
                <w:spacing w:val="-3"/>
              </w:rPr>
              <w:t>09</w:t>
            </w:r>
          </w:p>
        </w:tc>
        <w:tc>
          <w:tcPr>
            <w:tcW w:w="680" w:type="dxa"/>
            <w:tcBorders>
              <w:left w:val="single" w:color="000000" w:sz="4" w:space="0"/>
            </w:tcBorders>
            <w:vAlign w:val="top"/>
          </w:tcPr>
          <w:p w14:paraId="753BB2D7">
            <w:pPr>
              <w:rPr>
                <w:rFonts w:ascii="Arial"/>
                <w:sz w:val="21"/>
              </w:rPr>
            </w:pPr>
          </w:p>
        </w:tc>
        <w:tc>
          <w:tcPr>
            <w:tcW w:w="3465" w:type="dxa"/>
            <w:gridSpan w:val="6"/>
            <w:vAlign w:val="top"/>
          </w:tcPr>
          <w:p w14:paraId="20D90126">
            <w:pPr>
              <w:rPr>
                <w:rFonts w:ascii="Arial"/>
                <w:sz w:val="21"/>
              </w:rPr>
            </w:pPr>
          </w:p>
        </w:tc>
        <w:tc>
          <w:tcPr>
            <w:tcW w:w="1388" w:type="dxa"/>
            <w:gridSpan w:val="2"/>
            <w:vAlign w:val="top"/>
          </w:tcPr>
          <w:p w14:paraId="09EF80F0">
            <w:pPr>
              <w:rPr>
                <w:rFonts w:ascii="Arial"/>
                <w:sz w:val="21"/>
              </w:rPr>
            </w:pPr>
          </w:p>
        </w:tc>
      </w:tr>
      <w:tr w14:paraId="4063774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61" w:hRule="atLeast"/>
        </w:trPr>
        <w:tc>
          <w:tcPr>
            <w:tcW w:w="3267" w:type="dxa"/>
            <w:tcBorders>
              <w:right w:val="single" w:color="000000" w:sz="4" w:space="0"/>
            </w:tcBorders>
            <w:vAlign w:val="top"/>
          </w:tcPr>
          <w:p w14:paraId="1994478A">
            <w:pPr>
              <w:pStyle w:val="6"/>
              <w:spacing w:before="54" w:line="202" w:lineRule="auto"/>
              <w:ind w:left="360"/>
            </w:pPr>
            <w:r>
              <w:rPr>
                <w:spacing w:val="3"/>
              </w:rPr>
              <w:t>9.年末库存量(-)</w:t>
            </w:r>
          </w:p>
        </w:tc>
        <w:tc>
          <w:tcPr>
            <w:tcW w:w="600" w:type="dxa"/>
            <w:tcBorders>
              <w:left w:val="single" w:color="000000" w:sz="4" w:space="0"/>
              <w:right w:val="single" w:color="000000" w:sz="4" w:space="0"/>
            </w:tcBorders>
            <w:vAlign w:val="top"/>
          </w:tcPr>
          <w:p w14:paraId="0BC493CA">
            <w:pPr>
              <w:pStyle w:val="6"/>
              <w:spacing w:before="100" w:line="150" w:lineRule="exact"/>
              <w:ind w:left="208"/>
            </w:pPr>
            <w:r>
              <w:rPr>
                <w:spacing w:val="-6"/>
                <w:position w:val="-2"/>
              </w:rPr>
              <w:t>10</w:t>
            </w:r>
          </w:p>
        </w:tc>
        <w:tc>
          <w:tcPr>
            <w:tcW w:w="680" w:type="dxa"/>
            <w:tcBorders>
              <w:left w:val="single" w:color="000000" w:sz="4" w:space="0"/>
            </w:tcBorders>
            <w:vAlign w:val="top"/>
          </w:tcPr>
          <w:p w14:paraId="6E396E3B">
            <w:pPr>
              <w:rPr>
                <w:rFonts w:ascii="Arial"/>
                <w:sz w:val="21"/>
              </w:rPr>
            </w:pPr>
          </w:p>
        </w:tc>
        <w:tc>
          <w:tcPr>
            <w:tcW w:w="3465" w:type="dxa"/>
            <w:gridSpan w:val="6"/>
            <w:vAlign w:val="top"/>
          </w:tcPr>
          <w:p w14:paraId="144D8027">
            <w:pPr>
              <w:rPr>
                <w:rFonts w:ascii="Arial"/>
                <w:sz w:val="21"/>
              </w:rPr>
            </w:pPr>
          </w:p>
        </w:tc>
        <w:tc>
          <w:tcPr>
            <w:tcW w:w="1388" w:type="dxa"/>
            <w:gridSpan w:val="2"/>
            <w:vAlign w:val="top"/>
          </w:tcPr>
          <w:p w14:paraId="2AFAAA8E">
            <w:pPr>
              <w:rPr>
                <w:rFonts w:ascii="Arial"/>
                <w:sz w:val="21"/>
              </w:rPr>
            </w:pPr>
          </w:p>
        </w:tc>
      </w:tr>
      <w:tr w14:paraId="2F88C33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60" w:hRule="atLeast"/>
        </w:trPr>
        <w:tc>
          <w:tcPr>
            <w:tcW w:w="3267" w:type="dxa"/>
            <w:tcBorders>
              <w:right w:val="single" w:color="000000" w:sz="4" w:space="0"/>
            </w:tcBorders>
            <w:vAlign w:val="top"/>
          </w:tcPr>
          <w:p w14:paraId="01495B7D">
            <w:pPr>
              <w:pStyle w:val="6"/>
              <w:spacing w:before="43" w:line="212" w:lineRule="auto"/>
              <w:ind w:left="120"/>
            </w:pPr>
            <w:r>
              <w:rPr>
                <w:spacing w:val="-1"/>
              </w:rPr>
              <w:t>二、加工转换投入(-)产出(+)量</w:t>
            </w:r>
          </w:p>
        </w:tc>
        <w:tc>
          <w:tcPr>
            <w:tcW w:w="600" w:type="dxa"/>
            <w:tcBorders>
              <w:left w:val="single" w:color="000000" w:sz="4" w:space="0"/>
              <w:right w:val="single" w:color="000000" w:sz="4" w:space="0"/>
            </w:tcBorders>
            <w:vAlign w:val="top"/>
          </w:tcPr>
          <w:p w14:paraId="71DA0D63">
            <w:pPr>
              <w:pStyle w:val="6"/>
              <w:spacing w:before="89" w:line="165" w:lineRule="auto"/>
              <w:ind w:left="208"/>
            </w:pPr>
            <w:r>
              <w:rPr>
                <w:spacing w:val="-6"/>
              </w:rPr>
              <w:t>11</w:t>
            </w:r>
          </w:p>
        </w:tc>
        <w:tc>
          <w:tcPr>
            <w:tcW w:w="680" w:type="dxa"/>
            <w:tcBorders>
              <w:left w:val="single" w:color="000000" w:sz="4" w:space="0"/>
            </w:tcBorders>
            <w:vAlign w:val="top"/>
          </w:tcPr>
          <w:p w14:paraId="5387234E">
            <w:pPr>
              <w:rPr>
                <w:rFonts w:ascii="Arial"/>
                <w:sz w:val="21"/>
              </w:rPr>
            </w:pPr>
          </w:p>
        </w:tc>
        <w:tc>
          <w:tcPr>
            <w:tcW w:w="3465" w:type="dxa"/>
            <w:gridSpan w:val="6"/>
            <w:vAlign w:val="top"/>
          </w:tcPr>
          <w:p w14:paraId="78D88CC3">
            <w:pPr>
              <w:rPr>
                <w:rFonts w:ascii="Arial"/>
                <w:sz w:val="21"/>
              </w:rPr>
            </w:pPr>
          </w:p>
        </w:tc>
        <w:tc>
          <w:tcPr>
            <w:tcW w:w="1388" w:type="dxa"/>
            <w:gridSpan w:val="2"/>
            <w:vAlign w:val="top"/>
          </w:tcPr>
          <w:p w14:paraId="1D4E6DCE">
            <w:pPr>
              <w:rPr>
                <w:rFonts w:ascii="Arial"/>
                <w:sz w:val="21"/>
              </w:rPr>
            </w:pPr>
          </w:p>
        </w:tc>
      </w:tr>
      <w:tr w14:paraId="2208CF9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55" w:hRule="atLeast"/>
        </w:trPr>
        <w:tc>
          <w:tcPr>
            <w:tcW w:w="3267" w:type="dxa"/>
            <w:tcBorders>
              <w:right w:val="single" w:color="000000" w:sz="4" w:space="0"/>
            </w:tcBorders>
            <w:vAlign w:val="top"/>
          </w:tcPr>
          <w:p w14:paraId="29C47E2A">
            <w:pPr>
              <w:pStyle w:val="6"/>
              <w:spacing w:before="52" w:line="197" w:lineRule="auto"/>
              <w:ind w:left="360"/>
            </w:pPr>
            <w:r>
              <w:rPr>
                <w:spacing w:val="1"/>
              </w:rPr>
              <w:t>1.火力发电</w:t>
            </w:r>
          </w:p>
        </w:tc>
        <w:tc>
          <w:tcPr>
            <w:tcW w:w="600" w:type="dxa"/>
            <w:tcBorders>
              <w:left w:val="single" w:color="000000" w:sz="4" w:space="0"/>
              <w:right w:val="single" w:color="000000" w:sz="4" w:space="0"/>
            </w:tcBorders>
            <w:vAlign w:val="top"/>
          </w:tcPr>
          <w:p w14:paraId="7D3A1F19">
            <w:pPr>
              <w:pStyle w:val="6"/>
              <w:spacing w:before="88" w:line="160" w:lineRule="auto"/>
              <w:ind w:left="208"/>
            </w:pPr>
            <w:r>
              <w:rPr>
                <w:spacing w:val="-6"/>
              </w:rPr>
              <w:t>12</w:t>
            </w:r>
          </w:p>
        </w:tc>
        <w:tc>
          <w:tcPr>
            <w:tcW w:w="680" w:type="dxa"/>
            <w:tcBorders>
              <w:left w:val="single" w:color="000000" w:sz="4" w:space="0"/>
            </w:tcBorders>
            <w:vAlign w:val="top"/>
          </w:tcPr>
          <w:p w14:paraId="1BA890BC">
            <w:pPr>
              <w:rPr>
                <w:rFonts w:ascii="Arial"/>
                <w:sz w:val="21"/>
              </w:rPr>
            </w:pPr>
          </w:p>
        </w:tc>
        <w:tc>
          <w:tcPr>
            <w:tcW w:w="3465" w:type="dxa"/>
            <w:gridSpan w:val="6"/>
            <w:vAlign w:val="top"/>
          </w:tcPr>
          <w:p w14:paraId="3CD80D6F">
            <w:pPr>
              <w:rPr>
                <w:rFonts w:ascii="Arial"/>
                <w:sz w:val="21"/>
              </w:rPr>
            </w:pPr>
          </w:p>
        </w:tc>
        <w:tc>
          <w:tcPr>
            <w:tcW w:w="1388" w:type="dxa"/>
            <w:gridSpan w:val="2"/>
            <w:vAlign w:val="top"/>
          </w:tcPr>
          <w:p w14:paraId="0DFF762A">
            <w:pPr>
              <w:rPr>
                <w:rFonts w:ascii="Arial"/>
                <w:sz w:val="21"/>
              </w:rPr>
            </w:pPr>
          </w:p>
        </w:tc>
      </w:tr>
      <w:tr w14:paraId="2611A64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55" w:hRule="atLeast"/>
        </w:trPr>
        <w:tc>
          <w:tcPr>
            <w:tcW w:w="3267" w:type="dxa"/>
            <w:tcBorders>
              <w:right w:val="single" w:color="000000" w:sz="4" w:space="0"/>
            </w:tcBorders>
            <w:vAlign w:val="top"/>
          </w:tcPr>
          <w:p w14:paraId="43BB0AE6">
            <w:pPr>
              <w:pStyle w:val="6"/>
              <w:spacing w:before="37" w:line="213" w:lineRule="auto"/>
              <w:ind w:left="360"/>
            </w:pPr>
            <w:r>
              <w:rPr>
                <w:spacing w:val="-3"/>
              </w:rPr>
              <w:t>2.供热</w:t>
            </w:r>
          </w:p>
        </w:tc>
        <w:tc>
          <w:tcPr>
            <w:tcW w:w="600" w:type="dxa"/>
            <w:tcBorders>
              <w:left w:val="single" w:color="000000" w:sz="4" w:space="0"/>
              <w:right w:val="single" w:color="000000" w:sz="4" w:space="0"/>
            </w:tcBorders>
            <w:vAlign w:val="top"/>
          </w:tcPr>
          <w:p w14:paraId="6D333110">
            <w:pPr>
              <w:pStyle w:val="6"/>
              <w:spacing w:before="74" w:line="175" w:lineRule="auto"/>
              <w:ind w:left="208"/>
            </w:pPr>
            <w:r>
              <w:rPr>
                <w:spacing w:val="-6"/>
              </w:rPr>
              <w:t>13</w:t>
            </w:r>
          </w:p>
        </w:tc>
        <w:tc>
          <w:tcPr>
            <w:tcW w:w="680" w:type="dxa"/>
            <w:tcBorders>
              <w:left w:val="single" w:color="000000" w:sz="4" w:space="0"/>
            </w:tcBorders>
            <w:vAlign w:val="top"/>
          </w:tcPr>
          <w:p w14:paraId="1D1019A8">
            <w:pPr>
              <w:rPr>
                <w:rFonts w:ascii="Arial"/>
                <w:sz w:val="21"/>
              </w:rPr>
            </w:pPr>
          </w:p>
        </w:tc>
        <w:tc>
          <w:tcPr>
            <w:tcW w:w="3465" w:type="dxa"/>
            <w:gridSpan w:val="6"/>
            <w:vAlign w:val="top"/>
          </w:tcPr>
          <w:p w14:paraId="755FA451">
            <w:pPr>
              <w:rPr>
                <w:rFonts w:ascii="Arial"/>
                <w:sz w:val="21"/>
              </w:rPr>
            </w:pPr>
          </w:p>
        </w:tc>
        <w:tc>
          <w:tcPr>
            <w:tcW w:w="1388" w:type="dxa"/>
            <w:gridSpan w:val="2"/>
            <w:vAlign w:val="top"/>
          </w:tcPr>
          <w:p w14:paraId="0343A156">
            <w:pPr>
              <w:rPr>
                <w:rFonts w:ascii="Arial"/>
                <w:sz w:val="21"/>
              </w:rPr>
            </w:pPr>
          </w:p>
        </w:tc>
      </w:tr>
      <w:tr w14:paraId="3E9803E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55" w:hRule="atLeast"/>
        </w:trPr>
        <w:tc>
          <w:tcPr>
            <w:tcW w:w="3267" w:type="dxa"/>
            <w:tcBorders>
              <w:right w:val="single" w:color="000000" w:sz="4" w:space="0"/>
            </w:tcBorders>
            <w:vAlign w:val="top"/>
          </w:tcPr>
          <w:p w14:paraId="053BCB22">
            <w:pPr>
              <w:pStyle w:val="6"/>
              <w:spacing w:before="53" w:line="196" w:lineRule="auto"/>
              <w:ind w:left="360"/>
            </w:pPr>
            <w:r>
              <w:rPr>
                <w:spacing w:val="-2"/>
              </w:rPr>
              <w:t>3.煤炭洗选</w:t>
            </w:r>
          </w:p>
        </w:tc>
        <w:tc>
          <w:tcPr>
            <w:tcW w:w="600" w:type="dxa"/>
            <w:tcBorders>
              <w:left w:val="single" w:color="000000" w:sz="4" w:space="0"/>
              <w:right w:val="single" w:color="000000" w:sz="4" w:space="0"/>
            </w:tcBorders>
            <w:vAlign w:val="top"/>
          </w:tcPr>
          <w:p w14:paraId="7A75CBA9">
            <w:pPr>
              <w:pStyle w:val="6"/>
              <w:spacing w:before="99" w:line="146" w:lineRule="exact"/>
              <w:ind w:left="208"/>
            </w:pPr>
            <w:r>
              <w:rPr>
                <w:spacing w:val="-6"/>
                <w:position w:val="-2"/>
              </w:rPr>
              <w:t>14</w:t>
            </w:r>
          </w:p>
        </w:tc>
        <w:tc>
          <w:tcPr>
            <w:tcW w:w="680" w:type="dxa"/>
            <w:tcBorders>
              <w:left w:val="single" w:color="000000" w:sz="4" w:space="0"/>
            </w:tcBorders>
            <w:vAlign w:val="top"/>
          </w:tcPr>
          <w:p w14:paraId="3C349692">
            <w:pPr>
              <w:rPr>
                <w:rFonts w:ascii="Arial"/>
                <w:sz w:val="21"/>
              </w:rPr>
            </w:pPr>
          </w:p>
        </w:tc>
        <w:tc>
          <w:tcPr>
            <w:tcW w:w="3465" w:type="dxa"/>
            <w:gridSpan w:val="6"/>
            <w:vAlign w:val="top"/>
          </w:tcPr>
          <w:p w14:paraId="703FE34F">
            <w:pPr>
              <w:rPr>
                <w:rFonts w:ascii="Arial"/>
                <w:sz w:val="21"/>
              </w:rPr>
            </w:pPr>
          </w:p>
        </w:tc>
        <w:tc>
          <w:tcPr>
            <w:tcW w:w="1388" w:type="dxa"/>
            <w:gridSpan w:val="2"/>
            <w:vAlign w:val="top"/>
          </w:tcPr>
          <w:p w14:paraId="7F2AA9A9">
            <w:pPr>
              <w:rPr>
                <w:rFonts w:ascii="Arial"/>
                <w:sz w:val="21"/>
              </w:rPr>
            </w:pPr>
          </w:p>
        </w:tc>
      </w:tr>
      <w:tr w14:paraId="250E307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59" w:hRule="atLeast"/>
        </w:trPr>
        <w:tc>
          <w:tcPr>
            <w:tcW w:w="3267" w:type="dxa"/>
            <w:tcBorders>
              <w:right w:val="single" w:color="000000" w:sz="4" w:space="0"/>
            </w:tcBorders>
            <w:vAlign w:val="top"/>
          </w:tcPr>
          <w:p w14:paraId="110CCB8A">
            <w:pPr>
              <w:pStyle w:val="6"/>
              <w:spacing w:before="39" w:line="215" w:lineRule="auto"/>
              <w:ind w:left="360"/>
            </w:pPr>
            <w:r>
              <w:rPr>
                <w:spacing w:val="-2"/>
              </w:rPr>
              <w:t>4.炼焦</w:t>
            </w:r>
          </w:p>
        </w:tc>
        <w:tc>
          <w:tcPr>
            <w:tcW w:w="600" w:type="dxa"/>
            <w:tcBorders>
              <w:left w:val="single" w:color="000000" w:sz="4" w:space="0"/>
              <w:right w:val="single" w:color="000000" w:sz="4" w:space="0"/>
            </w:tcBorders>
            <w:vAlign w:val="top"/>
          </w:tcPr>
          <w:p w14:paraId="300813D5">
            <w:pPr>
              <w:pStyle w:val="6"/>
              <w:spacing w:before="93" w:line="159" w:lineRule="auto"/>
              <w:ind w:left="208"/>
            </w:pPr>
            <w:r>
              <w:rPr>
                <w:spacing w:val="-6"/>
              </w:rPr>
              <w:t>15</w:t>
            </w:r>
          </w:p>
        </w:tc>
        <w:tc>
          <w:tcPr>
            <w:tcW w:w="680" w:type="dxa"/>
            <w:tcBorders>
              <w:left w:val="single" w:color="000000" w:sz="4" w:space="0"/>
            </w:tcBorders>
            <w:vAlign w:val="top"/>
          </w:tcPr>
          <w:p w14:paraId="1E098633">
            <w:pPr>
              <w:rPr>
                <w:rFonts w:ascii="Arial"/>
                <w:sz w:val="21"/>
              </w:rPr>
            </w:pPr>
          </w:p>
        </w:tc>
        <w:tc>
          <w:tcPr>
            <w:tcW w:w="3465" w:type="dxa"/>
            <w:gridSpan w:val="6"/>
            <w:vAlign w:val="top"/>
          </w:tcPr>
          <w:p w14:paraId="44250623">
            <w:pPr>
              <w:rPr>
                <w:rFonts w:ascii="Arial"/>
                <w:sz w:val="21"/>
              </w:rPr>
            </w:pPr>
          </w:p>
        </w:tc>
        <w:tc>
          <w:tcPr>
            <w:tcW w:w="1388" w:type="dxa"/>
            <w:gridSpan w:val="2"/>
            <w:vAlign w:val="top"/>
          </w:tcPr>
          <w:p w14:paraId="171EB526">
            <w:pPr>
              <w:rPr>
                <w:rFonts w:ascii="Arial"/>
                <w:sz w:val="21"/>
              </w:rPr>
            </w:pPr>
          </w:p>
        </w:tc>
      </w:tr>
      <w:tr w14:paraId="6DB7278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45" w:hRule="atLeast"/>
        </w:trPr>
        <w:tc>
          <w:tcPr>
            <w:tcW w:w="3267" w:type="dxa"/>
            <w:tcBorders>
              <w:right w:val="single" w:color="000000" w:sz="4" w:space="0"/>
            </w:tcBorders>
            <w:vAlign w:val="top"/>
          </w:tcPr>
          <w:p w14:paraId="1ADEB059">
            <w:pPr>
              <w:pStyle w:val="6"/>
              <w:spacing w:before="49" w:line="190" w:lineRule="auto"/>
              <w:ind w:left="360"/>
            </w:pPr>
            <w:r>
              <w:rPr>
                <w:spacing w:val="2"/>
              </w:rPr>
              <w:t>5.炼油及煤制油</w:t>
            </w:r>
          </w:p>
        </w:tc>
        <w:tc>
          <w:tcPr>
            <w:tcW w:w="600" w:type="dxa"/>
            <w:tcBorders>
              <w:left w:val="single" w:color="000000" w:sz="4" w:space="0"/>
              <w:right w:val="single" w:color="000000" w:sz="4" w:space="0"/>
            </w:tcBorders>
            <w:vAlign w:val="top"/>
          </w:tcPr>
          <w:p w14:paraId="673386F7">
            <w:pPr>
              <w:pStyle w:val="6"/>
              <w:spacing w:before="105" w:line="130" w:lineRule="exact"/>
              <w:ind w:left="208"/>
            </w:pPr>
            <w:r>
              <w:rPr>
                <w:spacing w:val="-6"/>
                <w:position w:val="-2"/>
              </w:rPr>
              <w:t>16</w:t>
            </w:r>
          </w:p>
        </w:tc>
        <w:tc>
          <w:tcPr>
            <w:tcW w:w="680" w:type="dxa"/>
            <w:tcBorders>
              <w:left w:val="single" w:color="000000" w:sz="4" w:space="0"/>
            </w:tcBorders>
            <w:vAlign w:val="top"/>
          </w:tcPr>
          <w:p w14:paraId="18A0C4DE">
            <w:pPr>
              <w:spacing w:line="235" w:lineRule="exact"/>
              <w:rPr>
                <w:rFonts w:ascii="Arial"/>
                <w:sz w:val="20"/>
              </w:rPr>
            </w:pPr>
          </w:p>
        </w:tc>
        <w:tc>
          <w:tcPr>
            <w:tcW w:w="3465" w:type="dxa"/>
            <w:gridSpan w:val="6"/>
            <w:vAlign w:val="top"/>
          </w:tcPr>
          <w:p w14:paraId="43BA4452">
            <w:pPr>
              <w:spacing w:line="235" w:lineRule="exact"/>
              <w:rPr>
                <w:rFonts w:ascii="Arial"/>
                <w:sz w:val="20"/>
              </w:rPr>
            </w:pPr>
          </w:p>
        </w:tc>
        <w:tc>
          <w:tcPr>
            <w:tcW w:w="1388" w:type="dxa"/>
            <w:gridSpan w:val="2"/>
            <w:vAlign w:val="top"/>
          </w:tcPr>
          <w:p w14:paraId="0D25750C">
            <w:pPr>
              <w:spacing w:line="235" w:lineRule="exact"/>
              <w:rPr>
                <w:rFonts w:ascii="Arial"/>
                <w:sz w:val="20"/>
              </w:rPr>
            </w:pPr>
          </w:p>
        </w:tc>
      </w:tr>
      <w:tr w14:paraId="530C018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65" w:hRule="atLeast"/>
        </w:trPr>
        <w:tc>
          <w:tcPr>
            <w:tcW w:w="3267" w:type="dxa"/>
            <w:tcBorders>
              <w:right w:val="single" w:color="000000" w:sz="4" w:space="0"/>
            </w:tcBorders>
            <w:vAlign w:val="top"/>
          </w:tcPr>
          <w:p w14:paraId="6B055B43">
            <w:pPr>
              <w:pStyle w:val="6"/>
              <w:spacing w:before="25" w:line="220" w:lineRule="auto"/>
              <w:ind w:left="710"/>
            </w:pPr>
            <w:r>
              <w:rPr>
                <w:spacing w:val="-1"/>
              </w:rPr>
              <w:t>其中：油品再投入量(-</w:t>
            </w:r>
          </w:p>
        </w:tc>
        <w:tc>
          <w:tcPr>
            <w:tcW w:w="600" w:type="dxa"/>
            <w:tcBorders>
              <w:left w:val="single" w:color="000000" w:sz="4" w:space="0"/>
              <w:right w:val="single" w:color="000000" w:sz="4" w:space="0"/>
            </w:tcBorders>
            <w:vAlign w:val="top"/>
          </w:tcPr>
          <w:p w14:paraId="04A380AA">
            <w:pPr>
              <w:pStyle w:val="6"/>
              <w:spacing w:before="99" w:line="159" w:lineRule="auto"/>
              <w:ind w:left="208"/>
            </w:pPr>
            <w:r>
              <w:rPr>
                <w:spacing w:val="-6"/>
              </w:rPr>
              <w:t>17</w:t>
            </w:r>
          </w:p>
        </w:tc>
        <w:tc>
          <w:tcPr>
            <w:tcW w:w="680" w:type="dxa"/>
            <w:tcBorders>
              <w:left w:val="single" w:color="000000" w:sz="4" w:space="0"/>
            </w:tcBorders>
            <w:vAlign w:val="top"/>
          </w:tcPr>
          <w:p w14:paraId="06620310">
            <w:pPr>
              <w:rPr>
                <w:rFonts w:ascii="Arial"/>
                <w:sz w:val="21"/>
              </w:rPr>
            </w:pPr>
          </w:p>
        </w:tc>
        <w:tc>
          <w:tcPr>
            <w:tcW w:w="3465" w:type="dxa"/>
            <w:gridSpan w:val="6"/>
            <w:vAlign w:val="top"/>
          </w:tcPr>
          <w:p w14:paraId="7664249E">
            <w:pPr>
              <w:rPr>
                <w:rFonts w:ascii="Arial"/>
                <w:sz w:val="21"/>
              </w:rPr>
            </w:pPr>
          </w:p>
        </w:tc>
        <w:tc>
          <w:tcPr>
            <w:tcW w:w="1388" w:type="dxa"/>
            <w:gridSpan w:val="2"/>
            <w:vAlign w:val="top"/>
          </w:tcPr>
          <w:p w14:paraId="3890E9CF">
            <w:pPr>
              <w:rPr>
                <w:rFonts w:ascii="Arial"/>
                <w:sz w:val="21"/>
              </w:rPr>
            </w:pPr>
          </w:p>
        </w:tc>
      </w:tr>
      <w:tr w14:paraId="14508CF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54" w:hRule="atLeast"/>
        </w:trPr>
        <w:tc>
          <w:tcPr>
            <w:tcW w:w="3267" w:type="dxa"/>
            <w:tcBorders>
              <w:right w:val="single" w:color="000000" w:sz="4" w:space="0"/>
            </w:tcBorders>
            <w:vAlign w:val="top"/>
          </w:tcPr>
          <w:p w14:paraId="16FCE503">
            <w:pPr>
              <w:pStyle w:val="6"/>
              <w:spacing w:before="49" w:line="199" w:lineRule="auto"/>
              <w:ind w:left="360"/>
            </w:pPr>
            <w:r>
              <w:rPr>
                <w:spacing w:val="2"/>
              </w:rPr>
              <w:t>6.制气</w:t>
            </w:r>
          </w:p>
        </w:tc>
        <w:tc>
          <w:tcPr>
            <w:tcW w:w="600" w:type="dxa"/>
            <w:tcBorders>
              <w:left w:val="single" w:color="000000" w:sz="4" w:space="0"/>
              <w:right w:val="single" w:color="000000" w:sz="4" w:space="0"/>
            </w:tcBorders>
            <w:vAlign w:val="top"/>
          </w:tcPr>
          <w:p w14:paraId="18A5BA78">
            <w:pPr>
              <w:pStyle w:val="6"/>
              <w:spacing w:before="105" w:line="139" w:lineRule="exact"/>
              <w:ind w:left="208"/>
            </w:pPr>
            <w:r>
              <w:rPr>
                <w:spacing w:val="-6"/>
                <w:position w:val="-2"/>
              </w:rPr>
              <w:t>18</w:t>
            </w:r>
          </w:p>
        </w:tc>
        <w:tc>
          <w:tcPr>
            <w:tcW w:w="680" w:type="dxa"/>
            <w:tcBorders>
              <w:left w:val="single" w:color="000000" w:sz="4" w:space="0"/>
            </w:tcBorders>
            <w:vAlign w:val="top"/>
          </w:tcPr>
          <w:p w14:paraId="73CFD3ED">
            <w:pPr>
              <w:rPr>
                <w:rFonts w:ascii="Arial"/>
                <w:sz w:val="21"/>
              </w:rPr>
            </w:pPr>
          </w:p>
        </w:tc>
        <w:tc>
          <w:tcPr>
            <w:tcW w:w="3465" w:type="dxa"/>
            <w:gridSpan w:val="6"/>
            <w:vAlign w:val="top"/>
          </w:tcPr>
          <w:p w14:paraId="3476E876">
            <w:pPr>
              <w:rPr>
                <w:rFonts w:ascii="Arial"/>
                <w:sz w:val="21"/>
              </w:rPr>
            </w:pPr>
          </w:p>
        </w:tc>
        <w:tc>
          <w:tcPr>
            <w:tcW w:w="1388" w:type="dxa"/>
            <w:gridSpan w:val="2"/>
            <w:vAlign w:val="top"/>
          </w:tcPr>
          <w:p w14:paraId="1503AC4A">
            <w:pPr>
              <w:rPr>
                <w:rFonts w:ascii="Arial"/>
                <w:sz w:val="21"/>
              </w:rPr>
            </w:pPr>
          </w:p>
        </w:tc>
      </w:tr>
      <w:tr w14:paraId="7AD3EFF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55" w:hRule="atLeast"/>
        </w:trPr>
        <w:tc>
          <w:tcPr>
            <w:tcW w:w="3267" w:type="dxa"/>
            <w:tcBorders>
              <w:right w:val="single" w:color="000000" w:sz="4" w:space="0"/>
            </w:tcBorders>
            <w:vAlign w:val="top"/>
          </w:tcPr>
          <w:p w14:paraId="1242B61F">
            <w:pPr>
              <w:pStyle w:val="6"/>
              <w:spacing w:before="36" w:line="214" w:lineRule="auto"/>
              <w:ind w:left="710"/>
            </w:pPr>
            <w:r>
              <w:rPr>
                <w:spacing w:val="3"/>
              </w:rPr>
              <w:t>其中：再投入量(-)</w:t>
            </w:r>
          </w:p>
        </w:tc>
        <w:tc>
          <w:tcPr>
            <w:tcW w:w="600" w:type="dxa"/>
            <w:tcBorders>
              <w:left w:val="single" w:color="000000" w:sz="4" w:space="0"/>
              <w:right w:val="single" w:color="000000" w:sz="4" w:space="0"/>
            </w:tcBorders>
            <w:vAlign w:val="top"/>
          </w:tcPr>
          <w:p w14:paraId="763A7126">
            <w:pPr>
              <w:pStyle w:val="6"/>
              <w:spacing w:before="101" w:line="143" w:lineRule="exact"/>
              <w:ind w:left="208"/>
            </w:pPr>
            <w:r>
              <w:rPr>
                <w:spacing w:val="-6"/>
                <w:position w:val="-2"/>
              </w:rPr>
              <w:t>19</w:t>
            </w:r>
          </w:p>
        </w:tc>
        <w:tc>
          <w:tcPr>
            <w:tcW w:w="680" w:type="dxa"/>
            <w:tcBorders>
              <w:left w:val="single" w:color="000000" w:sz="4" w:space="0"/>
            </w:tcBorders>
            <w:vAlign w:val="top"/>
          </w:tcPr>
          <w:p w14:paraId="6AC04A45">
            <w:pPr>
              <w:rPr>
                <w:rFonts w:ascii="Arial"/>
                <w:sz w:val="21"/>
              </w:rPr>
            </w:pPr>
          </w:p>
        </w:tc>
        <w:tc>
          <w:tcPr>
            <w:tcW w:w="3465" w:type="dxa"/>
            <w:gridSpan w:val="6"/>
            <w:vAlign w:val="top"/>
          </w:tcPr>
          <w:p w14:paraId="4885A185">
            <w:pPr>
              <w:rPr>
                <w:rFonts w:ascii="Arial"/>
                <w:sz w:val="21"/>
              </w:rPr>
            </w:pPr>
          </w:p>
        </w:tc>
        <w:tc>
          <w:tcPr>
            <w:tcW w:w="1388" w:type="dxa"/>
            <w:gridSpan w:val="2"/>
            <w:vAlign w:val="top"/>
          </w:tcPr>
          <w:p w14:paraId="369839CE">
            <w:pPr>
              <w:rPr>
                <w:rFonts w:ascii="Arial"/>
                <w:sz w:val="21"/>
              </w:rPr>
            </w:pPr>
          </w:p>
        </w:tc>
      </w:tr>
      <w:tr w14:paraId="52517E5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54" w:hRule="atLeast"/>
        </w:trPr>
        <w:tc>
          <w:tcPr>
            <w:tcW w:w="3267" w:type="dxa"/>
            <w:tcBorders>
              <w:right w:val="single" w:color="000000" w:sz="4" w:space="0"/>
            </w:tcBorders>
            <w:vAlign w:val="top"/>
          </w:tcPr>
          <w:p w14:paraId="77AC7B97">
            <w:pPr>
              <w:pStyle w:val="6"/>
              <w:spacing w:before="41" w:line="208" w:lineRule="auto"/>
              <w:ind w:left="360"/>
            </w:pPr>
            <w:r>
              <w:rPr>
                <w:spacing w:val="-2"/>
              </w:rPr>
              <w:t>7.天然气液化</w:t>
            </w:r>
          </w:p>
        </w:tc>
        <w:tc>
          <w:tcPr>
            <w:tcW w:w="600" w:type="dxa"/>
            <w:tcBorders>
              <w:left w:val="single" w:color="000000" w:sz="4" w:space="0"/>
              <w:right w:val="single" w:color="000000" w:sz="4" w:space="0"/>
            </w:tcBorders>
            <w:vAlign w:val="top"/>
          </w:tcPr>
          <w:p w14:paraId="3C5066D7">
            <w:pPr>
              <w:pStyle w:val="6"/>
              <w:spacing w:before="106" w:line="138" w:lineRule="exact"/>
              <w:ind w:left="208"/>
            </w:pPr>
            <w:r>
              <w:rPr>
                <w:spacing w:val="-3"/>
                <w:position w:val="-2"/>
              </w:rPr>
              <w:t>20</w:t>
            </w:r>
          </w:p>
        </w:tc>
        <w:tc>
          <w:tcPr>
            <w:tcW w:w="680" w:type="dxa"/>
            <w:tcBorders>
              <w:left w:val="single" w:color="000000" w:sz="4" w:space="0"/>
            </w:tcBorders>
            <w:vAlign w:val="top"/>
          </w:tcPr>
          <w:p w14:paraId="0BD3C934">
            <w:pPr>
              <w:rPr>
                <w:rFonts w:ascii="Arial"/>
                <w:sz w:val="21"/>
              </w:rPr>
            </w:pPr>
          </w:p>
        </w:tc>
        <w:tc>
          <w:tcPr>
            <w:tcW w:w="3465" w:type="dxa"/>
            <w:gridSpan w:val="6"/>
            <w:vAlign w:val="top"/>
          </w:tcPr>
          <w:p w14:paraId="621E4E11">
            <w:pPr>
              <w:rPr>
                <w:rFonts w:ascii="Arial"/>
                <w:sz w:val="21"/>
              </w:rPr>
            </w:pPr>
          </w:p>
        </w:tc>
        <w:tc>
          <w:tcPr>
            <w:tcW w:w="1388" w:type="dxa"/>
            <w:gridSpan w:val="2"/>
            <w:vAlign w:val="top"/>
          </w:tcPr>
          <w:p w14:paraId="2B2C43A8">
            <w:pPr>
              <w:rPr>
                <w:rFonts w:ascii="Arial"/>
                <w:sz w:val="21"/>
              </w:rPr>
            </w:pPr>
          </w:p>
        </w:tc>
      </w:tr>
      <w:tr w14:paraId="2E3EF95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58" w:hRule="atLeast"/>
        </w:trPr>
        <w:tc>
          <w:tcPr>
            <w:tcW w:w="3267" w:type="dxa"/>
            <w:tcBorders>
              <w:right w:val="single" w:color="000000" w:sz="4" w:space="0"/>
            </w:tcBorders>
            <w:vAlign w:val="top"/>
          </w:tcPr>
          <w:p w14:paraId="64128CF3">
            <w:pPr>
              <w:pStyle w:val="6"/>
              <w:spacing w:before="36" w:line="217" w:lineRule="auto"/>
              <w:ind w:left="360"/>
            </w:pPr>
            <w:r>
              <w:rPr>
                <w:spacing w:val="-2"/>
              </w:rPr>
              <w:t>8.煤制品加工</w:t>
            </w:r>
          </w:p>
        </w:tc>
        <w:tc>
          <w:tcPr>
            <w:tcW w:w="600" w:type="dxa"/>
            <w:tcBorders>
              <w:left w:val="single" w:color="000000" w:sz="4" w:space="0"/>
              <w:right w:val="single" w:color="000000" w:sz="4" w:space="0"/>
            </w:tcBorders>
            <w:vAlign w:val="top"/>
          </w:tcPr>
          <w:p w14:paraId="08338B69">
            <w:pPr>
              <w:pStyle w:val="6"/>
              <w:spacing w:before="102" w:line="145" w:lineRule="exact"/>
              <w:ind w:left="208"/>
            </w:pPr>
            <w:r>
              <w:rPr>
                <w:spacing w:val="-3"/>
                <w:position w:val="-2"/>
              </w:rPr>
              <w:t>21</w:t>
            </w:r>
          </w:p>
        </w:tc>
        <w:tc>
          <w:tcPr>
            <w:tcW w:w="680" w:type="dxa"/>
            <w:tcBorders>
              <w:left w:val="single" w:color="000000" w:sz="4" w:space="0"/>
            </w:tcBorders>
            <w:vAlign w:val="top"/>
          </w:tcPr>
          <w:p w14:paraId="7B6AFA2F">
            <w:pPr>
              <w:rPr>
                <w:rFonts w:ascii="Arial"/>
                <w:sz w:val="21"/>
              </w:rPr>
            </w:pPr>
          </w:p>
        </w:tc>
        <w:tc>
          <w:tcPr>
            <w:tcW w:w="3465" w:type="dxa"/>
            <w:gridSpan w:val="6"/>
            <w:vAlign w:val="top"/>
          </w:tcPr>
          <w:p w14:paraId="4BB032B6">
            <w:pPr>
              <w:rPr>
                <w:rFonts w:ascii="Arial"/>
                <w:sz w:val="21"/>
              </w:rPr>
            </w:pPr>
          </w:p>
        </w:tc>
        <w:tc>
          <w:tcPr>
            <w:tcW w:w="1388" w:type="dxa"/>
            <w:gridSpan w:val="2"/>
            <w:vAlign w:val="top"/>
          </w:tcPr>
          <w:p w14:paraId="0C0E7625">
            <w:pPr>
              <w:rPr>
                <w:rFonts w:ascii="Arial"/>
                <w:sz w:val="21"/>
              </w:rPr>
            </w:pPr>
          </w:p>
        </w:tc>
      </w:tr>
      <w:tr w14:paraId="1D8D7C5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58" w:hRule="atLeast"/>
        </w:trPr>
        <w:tc>
          <w:tcPr>
            <w:tcW w:w="3267" w:type="dxa"/>
            <w:tcBorders>
              <w:right w:val="single" w:color="000000" w:sz="4" w:space="0"/>
            </w:tcBorders>
            <w:vAlign w:val="top"/>
          </w:tcPr>
          <w:p w14:paraId="63EDC062">
            <w:pPr>
              <w:pStyle w:val="6"/>
              <w:spacing w:before="48" w:line="205" w:lineRule="auto"/>
              <w:ind w:left="360"/>
            </w:pPr>
            <w:r>
              <w:rPr>
                <w:spacing w:val="-2"/>
              </w:rPr>
              <w:t>9.回收能</w:t>
            </w:r>
          </w:p>
        </w:tc>
        <w:tc>
          <w:tcPr>
            <w:tcW w:w="600" w:type="dxa"/>
            <w:tcBorders>
              <w:left w:val="single" w:color="000000" w:sz="4" w:space="0"/>
              <w:right w:val="single" w:color="000000" w:sz="4" w:space="0"/>
            </w:tcBorders>
            <w:vAlign w:val="top"/>
          </w:tcPr>
          <w:p w14:paraId="3989E78F">
            <w:pPr>
              <w:pStyle w:val="6"/>
              <w:spacing w:before="94" w:line="157" w:lineRule="auto"/>
              <w:ind w:left="208"/>
            </w:pPr>
            <w:r>
              <w:rPr>
                <w:spacing w:val="-3"/>
              </w:rPr>
              <w:t>22</w:t>
            </w:r>
          </w:p>
        </w:tc>
        <w:tc>
          <w:tcPr>
            <w:tcW w:w="680" w:type="dxa"/>
            <w:tcBorders>
              <w:left w:val="single" w:color="000000" w:sz="4" w:space="0"/>
            </w:tcBorders>
            <w:vAlign w:val="top"/>
          </w:tcPr>
          <w:p w14:paraId="41009448">
            <w:pPr>
              <w:rPr>
                <w:rFonts w:ascii="Arial"/>
                <w:sz w:val="21"/>
              </w:rPr>
            </w:pPr>
          </w:p>
        </w:tc>
        <w:tc>
          <w:tcPr>
            <w:tcW w:w="3465" w:type="dxa"/>
            <w:gridSpan w:val="6"/>
            <w:vAlign w:val="top"/>
          </w:tcPr>
          <w:p w14:paraId="38C5A7A5">
            <w:pPr>
              <w:rPr>
                <w:rFonts w:ascii="Arial"/>
                <w:sz w:val="21"/>
              </w:rPr>
            </w:pPr>
          </w:p>
        </w:tc>
        <w:tc>
          <w:tcPr>
            <w:tcW w:w="1388" w:type="dxa"/>
            <w:gridSpan w:val="2"/>
            <w:vAlign w:val="top"/>
          </w:tcPr>
          <w:p w14:paraId="58960164">
            <w:pPr>
              <w:rPr>
                <w:rFonts w:ascii="Arial"/>
                <w:sz w:val="21"/>
              </w:rPr>
            </w:pPr>
          </w:p>
        </w:tc>
      </w:tr>
      <w:tr w14:paraId="341B7D2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53" w:hRule="atLeast"/>
        </w:trPr>
        <w:tc>
          <w:tcPr>
            <w:tcW w:w="3267" w:type="dxa"/>
            <w:tcBorders>
              <w:right w:val="single" w:color="000000" w:sz="4" w:space="0"/>
            </w:tcBorders>
            <w:vAlign w:val="top"/>
          </w:tcPr>
          <w:p w14:paraId="1DC4FD10">
            <w:pPr>
              <w:pStyle w:val="6"/>
              <w:spacing w:before="51" w:line="196" w:lineRule="auto"/>
              <w:ind w:left="110"/>
            </w:pPr>
            <w:r>
              <w:rPr>
                <w:spacing w:val="-2"/>
              </w:rPr>
              <w:t>三、损失量</w:t>
            </w:r>
          </w:p>
        </w:tc>
        <w:tc>
          <w:tcPr>
            <w:tcW w:w="600" w:type="dxa"/>
            <w:tcBorders>
              <w:left w:val="single" w:color="000000" w:sz="4" w:space="0"/>
              <w:right w:val="single" w:color="000000" w:sz="4" w:space="0"/>
            </w:tcBorders>
            <w:vAlign w:val="top"/>
          </w:tcPr>
          <w:p w14:paraId="718587AF">
            <w:pPr>
              <w:pStyle w:val="6"/>
              <w:spacing w:before="96" w:line="146" w:lineRule="exact"/>
              <w:ind w:left="208"/>
            </w:pPr>
            <w:r>
              <w:rPr>
                <w:spacing w:val="-3"/>
                <w:position w:val="-2"/>
              </w:rPr>
              <w:t>23</w:t>
            </w:r>
          </w:p>
        </w:tc>
        <w:tc>
          <w:tcPr>
            <w:tcW w:w="680" w:type="dxa"/>
            <w:tcBorders>
              <w:left w:val="single" w:color="000000" w:sz="4" w:space="0"/>
            </w:tcBorders>
            <w:vAlign w:val="top"/>
          </w:tcPr>
          <w:p w14:paraId="437A4828">
            <w:pPr>
              <w:rPr>
                <w:rFonts w:ascii="Arial"/>
                <w:sz w:val="21"/>
              </w:rPr>
            </w:pPr>
          </w:p>
        </w:tc>
        <w:tc>
          <w:tcPr>
            <w:tcW w:w="3465" w:type="dxa"/>
            <w:gridSpan w:val="6"/>
            <w:vAlign w:val="top"/>
          </w:tcPr>
          <w:p w14:paraId="10785DE9">
            <w:pPr>
              <w:rPr>
                <w:rFonts w:ascii="Arial"/>
                <w:sz w:val="21"/>
              </w:rPr>
            </w:pPr>
          </w:p>
        </w:tc>
        <w:tc>
          <w:tcPr>
            <w:tcW w:w="1388" w:type="dxa"/>
            <w:gridSpan w:val="2"/>
            <w:vAlign w:val="top"/>
          </w:tcPr>
          <w:p w14:paraId="371D2FAD">
            <w:pPr>
              <w:rPr>
                <w:rFonts w:ascii="Arial"/>
                <w:sz w:val="21"/>
              </w:rPr>
            </w:pPr>
          </w:p>
        </w:tc>
      </w:tr>
      <w:tr w14:paraId="25DA040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55" w:hRule="atLeast"/>
        </w:trPr>
        <w:tc>
          <w:tcPr>
            <w:tcW w:w="3267" w:type="dxa"/>
            <w:tcBorders>
              <w:right w:val="single" w:color="000000" w:sz="4" w:space="0"/>
            </w:tcBorders>
            <w:vAlign w:val="top"/>
          </w:tcPr>
          <w:p w14:paraId="575C440A">
            <w:pPr>
              <w:pStyle w:val="6"/>
              <w:spacing w:before="47" w:line="203" w:lineRule="auto"/>
              <w:ind w:left="630"/>
            </w:pPr>
            <w:r>
              <w:rPr>
                <w:spacing w:val="-1"/>
              </w:rPr>
              <w:t>其中：运输和输配损失量</w:t>
            </w:r>
          </w:p>
        </w:tc>
        <w:tc>
          <w:tcPr>
            <w:tcW w:w="600" w:type="dxa"/>
            <w:tcBorders>
              <w:left w:val="single" w:color="000000" w:sz="4" w:space="0"/>
              <w:right w:val="single" w:color="000000" w:sz="4" w:space="0"/>
            </w:tcBorders>
            <w:vAlign w:val="top"/>
          </w:tcPr>
          <w:p w14:paraId="34CC7C64">
            <w:pPr>
              <w:pStyle w:val="6"/>
              <w:spacing w:before="93" w:line="151" w:lineRule="exact"/>
              <w:ind w:left="208"/>
            </w:pPr>
            <w:r>
              <w:rPr>
                <w:spacing w:val="-3"/>
                <w:position w:val="-2"/>
              </w:rPr>
              <w:t>24</w:t>
            </w:r>
          </w:p>
        </w:tc>
        <w:tc>
          <w:tcPr>
            <w:tcW w:w="680" w:type="dxa"/>
            <w:tcBorders>
              <w:left w:val="single" w:color="000000" w:sz="4" w:space="0"/>
            </w:tcBorders>
            <w:vAlign w:val="top"/>
          </w:tcPr>
          <w:p w14:paraId="4500CA8E">
            <w:pPr>
              <w:rPr>
                <w:rFonts w:ascii="Arial"/>
                <w:sz w:val="21"/>
              </w:rPr>
            </w:pPr>
          </w:p>
        </w:tc>
        <w:tc>
          <w:tcPr>
            <w:tcW w:w="3465" w:type="dxa"/>
            <w:gridSpan w:val="6"/>
            <w:vAlign w:val="top"/>
          </w:tcPr>
          <w:p w14:paraId="4AD59135">
            <w:pPr>
              <w:rPr>
                <w:rFonts w:ascii="Arial"/>
                <w:sz w:val="21"/>
              </w:rPr>
            </w:pPr>
          </w:p>
        </w:tc>
        <w:tc>
          <w:tcPr>
            <w:tcW w:w="1388" w:type="dxa"/>
            <w:gridSpan w:val="2"/>
            <w:vAlign w:val="top"/>
          </w:tcPr>
          <w:p w14:paraId="1F669470">
            <w:pPr>
              <w:rPr>
                <w:rFonts w:ascii="Arial"/>
                <w:sz w:val="21"/>
              </w:rPr>
            </w:pPr>
          </w:p>
        </w:tc>
      </w:tr>
      <w:tr w14:paraId="2016BAA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55" w:hRule="atLeast"/>
        </w:trPr>
        <w:tc>
          <w:tcPr>
            <w:tcW w:w="3267" w:type="dxa"/>
            <w:tcBorders>
              <w:right w:val="single" w:color="000000" w:sz="4" w:space="0"/>
            </w:tcBorders>
            <w:vAlign w:val="top"/>
          </w:tcPr>
          <w:p w14:paraId="2A290A30">
            <w:pPr>
              <w:pStyle w:val="6"/>
              <w:spacing w:before="51" w:line="198" w:lineRule="auto"/>
              <w:ind w:left="130"/>
            </w:pPr>
            <w:r>
              <w:rPr>
                <w:spacing w:val="1"/>
              </w:rPr>
              <w:t>四、终端消费量</w:t>
            </w:r>
          </w:p>
        </w:tc>
        <w:tc>
          <w:tcPr>
            <w:tcW w:w="600" w:type="dxa"/>
            <w:tcBorders>
              <w:left w:val="single" w:color="000000" w:sz="4" w:space="0"/>
              <w:right w:val="single" w:color="000000" w:sz="4" w:space="0"/>
            </w:tcBorders>
            <w:vAlign w:val="top"/>
          </w:tcPr>
          <w:p w14:paraId="7DF940C1">
            <w:pPr>
              <w:pStyle w:val="6"/>
              <w:spacing w:before="98" w:line="146" w:lineRule="exact"/>
              <w:ind w:left="208"/>
            </w:pPr>
            <w:r>
              <w:rPr>
                <w:spacing w:val="-3"/>
                <w:position w:val="-2"/>
              </w:rPr>
              <w:t>25</w:t>
            </w:r>
          </w:p>
        </w:tc>
        <w:tc>
          <w:tcPr>
            <w:tcW w:w="680" w:type="dxa"/>
            <w:tcBorders>
              <w:left w:val="single" w:color="000000" w:sz="4" w:space="0"/>
            </w:tcBorders>
            <w:vAlign w:val="top"/>
          </w:tcPr>
          <w:p w14:paraId="3202CA60">
            <w:pPr>
              <w:rPr>
                <w:rFonts w:ascii="Arial"/>
                <w:sz w:val="21"/>
              </w:rPr>
            </w:pPr>
          </w:p>
        </w:tc>
        <w:tc>
          <w:tcPr>
            <w:tcW w:w="3465" w:type="dxa"/>
            <w:gridSpan w:val="6"/>
            <w:vAlign w:val="top"/>
          </w:tcPr>
          <w:p w14:paraId="5B109A14">
            <w:pPr>
              <w:rPr>
                <w:rFonts w:ascii="Arial"/>
                <w:sz w:val="21"/>
              </w:rPr>
            </w:pPr>
          </w:p>
        </w:tc>
        <w:tc>
          <w:tcPr>
            <w:tcW w:w="1388" w:type="dxa"/>
            <w:gridSpan w:val="2"/>
            <w:vAlign w:val="top"/>
          </w:tcPr>
          <w:p w14:paraId="2D5D0FB4">
            <w:pPr>
              <w:rPr>
                <w:rFonts w:ascii="Arial"/>
                <w:sz w:val="21"/>
              </w:rPr>
            </w:pPr>
          </w:p>
        </w:tc>
      </w:tr>
      <w:tr w14:paraId="1B8C5AF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55" w:hRule="atLeast"/>
        </w:trPr>
        <w:tc>
          <w:tcPr>
            <w:tcW w:w="3267" w:type="dxa"/>
            <w:tcBorders>
              <w:right w:val="single" w:color="000000" w:sz="4" w:space="0"/>
            </w:tcBorders>
            <w:vAlign w:val="top"/>
          </w:tcPr>
          <w:p w14:paraId="2E7A3616">
            <w:pPr>
              <w:pStyle w:val="6"/>
              <w:spacing w:before="47" w:line="203" w:lineRule="auto"/>
              <w:ind w:left="360"/>
            </w:pPr>
            <w:r>
              <w:t>1.农、林、牧、渔业</w:t>
            </w:r>
          </w:p>
        </w:tc>
        <w:tc>
          <w:tcPr>
            <w:tcW w:w="600" w:type="dxa"/>
            <w:tcBorders>
              <w:left w:val="single" w:color="000000" w:sz="4" w:space="0"/>
              <w:right w:val="single" w:color="000000" w:sz="4" w:space="0"/>
            </w:tcBorders>
            <w:vAlign w:val="top"/>
          </w:tcPr>
          <w:p w14:paraId="5666F311">
            <w:pPr>
              <w:pStyle w:val="6"/>
              <w:spacing w:before="93" w:line="151" w:lineRule="exact"/>
              <w:ind w:left="208"/>
            </w:pPr>
            <w:r>
              <w:rPr>
                <w:spacing w:val="-3"/>
                <w:position w:val="-2"/>
              </w:rPr>
              <w:t>26</w:t>
            </w:r>
          </w:p>
        </w:tc>
        <w:tc>
          <w:tcPr>
            <w:tcW w:w="680" w:type="dxa"/>
            <w:tcBorders>
              <w:left w:val="single" w:color="000000" w:sz="4" w:space="0"/>
            </w:tcBorders>
            <w:vAlign w:val="top"/>
          </w:tcPr>
          <w:p w14:paraId="4B4668C8">
            <w:pPr>
              <w:rPr>
                <w:rFonts w:ascii="Arial"/>
                <w:sz w:val="21"/>
              </w:rPr>
            </w:pPr>
          </w:p>
        </w:tc>
        <w:tc>
          <w:tcPr>
            <w:tcW w:w="3465" w:type="dxa"/>
            <w:gridSpan w:val="6"/>
            <w:vAlign w:val="top"/>
          </w:tcPr>
          <w:p w14:paraId="267ABE33">
            <w:pPr>
              <w:rPr>
                <w:rFonts w:ascii="Arial"/>
                <w:sz w:val="21"/>
              </w:rPr>
            </w:pPr>
          </w:p>
        </w:tc>
        <w:tc>
          <w:tcPr>
            <w:tcW w:w="1388" w:type="dxa"/>
            <w:gridSpan w:val="2"/>
            <w:vAlign w:val="top"/>
          </w:tcPr>
          <w:p w14:paraId="3ECC0A7B">
            <w:pPr>
              <w:rPr>
                <w:rFonts w:ascii="Arial"/>
                <w:sz w:val="21"/>
              </w:rPr>
            </w:pPr>
          </w:p>
        </w:tc>
      </w:tr>
      <w:tr w14:paraId="312077E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65" w:hRule="atLeast"/>
        </w:trPr>
        <w:tc>
          <w:tcPr>
            <w:tcW w:w="3267" w:type="dxa"/>
            <w:tcBorders>
              <w:right w:val="single" w:color="000000" w:sz="4" w:space="0"/>
            </w:tcBorders>
            <w:vAlign w:val="top"/>
          </w:tcPr>
          <w:p w14:paraId="667A72F4">
            <w:pPr>
              <w:pStyle w:val="6"/>
              <w:spacing w:before="52" w:line="208" w:lineRule="auto"/>
              <w:ind w:left="529"/>
            </w:pPr>
            <w:r>
              <w:rPr>
                <w:spacing w:val="-1"/>
              </w:rPr>
              <w:t>农、林、牧、海业</w:t>
            </w:r>
          </w:p>
        </w:tc>
        <w:tc>
          <w:tcPr>
            <w:tcW w:w="600" w:type="dxa"/>
            <w:tcBorders>
              <w:left w:val="single" w:color="000000" w:sz="4" w:space="0"/>
              <w:right w:val="single" w:color="000000" w:sz="4" w:space="0"/>
            </w:tcBorders>
            <w:vAlign w:val="top"/>
          </w:tcPr>
          <w:p w14:paraId="6E218582">
            <w:pPr>
              <w:pStyle w:val="6"/>
              <w:spacing w:before="108" w:line="146" w:lineRule="exact"/>
              <w:ind w:left="208"/>
            </w:pPr>
            <w:r>
              <w:rPr>
                <w:spacing w:val="-3"/>
                <w:position w:val="-2"/>
              </w:rPr>
              <w:t>27</w:t>
            </w:r>
          </w:p>
        </w:tc>
        <w:tc>
          <w:tcPr>
            <w:tcW w:w="680" w:type="dxa"/>
            <w:tcBorders>
              <w:left w:val="single" w:color="000000" w:sz="4" w:space="0"/>
            </w:tcBorders>
            <w:vAlign w:val="top"/>
          </w:tcPr>
          <w:p w14:paraId="0E522DC8">
            <w:pPr>
              <w:rPr>
                <w:rFonts w:ascii="Arial"/>
                <w:sz w:val="21"/>
              </w:rPr>
            </w:pPr>
          </w:p>
        </w:tc>
        <w:tc>
          <w:tcPr>
            <w:tcW w:w="3465" w:type="dxa"/>
            <w:gridSpan w:val="6"/>
            <w:vAlign w:val="top"/>
          </w:tcPr>
          <w:p w14:paraId="6CFDF0F5">
            <w:pPr>
              <w:rPr>
                <w:rFonts w:ascii="Arial"/>
                <w:sz w:val="21"/>
              </w:rPr>
            </w:pPr>
          </w:p>
        </w:tc>
        <w:tc>
          <w:tcPr>
            <w:tcW w:w="1388" w:type="dxa"/>
            <w:gridSpan w:val="2"/>
            <w:vAlign w:val="top"/>
          </w:tcPr>
          <w:p w14:paraId="65D7CD20">
            <w:pPr>
              <w:rPr>
                <w:rFonts w:ascii="Arial"/>
                <w:sz w:val="21"/>
              </w:rPr>
            </w:pPr>
          </w:p>
        </w:tc>
      </w:tr>
      <w:tr w14:paraId="3BD0E3A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58" w:hRule="atLeast"/>
        </w:trPr>
        <w:tc>
          <w:tcPr>
            <w:tcW w:w="3267" w:type="dxa"/>
            <w:tcBorders>
              <w:right w:val="single" w:color="000000" w:sz="4" w:space="0"/>
            </w:tcBorders>
            <w:vAlign w:val="top"/>
          </w:tcPr>
          <w:p w14:paraId="4381431F">
            <w:pPr>
              <w:pStyle w:val="6"/>
              <w:spacing w:before="48" w:line="205" w:lineRule="auto"/>
              <w:ind w:left="360"/>
            </w:pPr>
            <w:r>
              <w:rPr>
                <w:spacing w:val="-2"/>
              </w:rPr>
              <w:t>2.工业和建筑业</w:t>
            </w:r>
          </w:p>
        </w:tc>
        <w:tc>
          <w:tcPr>
            <w:tcW w:w="600" w:type="dxa"/>
            <w:tcBorders>
              <w:left w:val="single" w:color="000000" w:sz="4" w:space="0"/>
              <w:right w:val="single" w:color="000000" w:sz="4" w:space="0"/>
            </w:tcBorders>
            <w:vAlign w:val="top"/>
          </w:tcPr>
          <w:p w14:paraId="31399514">
            <w:pPr>
              <w:pStyle w:val="6"/>
              <w:spacing w:before="93" w:line="158" w:lineRule="auto"/>
              <w:ind w:left="208"/>
            </w:pPr>
            <w:r>
              <w:rPr>
                <w:spacing w:val="-3"/>
              </w:rPr>
              <w:t>28</w:t>
            </w:r>
          </w:p>
        </w:tc>
        <w:tc>
          <w:tcPr>
            <w:tcW w:w="680" w:type="dxa"/>
            <w:tcBorders>
              <w:left w:val="single" w:color="000000" w:sz="4" w:space="0"/>
            </w:tcBorders>
            <w:vAlign w:val="top"/>
          </w:tcPr>
          <w:p w14:paraId="359E3D27">
            <w:pPr>
              <w:rPr>
                <w:rFonts w:ascii="Arial"/>
                <w:sz w:val="21"/>
              </w:rPr>
            </w:pPr>
          </w:p>
        </w:tc>
        <w:tc>
          <w:tcPr>
            <w:tcW w:w="3465" w:type="dxa"/>
            <w:gridSpan w:val="6"/>
            <w:vAlign w:val="top"/>
          </w:tcPr>
          <w:p w14:paraId="002B59B7">
            <w:pPr>
              <w:rPr>
                <w:rFonts w:ascii="Arial"/>
                <w:sz w:val="21"/>
              </w:rPr>
            </w:pPr>
          </w:p>
        </w:tc>
        <w:tc>
          <w:tcPr>
            <w:tcW w:w="1388" w:type="dxa"/>
            <w:gridSpan w:val="2"/>
            <w:vAlign w:val="top"/>
          </w:tcPr>
          <w:p w14:paraId="6611B301">
            <w:pPr>
              <w:rPr>
                <w:rFonts w:ascii="Arial"/>
                <w:sz w:val="21"/>
              </w:rPr>
            </w:pPr>
          </w:p>
        </w:tc>
      </w:tr>
      <w:tr w14:paraId="4594C0B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50" w:hRule="atLeast"/>
        </w:trPr>
        <w:tc>
          <w:tcPr>
            <w:tcW w:w="3267" w:type="dxa"/>
            <w:tcBorders>
              <w:right w:val="single" w:color="000000" w:sz="4" w:space="0"/>
            </w:tcBorders>
            <w:vAlign w:val="top"/>
          </w:tcPr>
          <w:p w14:paraId="35178356">
            <w:pPr>
              <w:pStyle w:val="6"/>
              <w:spacing w:before="50" w:line="194" w:lineRule="auto"/>
              <w:ind w:left="550"/>
            </w:pPr>
            <w:r>
              <w:rPr>
                <w:spacing w:val="-3"/>
              </w:rPr>
              <w:t>工业</w:t>
            </w:r>
          </w:p>
        </w:tc>
        <w:tc>
          <w:tcPr>
            <w:tcW w:w="600" w:type="dxa"/>
            <w:tcBorders>
              <w:left w:val="single" w:color="000000" w:sz="4" w:space="0"/>
              <w:right w:val="single" w:color="000000" w:sz="4" w:space="0"/>
            </w:tcBorders>
            <w:vAlign w:val="top"/>
          </w:tcPr>
          <w:p w14:paraId="4DA84568">
            <w:pPr>
              <w:pStyle w:val="6"/>
              <w:spacing w:before="95" w:line="145" w:lineRule="exact"/>
              <w:ind w:left="208"/>
            </w:pPr>
            <w:r>
              <w:rPr>
                <w:spacing w:val="-3"/>
                <w:position w:val="-2"/>
              </w:rPr>
              <w:t>29</w:t>
            </w:r>
          </w:p>
        </w:tc>
        <w:tc>
          <w:tcPr>
            <w:tcW w:w="680" w:type="dxa"/>
            <w:tcBorders>
              <w:left w:val="single" w:color="000000" w:sz="4" w:space="0"/>
            </w:tcBorders>
            <w:vAlign w:val="top"/>
          </w:tcPr>
          <w:p w14:paraId="3CC41A2E">
            <w:pPr>
              <w:spacing w:line="240" w:lineRule="exact"/>
              <w:rPr>
                <w:rFonts w:ascii="Arial"/>
                <w:sz w:val="20"/>
              </w:rPr>
            </w:pPr>
          </w:p>
        </w:tc>
        <w:tc>
          <w:tcPr>
            <w:tcW w:w="3465" w:type="dxa"/>
            <w:gridSpan w:val="6"/>
            <w:vAlign w:val="top"/>
          </w:tcPr>
          <w:p w14:paraId="6E7DFE7B">
            <w:pPr>
              <w:spacing w:line="240" w:lineRule="exact"/>
              <w:rPr>
                <w:rFonts w:ascii="Arial"/>
                <w:sz w:val="20"/>
              </w:rPr>
            </w:pPr>
          </w:p>
        </w:tc>
        <w:tc>
          <w:tcPr>
            <w:tcW w:w="1388" w:type="dxa"/>
            <w:gridSpan w:val="2"/>
            <w:vAlign w:val="top"/>
          </w:tcPr>
          <w:p w14:paraId="03936B3F">
            <w:pPr>
              <w:spacing w:line="240" w:lineRule="exact"/>
              <w:rPr>
                <w:rFonts w:ascii="Arial"/>
                <w:sz w:val="20"/>
              </w:rPr>
            </w:pPr>
          </w:p>
        </w:tc>
      </w:tr>
      <w:tr w14:paraId="6BC2A37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57" w:hRule="atLeast"/>
        </w:trPr>
        <w:tc>
          <w:tcPr>
            <w:tcW w:w="3267" w:type="dxa"/>
            <w:tcBorders>
              <w:right w:val="single" w:color="000000" w:sz="4" w:space="0"/>
            </w:tcBorders>
            <w:vAlign w:val="top"/>
          </w:tcPr>
          <w:p w14:paraId="118C3C55">
            <w:pPr>
              <w:pStyle w:val="6"/>
              <w:spacing w:before="49" w:line="203" w:lineRule="auto"/>
              <w:ind w:left="730"/>
            </w:pPr>
            <w:r>
              <w:rPr>
                <w:spacing w:val="-1"/>
              </w:rPr>
              <w:t>其中：用作原料、材料</w:t>
            </w:r>
          </w:p>
        </w:tc>
        <w:tc>
          <w:tcPr>
            <w:tcW w:w="600" w:type="dxa"/>
            <w:tcBorders>
              <w:left w:val="single" w:color="000000" w:sz="4" w:space="0"/>
              <w:right w:val="single" w:color="000000" w:sz="4" w:space="0"/>
            </w:tcBorders>
            <w:vAlign w:val="top"/>
          </w:tcPr>
          <w:p w14:paraId="409BC887">
            <w:pPr>
              <w:pStyle w:val="6"/>
              <w:spacing w:before="95" w:line="152" w:lineRule="exact"/>
              <w:ind w:left="208"/>
            </w:pPr>
            <w:r>
              <w:rPr>
                <w:spacing w:val="-3"/>
                <w:position w:val="-2"/>
              </w:rPr>
              <w:t>30</w:t>
            </w:r>
          </w:p>
        </w:tc>
        <w:tc>
          <w:tcPr>
            <w:tcW w:w="680" w:type="dxa"/>
            <w:tcBorders>
              <w:left w:val="single" w:color="000000" w:sz="4" w:space="0"/>
            </w:tcBorders>
            <w:vAlign w:val="top"/>
          </w:tcPr>
          <w:p w14:paraId="74C0FD3F">
            <w:pPr>
              <w:rPr>
                <w:rFonts w:ascii="Arial"/>
                <w:sz w:val="21"/>
              </w:rPr>
            </w:pPr>
          </w:p>
        </w:tc>
        <w:tc>
          <w:tcPr>
            <w:tcW w:w="3465" w:type="dxa"/>
            <w:gridSpan w:val="6"/>
            <w:vAlign w:val="top"/>
          </w:tcPr>
          <w:p w14:paraId="606EAB89">
            <w:pPr>
              <w:rPr>
                <w:rFonts w:ascii="Arial"/>
                <w:sz w:val="21"/>
              </w:rPr>
            </w:pPr>
          </w:p>
        </w:tc>
        <w:tc>
          <w:tcPr>
            <w:tcW w:w="1388" w:type="dxa"/>
            <w:gridSpan w:val="2"/>
            <w:vAlign w:val="top"/>
          </w:tcPr>
          <w:p w14:paraId="4EA8C2AB">
            <w:pPr>
              <w:rPr>
                <w:rFonts w:ascii="Arial"/>
                <w:sz w:val="21"/>
              </w:rPr>
            </w:pPr>
          </w:p>
        </w:tc>
      </w:tr>
      <w:tr w14:paraId="39DB1DA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54" w:hRule="atLeast"/>
        </w:trPr>
        <w:tc>
          <w:tcPr>
            <w:tcW w:w="3267" w:type="dxa"/>
            <w:tcBorders>
              <w:right w:val="single" w:color="000000" w:sz="4" w:space="0"/>
            </w:tcBorders>
            <w:vAlign w:val="top"/>
          </w:tcPr>
          <w:p w14:paraId="4C029D43">
            <w:pPr>
              <w:pStyle w:val="6"/>
              <w:spacing w:before="52" w:line="196" w:lineRule="auto"/>
              <w:ind w:left="550"/>
            </w:pPr>
            <w:r>
              <w:rPr>
                <w:spacing w:val="-3"/>
              </w:rPr>
              <w:t>建筑业</w:t>
            </w:r>
          </w:p>
        </w:tc>
        <w:tc>
          <w:tcPr>
            <w:tcW w:w="600" w:type="dxa"/>
            <w:tcBorders>
              <w:left w:val="single" w:color="000000" w:sz="4" w:space="0"/>
              <w:right w:val="single" w:color="000000" w:sz="4" w:space="0"/>
            </w:tcBorders>
            <w:vAlign w:val="top"/>
          </w:tcPr>
          <w:p w14:paraId="544044DA">
            <w:pPr>
              <w:pStyle w:val="6"/>
              <w:spacing w:before="98" w:line="145" w:lineRule="exact"/>
              <w:ind w:left="208"/>
            </w:pPr>
            <w:r>
              <w:rPr>
                <w:spacing w:val="-3"/>
                <w:position w:val="-2"/>
              </w:rPr>
              <w:t>31</w:t>
            </w:r>
          </w:p>
        </w:tc>
        <w:tc>
          <w:tcPr>
            <w:tcW w:w="680" w:type="dxa"/>
            <w:tcBorders>
              <w:left w:val="single" w:color="000000" w:sz="4" w:space="0"/>
            </w:tcBorders>
            <w:vAlign w:val="top"/>
          </w:tcPr>
          <w:p w14:paraId="2CB769C9">
            <w:pPr>
              <w:rPr>
                <w:rFonts w:ascii="Arial"/>
                <w:sz w:val="21"/>
              </w:rPr>
            </w:pPr>
          </w:p>
        </w:tc>
        <w:tc>
          <w:tcPr>
            <w:tcW w:w="3465" w:type="dxa"/>
            <w:gridSpan w:val="6"/>
            <w:vAlign w:val="top"/>
          </w:tcPr>
          <w:p w14:paraId="02C6B363">
            <w:pPr>
              <w:rPr>
                <w:rFonts w:ascii="Arial"/>
                <w:sz w:val="21"/>
              </w:rPr>
            </w:pPr>
          </w:p>
        </w:tc>
        <w:tc>
          <w:tcPr>
            <w:tcW w:w="1388" w:type="dxa"/>
            <w:gridSpan w:val="2"/>
            <w:vAlign w:val="top"/>
          </w:tcPr>
          <w:p w14:paraId="6615B578">
            <w:pPr>
              <w:rPr>
                <w:rFonts w:ascii="Arial"/>
                <w:sz w:val="21"/>
              </w:rPr>
            </w:pPr>
          </w:p>
        </w:tc>
      </w:tr>
      <w:tr w14:paraId="1C852E8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54" w:hRule="atLeast"/>
        </w:trPr>
        <w:tc>
          <w:tcPr>
            <w:tcW w:w="3267" w:type="dxa"/>
            <w:tcBorders>
              <w:right w:val="single" w:color="000000" w:sz="4" w:space="0"/>
            </w:tcBorders>
            <w:vAlign w:val="top"/>
          </w:tcPr>
          <w:p w14:paraId="44741F18">
            <w:pPr>
              <w:pStyle w:val="6"/>
              <w:spacing w:before="48" w:line="201" w:lineRule="auto"/>
              <w:ind w:left="360"/>
            </w:pPr>
            <w:r>
              <w:rPr>
                <w:spacing w:val="-2"/>
              </w:rPr>
              <w:t>3.服务业*</w:t>
            </w:r>
          </w:p>
        </w:tc>
        <w:tc>
          <w:tcPr>
            <w:tcW w:w="600" w:type="dxa"/>
            <w:tcBorders>
              <w:left w:val="single" w:color="000000" w:sz="4" w:space="0"/>
              <w:right w:val="single" w:color="000000" w:sz="4" w:space="0"/>
            </w:tcBorders>
            <w:vAlign w:val="top"/>
          </w:tcPr>
          <w:p w14:paraId="4BA5AED6">
            <w:pPr>
              <w:pStyle w:val="6"/>
              <w:spacing w:before="94" w:line="149" w:lineRule="exact"/>
              <w:ind w:left="208"/>
            </w:pPr>
            <w:r>
              <w:rPr>
                <w:spacing w:val="-3"/>
                <w:position w:val="-2"/>
              </w:rPr>
              <w:t>32</w:t>
            </w:r>
          </w:p>
        </w:tc>
        <w:tc>
          <w:tcPr>
            <w:tcW w:w="680" w:type="dxa"/>
            <w:tcBorders>
              <w:left w:val="single" w:color="000000" w:sz="4" w:space="0"/>
            </w:tcBorders>
            <w:vAlign w:val="top"/>
          </w:tcPr>
          <w:p w14:paraId="15A9342B">
            <w:pPr>
              <w:rPr>
                <w:rFonts w:ascii="Arial"/>
                <w:sz w:val="21"/>
              </w:rPr>
            </w:pPr>
          </w:p>
        </w:tc>
        <w:tc>
          <w:tcPr>
            <w:tcW w:w="3465" w:type="dxa"/>
            <w:gridSpan w:val="6"/>
            <w:vAlign w:val="top"/>
          </w:tcPr>
          <w:p w14:paraId="40E38C3B">
            <w:pPr>
              <w:rPr>
                <w:rFonts w:ascii="Arial"/>
                <w:sz w:val="21"/>
              </w:rPr>
            </w:pPr>
          </w:p>
        </w:tc>
        <w:tc>
          <w:tcPr>
            <w:tcW w:w="1388" w:type="dxa"/>
            <w:gridSpan w:val="2"/>
            <w:vAlign w:val="top"/>
          </w:tcPr>
          <w:p w14:paraId="3CA50628">
            <w:pPr>
              <w:rPr>
                <w:rFonts w:ascii="Arial"/>
                <w:sz w:val="21"/>
              </w:rPr>
            </w:pPr>
          </w:p>
        </w:tc>
      </w:tr>
      <w:tr w14:paraId="44D69F6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60" w:hRule="atLeast"/>
        </w:trPr>
        <w:tc>
          <w:tcPr>
            <w:tcW w:w="3267" w:type="dxa"/>
            <w:tcBorders>
              <w:right w:val="single" w:color="000000" w:sz="4" w:space="0"/>
            </w:tcBorders>
            <w:vAlign w:val="top"/>
          </w:tcPr>
          <w:p w14:paraId="45A64F6A">
            <w:pPr>
              <w:pStyle w:val="6"/>
              <w:spacing w:before="54" w:line="201" w:lineRule="auto"/>
              <w:ind w:left="550"/>
            </w:pPr>
            <w:r>
              <w:rPr>
                <w:spacing w:val="-1"/>
              </w:rPr>
              <w:t>交通运输、仓储和邮政业</w:t>
            </w:r>
          </w:p>
        </w:tc>
        <w:tc>
          <w:tcPr>
            <w:tcW w:w="600" w:type="dxa"/>
            <w:tcBorders>
              <w:left w:val="single" w:color="000000" w:sz="4" w:space="0"/>
              <w:right w:val="single" w:color="000000" w:sz="4" w:space="0"/>
            </w:tcBorders>
            <w:vAlign w:val="top"/>
          </w:tcPr>
          <w:p w14:paraId="06CC5E06">
            <w:pPr>
              <w:pStyle w:val="6"/>
              <w:spacing w:before="110" w:line="140" w:lineRule="exact"/>
              <w:ind w:left="208"/>
            </w:pPr>
            <w:r>
              <w:rPr>
                <w:spacing w:val="-3"/>
                <w:position w:val="-2"/>
              </w:rPr>
              <w:t>33</w:t>
            </w:r>
          </w:p>
        </w:tc>
        <w:tc>
          <w:tcPr>
            <w:tcW w:w="680" w:type="dxa"/>
            <w:tcBorders>
              <w:left w:val="single" w:color="000000" w:sz="4" w:space="0"/>
            </w:tcBorders>
            <w:vAlign w:val="top"/>
          </w:tcPr>
          <w:p w14:paraId="40E7B373">
            <w:pPr>
              <w:rPr>
                <w:rFonts w:ascii="Arial"/>
                <w:sz w:val="21"/>
              </w:rPr>
            </w:pPr>
          </w:p>
        </w:tc>
        <w:tc>
          <w:tcPr>
            <w:tcW w:w="3465" w:type="dxa"/>
            <w:gridSpan w:val="6"/>
            <w:vAlign w:val="top"/>
          </w:tcPr>
          <w:p w14:paraId="21374509">
            <w:pPr>
              <w:rPr>
                <w:rFonts w:ascii="Arial"/>
                <w:sz w:val="21"/>
              </w:rPr>
            </w:pPr>
          </w:p>
        </w:tc>
        <w:tc>
          <w:tcPr>
            <w:tcW w:w="1388" w:type="dxa"/>
            <w:gridSpan w:val="2"/>
            <w:vAlign w:val="top"/>
          </w:tcPr>
          <w:p w14:paraId="211E73D0">
            <w:pPr>
              <w:rPr>
                <w:rFonts w:ascii="Arial"/>
                <w:sz w:val="21"/>
              </w:rPr>
            </w:pPr>
          </w:p>
        </w:tc>
      </w:tr>
      <w:tr w14:paraId="7701093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51" w:hRule="atLeast"/>
        </w:trPr>
        <w:tc>
          <w:tcPr>
            <w:tcW w:w="3267" w:type="dxa"/>
            <w:tcBorders>
              <w:right w:val="single" w:color="000000" w:sz="4" w:space="0"/>
            </w:tcBorders>
            <w:vAlign w:val="top"/>
          </w:tcPr>
          <w:p w14:paraId="6338BD07">
            <w:pPr>
              <w:pStyle w:val="6"/>
              <w:spacing w:before="44" w:line="202" w:lineRule="auto"/>
              <w:ind w:left="550"/>
            </w:pPr>
            <w:r>
              <w:rPr>
                <w:spacing w:val="-1"/>
              </w:rPr>
              <w:t>批发和零售业、住宿和餐饮业</w:t>
            </w:r>
          </w:p>
        </w:tc>
        <w:tc>
          <w:tcPr>
            <w:tcW w:w="600" w:type="dxa"/>
            <w:tcBorders>
              <w:left w:val="single" w:color="000000" w:sz="4" w:space="0"/>
              <w:right w:val="single" w:color="000000" w:sz="4" w:space="0"/>
            </w:tcBorders>
            <w:vAlign w:val="top"/>
          </w:tcPr>
          <w:p w14:paraId="5A9BBFE2">
            <w:pPr>
              <w:pStyle w:val="6"/>
              <w:spacing w:before="90" w:line="151" w:lineRule="exact"/>
              <w:ind w:left="208"/>
            </w:pPr>
            <w:r>
              <w:rPr>
                <w:spacing w:val="-3"/>
                <w:position w:val="-2"/>
              </w:rPr>
              <w:t>34</w:t>
            </w:r>
          </w:p>
        </w:tc>
        <w:tc>
          <w:tcPr>
            <w:tcW w:w="680" w:type="dxa"/>
            <w:tcBorders>
              <w:left w:val="single" w:color="000000" w:sz="4" w:space="0"/>
            </w:tcBorders>
            <w:vAlign w:val="top"/>
          </w:tcPr>
          <w:p w14:paraId="0B9C50A3">
            <w:pPr>
              <w:spacing w:line="241" w:lineRule="exact"/>
              <w:rPr>
                <w:rFonts w:ascii="Arial"/>
                <w:sz w:val="20"/>
              </w:rPr>
            </w:pPr>
          </w:p>
        </w:tc>
        <w:tc>
          <w:tcPr>
            <w:tcW w:w="3465" w:type="dxa"/>
            <w:gridSpan w:val="6"/>
            <w:vAlign w:val="top"/>
          </w:tcPr>
          <w:p w14:paraId="6F3DAC05">
            <w:pPr>
              <w:spacing w:line="241" w:lineRule="exact"/>
              <w:rPr>
                <w:rFonts w:ascii="Arial"/>
                <w:sz w:val="20"/>
              </w:rPr>
            </w:pPr>
          </w:p>
        </w:tc>
        <w:tc>
          <w:tcPr>
            <w:tcW w:w="1388" w:type="dxa"/>
            <w:gridSpan w:val="2"/>
            <w:vAlign w:val="top"/>
          </w:tcPr>
          <w:p w14:paraId="6A77556E">
            <w:pPr>
              <w:spacing w:line="241" w:lineRule="exact"/>
              <w:rPr>
                <w:rFonts w:ascii="Arial"/>
                <w:sz w:val="20"/>
              </w:rPr>
            </w:pPr>
          </w:p>
        </w:tc>
      </w:tr>
      <w:tr w14:paraId="757586B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65" w:hRule="atLeast"/>
        </w:trPr>
        <w:tc>
          <w:tcPr>
            <w:tcW w:w="3267" w:type="dxa"/>
            <w:tcBorders>
              <w:right w:val="single" w:color="000000" w:sz="4" w:space="0"/>
            </w:tcBorders>
            <w:vAlign w:val="top"/>
          </w:tcPr>
          <w:p w14:paraId="65F49E74">
            <w:pPr>
              <w:pStyle w:val="6"/>
              <w:spacing w:before="54" w:line="206" w:lineRule="auto"/>
              <w:ind w:left="550"/>
            </w:pPr>
            <w:r>
              <w:rPr>
                <w:spacing w:val="-2"/>
              </w:rPr>
              <w:t>其他</w:t>
            </w:r>
          </w:p>
        </w:tc>
        <w:tc>
          <w:tcPr>
            <w:tcW w:w="600" w:type="dxa"/>
            <w:tcBorders>
              <w:left w:val="single" w:color="000000" w:sz="4" w:space="0"/>
              <w:right w:val="single" w:color="000000" w:sz="4" w:space="0"/>
            </w:tcBorders>
            <w:vAlign w:val="top"/>
          </w:tcPr>
          <w:p w14:paraId="1B1A3D9C">
            <w:pPr>
              <w:pStyle w:val="6"/>
              <w:spacing w:before="109" w:line="146" w:lineRule="exact"/>
              <w:ind w:left="208"/>
            </w:pPr>
            <w:r>
              <w:rPr>
                <w:spacing w:val="-3"/>
                <w:position w:val="-2"/>
              </w:rPr>
              <w:t>35</w:t>
            </w:r>
          </w:p>
        </w:tc>
        <w:tc>
          <w:tcPr>
            <w:tcW w:w="680" w:type="dxa"/>
            <w:tcBorders>
              <w:left w:val="single" w:color="000000" w:sz="4" w:space="0"/>
            </w:tcBorders>
            <w:vAlign w:val="top"/>
          </w:tcPr>
          <w:p w14:paraId="08872599">
            <w:pPr>
              <w:rPr>
                <w:rFonts w:ascii="Arial"/>
                <w:sz w:val="21"/>
              </w:rPr>
            </w:pPr>
          </w:p>
        </w:tc>
        <w:tc>
          <w:tcPr>
            <w:tcW w:w="3465" w:type="dxa"/>
            <w:gridSpan w:val="6"/>
            <w:vAlign w:val="top"/>
          </w:tcPr>
          <w:p w14:paraId="20C4CD89">
            <w:pPr>
              <w:rPr>
                <w:rFonts w:ascii="Arial"/>
                <w:sz w:val="21"/>
              </w:rPr>
            </w:pPr>
          </w:p>
        </w:tc>
        <w:tc>
          <w:tcPr>
            <w:tcW w:w="1388" w:type="dxa"/>
            <w:gridSpan w:val="2"/>
            <w:vAlign w:val="top"/>
          </w:tcPr>
          <w:p w14:paraId="54B49A34">
            <w:pPr>
              <w:rPr>
                <w:rFonts w:ascii="Arial"/>
                <w:sz w:val="21"/>
              </w:rPr>
            </w:pPr>
          </w:p>
        </w:tc>
      </w:tr>
      <w:tr w14:paraId="133A0D7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54" w:hRule="atLeast"/>
        </w:trPr>
        <w:tc>
          <w:tcPr>
            <w:tcW w:w="3267" w:type="dxa"/>
            <w:tcBorders>
              <w:right w:val="single" w:color="000000" w:sz="4" w:space="0"/>
            </w:tcBorders>
            <w:vAlign w:val="top"/>
          </w:tcPr>
          <w:p w14:paraId="627CAB19">
            <w:pPr>
              <w:pStyle w:val="6"/>
              <w:spacing w:before="48" w:line="200" w:lineRule="auto"/>
              <w:ind w:left="360"/>
            </w:pPr>
            <w:r>
              <w:rPr>
                <w:spacing w:val="-2"/>
              </w:rPr>
              <w:t>4.居民生活</w:t>
            </w:r>
          </w:p>
        </w:tc>
        <w:tc>
          <w:tcPr>
            <w:tcW w:w="600" w:type="dxa"/>
            <w:tcBorders>
              <w:left w:val="single" w:color="000000" w:sz="4" w:space="0"/>
              <w:right w:val="single" w:color="000000" w:sz="4" w:space="0"/>
            </w:tcBorders>
            <w:vAlign w:val="top"/>
          </w:tcPr>
          <w:p w14:paraId="1EA832B2">
            <w:pPr>
              <w:pStyle w:val="6"/>
              <w:spacing w:before="104" w:line="139" w:lineRule="exact"/>
              <w:ind w:left="208"/>
            </w:pPr>
            <w:r>
              <w:rPr>
                <w:spacing w:val="-3"/>
                <w:position w:val="-2"/>
              </w:rPr>
              <w:t>36</w:t>
            </w:r>
          </w:p>
        </w:tc>
        <w:tc>
          <w:tcPr>
            <w:tcW w:w="680" w:type="dxa"/>
            <w:tcBorders>
              <w:left w:val="single" w:color="000000" w:sz="4" w:space="0"/>
            </w:tcBorders>
            <w:vAlign w:val="top"/>
          </w:tcPr>
          <w:p w14:paraId="032015F1">
            <w:pPr>
              <w:rPr>
                <w:rFonts w:ascii="Arial"/>
                <w:sz w:val="21"/>
              </w:rPr>
            </w:pPr>
          </w:p>
        </w:tc>
        <w:tc>
          <w:tcPr>
            <w:tcW w:w="3465" w:type="dxa"/>
            <w:gridSpan w:val="6"/>
            <w:vAlign w:val="top"/>
          </w:tcPr>
          <w:p w14:paraId="57890AA7">
            <w:pPr>
              <w:rPr>
                <w:rFonts w:ascii="Arial"/>
                <w:sz w:val="21"/>
              </w:rPr>
            </w:pPr>
          </w:p>
        </w:tc>
        <w:tc>
          <w:tcPr>
            <w:tcW w:w="1388" w:type="dxa"/>
            <w:gridSpan w:val="2"/>
            <w:vAlign w:val="top"/>
          </w:tcPr>
          <w:p w14:paraId="51447E39">
            <w:pPr>
              <w:rPr>
                <w:rFonts w:ascii="Arial"/>
                <w:sz w:val="21"/>
              </w:rPr>
            </w:pPr>
          </w:p>
        </w:tc>
      </w:tr>
      <w:tr w14:paraId="6CAF004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59" w:hRule="atLeast"/>
        </w:trPr>
        <w:tc>
          <w:tcPr>
            <w:tcW w:w="3267" w:type="dxa"/>
            <w:tcBorders>
              <w:right w:val="single" w:color="000000" w:sz="4" w:space="0"/>
            </w:tcBorders>
            <w:vAlign w:val="top"/>
          </w:tcPr>
          <w:p w14:paraId="05685D61">
            <w:pPr>
              <w:pStyle w:val="6"/>
              <w:spacing w:before="44" w:line="210" w:lineRule="auto"/>
              <w:ind w:left="550"/>
            </w:pPr>
            <w:r>
              <w:rPr>
                <w:spacing w:val="-2"/>
              </w:rPr>
              <w:t>城镇</w:t>
            </w:r>
          </w:p>
        </w:tc>
        <w:tc>
          <w:tcPr>
            <w:tcW w:w="600" w:type="dxa"/>
            <w:tcBorders>
              <w:left w:val="single" w:color="000000" w:sz="4" w:space="0"/>
              <w:right w:val="single" w:color="000000" w:sz="4" w:space="0"/>
            </w:tcBorders>
            <w:vAlign w:val="top"/>
          </w:tcPr>
          <w:p w14:paraId="38955D7C">
            <w:pPr>
              <w:pStyle w:val="6"/>
              <w:spacing w:before="110" w:line="138" w:lineRule="exact"/>
              <w:ind w:left="208"/>
            </w:pPr>
            <w:r>
              <w:rPr>
                <w:spacing w:val="-3"/>
                <w:position w:val="-2"/>
              </w:rPr>
              <w:t>37</w:t>
            </w:r>
          </w:p>
        </w:tc>
        <w:tc>
          <w:tcPr>
            <w:tcW w:w="680" w:type="dxa"/>
            <w:tcBorders>
              <w:left w:val="single" w:color="000000" w:sz="4" w:space="0"/>
            </w:tcBorders>
            <w:vAlign w:val="top"/>
          </w:tcPr>
          <w:p w14:paraId="59C335C9">
            <w:pPr>
              <w:rPr>
                <w:rFonts w:ascii="Arial"/>
                <w:sz w:val="21"/>
              </w:rPr>
            </w:pPr>
          </w:p>
        </w:tc>
        <w:tc>
          <w:tcPr>
            <w:tcW w:w="3465" w:type="dxa"/>
            <w:gridSpan w:val="6"/>
            <w:vAlign w:val="top"/>
          </w:tcPr>
          <w:p w14:paraId="32D22576">
            <w:pPr>
              <w:rPr>
                <w:rFonts w:ascii="Arial"/>
                <w:sz w:val="21"/>
              </w:rPr>
            </w:pPr>
          </w:p>
        </w:tc>
        <w:tc>
          <w:tcPr>
            <w:tcW w:w="1388" w:type="dxa"/>
            <w:gridSpan w:val="2"/>
            <w:vAlign w:val="top"/>
          </w:tcPr>
          <w:p w14:paraId="55333BB9">
            <w:pPr>
              <w:rPr>
                <w:rFonts w:ascii="Arial"/>
                <w:sz w:val="21"/>
              </w:rPr>
            </w:pPr>
          </w:p>
        </w:tc>
      </w:tr>
      <w:tr w14:paraId="0DEB5A4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56" w:hRule="atLeast"/>
        </w:trPr>
        <w:tc>
          <w:tcPr>
            <w:tcW w:w="3267" w:type="dxa"/>
            <w:tcBorders>
              <w:right w:val="single" w:color="000000" w:sz="4" w:space="0"/>
            </w:tcBorders>
            <w:vAlign w:val="top"/>
          </w:tcPr>
          <w:p w14:paraId="4F8E3677">
            <w:pPr>
              <w:pStyle w:val="6"/>
              <w:spacing w:before="44" w:line="207" w:lineRule="auto"/>
              <w:ind w:left="550"/>
            </w:pPr>
            <w:r>
              <w:rPr>
                <w:spacing w:val="4"/>
              </w:rPr>
              <w:t>乡村</w:t>
            </w:r>
          </w:p>
        </w:tc>
        <w:tc>
          <w:tcPr>
            <w:tcW w:w="600" w:type="dxa"/>
            <w:tcBorders>
              <w:left w:val="single" w:color="000000" w:sz="4" w:space="0"/>
              <w:right w:val="single" w:color="000000" w:sz="4" w:space="0"/>
            </w:tcBorders>
            <w:vAlign w:val="top"/>
          </w:tcPr>
          <w:p w14:paraId="036F0221">
            <w:pPr>
              <w:pStyle w:val="6"/>
              <w:spacing w:before="101" w:line="145" w:lineRule="exact"/>
              <w:ind w:left="208"/>
            </w:pPr>
            <w:r>
              <w:rPr>
                <w:spacing w:val="-3"/>
                <w:position w:val="-2"/>
              </w:rPr>
              <w:t>38</w:t>
            </w:r>
          </w:p>
        </w:tc>
        <w:tc>
          <w:tcPr>
            <w:tcW w:w="680" w:type="dxa"/>
            <w:tcBorders>
              <w:left w:val="single" w:color="000000" w:sz="4" w:space="0"/>
            </w:tcBorders>
            <w:vAlign w:val="top"/>
          </w:tcPr>
          <w:p w14:paraId="68DABDAF">
            <w:pPr>
              <w:rPr>
                <w:rFonts w:ascii="Arial"/>
                <w:sz w:val="21"/>
              </w:rPr>
            </w:pPr>
          </w:p>
        </w:tc>
        <w:tc>
          <w:tcPr>
            <w:tcW w:w="3465" w:type="dxa"/>
            <w:gridSpan w:val="6"/>
            <w:vAlign w:val="top"/>
          </w:tcPr>
          <w:p w14:paraId="55E1AC80">
            <w:pPr>
              <w:rPr>
                <w:rFonts w:ascii="Arial"/>
                <w:sz w:val="21"/>
              </w:rPr>
            </w:pPr>
          </w:p>
        </w:tc>
        <w:tc>
          <w:tcPr>
            <w:tcW w:w="1388" w:type="dxa"/>
            <w:gridSpan w:val="2"/>
            <w:vAlign w:val="top"/>
          </w:tcPr>
          <w:p w14:paraId="7B146ED9">
            <w:pPr>
              <w:rPr>
                <w:rFonts w:ascii="Arial"/>
                <w:sz w:val="21"/>
              </w:rPr>
            </w:pPr>
          </w:p>
        </w:tc>
      </w:tr>
      <w:tr w14:paraId="2AFDFBD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46" w:hRule="atLeast"/>
        </w:trPr>
        <w:tc>
          <w:tcPr>
            <w:tcW w:w="3267" w:type="dxa"/>
            <w:tcBorders>
              <w:right w:val="single" w:color="000000" w:sz="4" w:space="0"/>
            </w:tcBorders>
            <w:vAlign w:val="top"/>
          </w:tcPr>
          <w:p w14:paraId="56690BF1">
            <w:pPr>
              <w:pStyle w:val="6"/>
              <w:spacing w:before="48" w:line="192" w:lineRule="auto"/>
              <w:ind w:left="110"/>
            </w:pPr>
            <w:r>
              <w:rPr>
                <w:spacing w:val="-8"/>
              </w:rPr>
              <w:t>五、平衡差额(+、</w:t>
            </w:r>
            <w:r>
              <w:rPr>
                <w:spacing w:val="36"/>
              </w:rPr>
              <w:t xml:space="preserve"> </w:t>
            </w:r>
            <w:r>
              <w:rPr>
                <w:spacing w:val="-8"/>
              </w:rPr>
              <w:t>-)</w:t>
            </w:r>
          </w:p>
        </w:tc>
        <w:tc>
          <w:tcPr>
            <w:tcW w:w="600" w:type="dxa"/>
            <w:tcBorders>
              <w:left w:val="single" w:color="000000" w:sz="4" w:space="0"/>
              <w:right w:val="single" w:color="000000" w:sz="4" w:space="0"/>
            </w:tcBorders>
            <w:vAlign w:val="top"/>
          </w:tcPr>
          <w:p w14:paraId="2E749546">
            <w:pPr>
              <w:pStyle w:val="6"/>
              <w:spacing w:before="85" w:line="151" w:lineRule="exact"/>
              <w:ind w:left="208"/>
            </w:pPr>
            <w:r>
              <w:rPr>
                <w:spacing w:val="-3"/>
                <w:position w:val="-2"/>
              </w:rPr>
              <w:t>39</w:t>
            </w:r>
          </w:p>
        </w:tc>
        <w:tc>
          <w:tcPr>
            <w:tcW w:w="680" w:type="dxa"/>
            <w:tcBorders>
              <w:left w:val="single" w:color="000000" w:sz="4" w:space="0"/>
            </w:tcBorders>
            <w:vAlign w:val="top"/>
          </w:tcPr>
          <w:p w14:paraId="1E33475C">
            <w:pPr>
              <w:spacing w:line="236" w:lineRule="exact"/>
              <w:rPr>
                <w:rFonts w:ascii="Arial"/>
                <w:sz w:val="20"/>
              </w:rPr>
            </w:pPr>
          </w:p>
        </w:tc>
        <w:tc>
          <w:tcPr>
            <w:tcW w:w="3465" w:type="dxa"/>
            <w:gridSpan w:val="6"/>
            <w:vAlign w:val="top"/>
          </w:tcPr>
          <w:p w14:paraId="61C5E7D6">
            <w:pPr>
              <w:spacing w:line="236" w:lineRule="exact"/>
              <w:rPr>
                <w:rFonts w:ascii="Arial"/>
                <w:sz w:val="20"/>
              </w:rPr>
            </w:pPr>
          </w:p>
        </w:tc>
        <w:tc>
          <w:tcPr>
            <w:tcW w:w="1388" w:type="dxa"/>
            <w:gridSpan w:val="2"/>
            <w:vAlign w:val="top"/>
          </w:tcPr>
          <w:p w14:paraId="4EB96175">
            <w:pPr>
              <w:spacing w:line="236" w:lineRule="exact"/>
              <w:rPr>
                <w:rFonts w:ascii="Arial"/>
                <w:sz w:val="20"/>
              </w:rPr>
            </w:pPr>
          </w:p>
        </w:tc>
      </w:tr>
      <w:tr w14:paraId="71257D1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39" w:hRule="atLeast"/>
        </w:trPr>
        <w:tc>
          <w:tcPr>
            <w:tcW w:w="3267" w:type="dxa"/>
            <w:tcBorders>
              <w:bottom w:val="single" w:color="000000" w:sz="4" w:space="0"/>
              <w:right w:val="single" w:color="000000" w:sz="4" w:space="0"/>
            </w:tcBorders>
            <w:vAlign w:val="top"/>
          </w:tcPr>
          <w:p w14:paraId="4300B5D0">
            <w:pPr>
              <w:pStyle w:val="6"/>
              <w:spacing w:before="43" w:line="190" w:lineRule="auto"/>
              <w:ind w:left="90"/>
            </w:pPr>
            <w:r>
              <w:rPr>
                <w:spacing w:val="-2"/>
              </w:rPr>
              <w:t>六、消费量合计</w:t>
            </w:r>
          </w:p>
        </w:tc>
        <w:tc>
          <w:tcPr>
            <w:tcW w:w="600" w:type="dxa"/>
            <w:tcBorders>
              <w:left w:val="single" w:color="000000" w:sz="4" w:space="0"/>
              <w:bottom w:val="single" w:color="000000" w:sz="4" w:space="0"/>
              <w:right w:val="single" w:color="000000" w:sz="4" w:space="0"/>
            </w:tcBorders>
            <w:vAlign w:val="top"/>
          </w:tcPr>
          <w:p w14:paraId="5DDEC3B0">
            <w:pPr>
              <w:pStyle w:val="6"/>
              <w:spacing w:before="89" w:line="139" w:lineRule="exact"/>
              <w:ind w:left="208"/>
            </w:pPr>
            <w:r>
              <w:rPr>
                <w:spacing w:val="-2"/>
                <w:position w:val="-2"/>
              </w:rPr>
              <w:t>40</w:t>
            </w:r>
          </w:p>
        </w:tc>
        <w:tc>
          <w:tcPr>
            <w:tcW w:w="5533" w:type="dxa"/>
            <w:gridSpan w:val="9"/>
            <w:tcBorders>
              <w:left w:val="single" w:color="000000" w:sz="4" w:space="0"/>
              <w:bottom w:val="single" w:color="000000" w:sz="4" w:space="0"/>
            </w:tcBorders>
            <w:vAlign w:val="top"/>
          </w:tcPr>
          <w:p w14:paraId="3E00F0BA">
            <w:pPr>
              <w:spacing w:line="228" w:lineRule="exact"/>
              <w:rPr>
                <w:rFonts w:ascii="Arial"/>
                <w:sz w:val="19"/>
              </w:rPr>
            </w:pPr>
          </w:p>
        </w:tc>
      </w:tr>
    </w:tbl>
    <w:p w14:paraId="7FD76C2E">
      <w:pPr>
        <w:pStyle w:val="2"/>
        <w:spacing w:line="14" w:lineRule="auto"/>
        <w:rPr>
          <w:sz w:val="2"/>
        </w:rPr>
      </w:pPr>
    </w:p>
    <w:p w14:paraId="574E5222">
      <w:pPr>
        <w:spacing w:line="14" w:lineRule="auto"/>
        <w:rPr>
          <w:sz w:val="2"/>
          <w:szCs w:val="2"/>
        </w:rPr>
        <w:sectPr>
          <w:type w:val="continuous"/>
          <w:pgSz w:w="11910" w:h="16840"/>
          <w:pgMar w:top="1052" w:right="1249" w:bottom="0" w:left="1224" w:header="876" w:footer="0" w:gutter="0"/>
          <w:cols w:equalWidth="0" w:num="1">
            <w:col w:w="9436"/>
          </w:cols>
        </w:sectPr>
      </w:pPr>
    </w:p>
    <w:p w14:paraId="35456462">
      <w:pPr>
        <w:pStyle w:val="2"/>
        <w:spacing w:line="250" w:lineRule="auto"/>
      </w:pPr>
      <w:r>
        <w:drawing>
          <wp:anchor distT="0" distB="0" distL="0" distR="0" simplePos="0" relativeHeight="251679744" behindDoc="0" locked="0" layoutInCell="0" allowOverlap="1">
            <wp:simplePos x="0" y="0"/>
            <wp:positionH relativeFrom="page">
              <wp:posOffset>768350</wp:posOffset>
            </wp:positionH>
            <wp:positionV relativeFrom="page">
              <wp:posOffset>1917065</wp:posOffset>
            </wp:positionV>
            <wp:extent cx="6019800" cy="6350"/>
            <wp:effectExtent l="0" t="0" r="0" b="0"/>
            <wp:wrapNone/>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92"/>
                    <a:stretch>
                      <a:fillRect/>
                    </a:stretch>
                  </pic:blipFill>
                  <pic:spPr>
                    <a:xfrm>
                      <a:off x="0" y="0"/>
                      <a:ext cx="6019800" cy="6415"/>
                    </a:xfrm>
                    <a:prstGeom prst="rect">
                      <a:avLst/>
                    </a:prstGeom>
                  </pic:spPr>
                </pic:pic>
              </a:graphicData>
            </a:graphic>
          </wp:anchor>
        </w:drawing>
      </w:r>
      <w:r>
        <w:drawing>
          <wp:anchor distT="0" distB="0" distL="0" distR="0" simplePos="0" relativeHeight="251681792" behindDoc="0" locked="0" layoutInCell="0" allowOverlap="1">
            <wp:simplePos x="0" y="0"/>
            <wp:positionH relativeFrom="page">
              <wp:posOffset>768350</wp:posOffset>
            </wp:positionH>
            <wp:positionV relativeFrom="page">
              <wp:posOffset>3053715</wp:posOffset>
            </wp:positionV>
            <wp:extent cx="6019800" cy="6350"/>
            <wp:effectExtent l="0" t="0" r="0" b="0"/>
            <wp:wrapNone/>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93"/>
                    <a:stretch>
                      <a:fillRect/>
                    </a:stretch>
                  </pic:blipFill>
                  <pic:spPr>
                    <a:xfrm>
                      <a:off x="0" y="0"/>
                      <a:ext cx="6019800" cy="6350"/>
                    </a:xfrm>
                    <a:prstGeom prst="rect">
                      <a:avLst/>
                    </a:prstGeom>
                  </pic:spPr>
                </pic:pic>
              </a:graphicData>
            </a:graphic>
          </wp:anchor>
        </w:drawing>
      </w:r>
      <w:r>
        <w:drawing>
          <wp:anchor distT="0" distB="0" distL="0" distR="0" simplePos="0" relativeHeight="251680768" behindDoc="0" locked="0" layoutInCell="0" allowOverlap="1">
            <wp:simplePos x="0" y="0"/>
            <wp:positionH relativeFrom="page">
              <wp:posOffset>755650</wp:posOffset>
            </wp:positionH>
            <wp:positionV relativeFrom="page">
              <wp:posOffset>4076700</wp:posOffset>
            </wp:positionV>
            <wp:extent cx="6045200" cy="6350"/>
            <wp:effectExtent l="0" t="0" r="0" b="0"/>
            <wp:wrapNone/>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94"/>
                    <a:stretch>
                      <a:fillRect/>
                    </a:stretch>
                  </pic:blipFill>
                  <pic:spPr>
                    <a:xfrm>
                      <a:off x="0" y="0"/>
                      <a:ext cx="6045137" cy="6350"/>
                    </a:xfrm>
                    <a:prstGeom prst="rect">
                      <a:avLst/>
                    </a:prstGeom>
                  </pic:spPr>
                </pic:pic>
              </a:graphicData>
            </a:graphic>
          </wp:anchor>
        </w:drawing>
      </w:r>
    </w:p>
    <w:p w14:paraId="122BB9F4">
      <w:pPr>
        <w:pStyle w:val="2"/>
        <w:spacing w:line="251" w:lineRule="auto"/>
      </w:pPr>
    </w:p>
    <w:p w14:paraId="1C2918F6">
      <w:pPr>
        <w:spacing w:before="58" w:line="220" w:lineRule="auto"/>
        <w:ind w:left="49"/>
        <w:rPr>
          <w:rFonts w:ascii="宋体" w:hAnsi="宋体" w:eastAsia="宋体" w:cs="宋体"/>
          <w:sz w:val="18"/>
          <w:szCs w:val="18"/>
        </w:rPr>
      </w:pPr>
      <w:bookmarkStart w:id="13" w:name="bookmark16"/>
      <w:bookmarkEnd w:id="13"/>
      <w:bookmarkStart w:id="14" w:name="bookmark18"/>
      <w:bookmarkEnd w:id="14"/>
      <w:bookmarkStart w:id="15" w:name="bookmark17"/>
      <w:bookmarkEnd w:id="15"/>
      <w:r>
        <w:rPr>
          <w:rFonts w:ascii="宋体" w:hAnsi="宋体" w:eastAsia="宋体" w:cs="宋体"/>
          <w:sz w:val="18"/>
          <w:szCs w:val="18"/>
        </w:rPr>
        <w:t>续表一</w:t>
      </w:r>
    </w:p>
    <w:p w14:paraId="5ED84453">
      <w:pPr>
        <w:spacing w:line="130" w:lineRule="auto"/>
        <w:rPr>
          <w:rFonts w:ascii="Arial"/>
          <w:sz w:val="2"/>
        </w:rPr>
      </w:pPr>
    </w:p>
    <w:tbl>
      <w:tblPr>
        <w:tblStyle w:val="5"/>
        <w:tblW w:w="9430" w:type="dxa"/>
        <w:tblInd w:w="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0"/>
        <w:gridCol w:w="870"/>
        <w:gridCol w:w="890"/>
        <w:gridCol w:w="950"/>
        <w:gridCol w:w="960"/>
        <w:gridCol w:w="970"/>
        <w:gridCol w:w="950"/>
        <w:gridCol w:w="1150"/>
        <w:gridCol w:w="890"/>
        <w:gridCol w:w="920"/>
      </w:tblGrid>
      <w:tr w14:paraId="6E0688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880" w:type="dxa"/>
            <w:tcBorders>
              <w:left w:val="nil"/>
            </w:tcBorders>
            <w:vAlign w:val="top"/>
          </w:tcPr>
          <w:p w14:paraId="43F2C1A9">
            <w:pPr>
              <w:pStyle w:val="6"/>
              <w:spacing w:before="83" w:line="238" w:lineRule="auto"/>
              <w:ind w:left="170" w:right="125"/>
            </w:pPr>
            <w:r>
              <w:rPr>
                <w:spacing w:val="6"/>
              </w:rPr>
              <w:t>煤制品</w:t>
            </w:r>
            <w:r>
              <w:t xml:space="preserve"> </w:t>
            </w:r>
            <w:r>
              <w:rPr>
                <w:spacing w:val="9"/>
              </w:rPr>
              <w:t>(万吨)</w:t>
            </w:r>
          </w:p>
        </w:tc>
        <w:tc>
          <w:tcPr>
            <w:tcW w:w="870" w:type="dxa"/>
            <w:vAlign w:val="top"/>
          </w:tcPr>
          <w:p w14:paraId="1CCF9E08">
            <w:pPr>
              <w:pStyle w:val="6"/>
              <w:spacing w:before="82" w:line="228" w:lineRule="auto"/>
              <w:ind w:left="155" w:right="125"/>
            </w:pPr>
            <w:r>
              <w:rPr>
                <w:spacing w:val="-3"/>
              </w:rPr>
              <w:t>煤矸石</w:t>
            </w:r>
            <w:r>
              <w:t xml:space="preserve"> </w:t>
            </w:r>
            <w:r>
              <w:rPr>
                <w:spacing w:val="9"/>
              </w:rPr>
              <w:t>(万吨)</w:t>
            </w:r>
          </w:p>
        </w:tc>
        <w:tc>
          <w:tcPr>
            <w:tcW w:w="890" w:type="dxa"/>
            <w:vAlign w:val="top"/>
          </w:tcPr>
          <w:p w14:paraId="3EBE59F4">
            <w:pPr>
              <w:pStyle w:val="6"/>
              <w:spacing w:before="82" w:line="228" w:lineRule="auto"/>
              <w:ind w:left="165" w:right="135"/>
            </w:pPr>
            <w:r>
              <w:rPr>
                <w:spacing w:val="-9"/>
              </w:rPr>
              <w:t>焦</w:t>
            </w:r>
            <w:r>
              <w:rPr>
                <w:spacing w:val="4"/>
              </w:rPr>
              <w:t xml:space="preserve">  </w:t>
            </w:r>
            <w:r>
              <w:rPr>
                <w:spacing w:val="-9"/>
              </w:rPr>
              <w:t>炭</w:t>
            </w:r>
            <w:r>
              <w:rPr>
                <w:spacing w:val="1"/>
              </w:rPr>
              <w:t xml:space="preserve"> </w:t>
            </w:r>
            <w:r>
              <w:rPr>
                <w:spacing w:val="9"/>
              </w:rPr>
              <w:t>(万吨)</w:t>
            </w:r>
          </w:p>
        </w:tc>
        <w:tc>
          <w:tcPr>
            <w:tcW w:w="950" w:type="dxa"/>
            <w:vAlign w:val="top"/>
          </w:tcPr>
          <w:p w14:paraId="013D08D4">
            <w:pPr>
              <w:pStyle w:val="6"/>
              <w:spacing w:before="83" w:line="238" w:lineRule="auto"/>
              <w:ind w:left="15" w:firstLine="88"/>
            </w:pPr>
            <w:r>
              <w:rPr>
                <w:spacing w:val="-5"/>
              </w:rPr>
              <w:t>焦炉煤气</w:t>
            </w:r>
            <w:r>
              <w:t xml:space="preserve">  </w:t>
            </w:r>
            <w:r>
              <w:rPr>
                <w:spacing w:val="4"/>
              </w:rPr>
              <w:t>(亿立方米)</w:t>
            </w:r>
          </w:p>
        </w:tc>
        <w:tc>
          <w:tcPr>
            <w:tcW w:w="960" w:type="dxa"/>
            <w:vAlign w:val="top"/>
          </w:tcPr>
          <w:p w14:paraId="232516F1">
            <w:pPr>
              <w:pStyle w:val="6"/>
              <w:spacing w:before="81" w:line="239" w:lineRule="auto"/>
              <w:ind w:left="25" w:firstLine="88"/>
            </w:pPr>
            <w:r>
              <w:t xml:space="preserve">高炉煤气  </w:t>
            </w:r>
            <w:r>
              <w:rPr>
                <w:spacing w:val="4"/>
              </w:rPr>
              <w:t>(亿立方米)</w:t>
            </w:r>
          </w:p>
        </w:tc>
        <w:tc>
          <w:tcPr>
            <w:tcW w:w="970" w:type="dxa"/>
            <w:vAlign w:val="top"/>
          </w:tcPr>
          <w:p w14:paraId="7644D492">
            <w:pPr>
              <w:pStyle w:val="6"/>
              <w:spacing w:before="82" w:line="238" w:lineRule="auto"/>
              <w:ind w:left="24" w:firstLine="89"/>
            </w:pPr>
            <w:r>
              <w:rPr>
                <w:spacing w:val="-3"/>
              </w:rPr>
              <w:t>转炉煤气</w:t>
            </w:r>
            <w:r>
              <w:t xml:space="preserve">  </w:t>
            </w:r>
            <w:r>
              <w:rPr>
                <w:spacing w:val="5"/>
              </w:rPr>
              <w:t>(亿立方米)</w:t>
            </w:r>
          </w:p>
        </w:tc>
        <w:tc>
          <w:tcPr>
            <w:tcW w:w="950" w:type="dxa"/>
            <w:vAlign w:val="top"/>
          </w:tcPr>
          <w:p w14:paraId="1C423D4B">
            <w:pPr>
              <w:pStyle w:val="6"/>
              <w:spacing w:before="83" w:line="238" w:lineRule="auto"/>
              <w:ind w:left="15" w:firstLine="88"/>
            </w:pPr>
            <w:r>
              <w:rPr>
                <w:spacing w:val="-5"/>
              </w:rPr>
              <w:t>其他煤气</w:t>
            </w:r>
            <w:r>
              <w:t xml:space="preserve">  </w:t>
            </w:r>
            <w:r>
              <w:rPr>
                <w:spacing w:val="4"/>
              </w:rPr>
              <w:t>(亿立方米)</w:t>
            </w:r>
          </w:p>
        </w:tc>
        <w:tc>
          <w:tcPr>
            <w:tcW w:w="1150" w:type="dxa"/>
            <w:vAlign w:val="top"/>
          </w:tcPr>
          <w:p w14:paraId="4813ED9E">
            <w:pPr>
              <w:pStyle w:val="6"/>
              <w:spacing w:before="92" w:line="219" w:lineRule="auto"/>
              <w:ind w:left="25"/>
            </w:pPr>
            <w:r>
              <w:rPr>
                <w:spacing w:val="3"/>
              </w:rPr>
              <w:t>其他焦化产品</w:t>
            </w:r>
          </w:p>
          <w:p w14:paraId="63003A39">
            <w:pPr>
              <w:pStyle w:val="6"/>
              <w:spacing w:before="37" w:line="210" w:lineRule="auto"/>
              <w:ind w:left="295"/>
            </w:pPr>
            <w:r>
              <w:rPr>
                <w:spacing w:val="9"/>
              </w:rPr>
              <w:t>(万吨)</w:t>
            </w:r>
          </w:p>
        </w:tc>
        <w:tc>
          <w:tcPr>
            <w:tcW w:w="890" w:type="dxa"/>
            <w:vAlign w:val="top"/>
          </w:tcPr>
          <w:p w14:paraId="408022F7">
            <w:pPr>
              <w:pStyle w:val="6"/>
              <w:spacing w:before="83" w:line="221" w:lineRule="auto"/>
              <w:ind w:left="75"/>
            </w:pPr>
            <w:r>
              <w:rPr>
                <w:spacing w:val="-2"/>
              </w:rPr>
              <w:t>油品合计</w:t>
            </w:r>
          </w:p>
          <w:p w14:paraId="467A4D29">
            <w:pPr>
              <w:pStyle w:val="6"/>
              <w:spacing w:before="44" w:line="210" w:lineRule="auto"/>
              <w:ind w:left="165"/>
            </w:pPr>
            <w:r>
              <w:rPr>
                <w:spacing w:val="9"/>
              </w:rPr>
              <w:t>(万吨)</w:t>
            </w:r>
          </w:p>
        </w:tc>
        <w:tc>
          <w:tcPr>
            <w:tcW w:w="920" w:type="dxa"/>
            <w:tcBorders>
              <w:right w:val="nil"/>
            </w:tcBorders>
            <w:vAlign w:val="top"/>
          </w:tcPr>
          <w:p w14:paraId="2D27CE95">
            <w:pPr>
              <w:pStyle w:val="6"/>
              <w:spacing w:before="96" w:line="226" w:lineRule="auto"/>
              <w:ind w:left="185" w:right="150"/>
            </w:pPr>
            <w:r>
              <w:rPr>
                <w:spacing w:val="-11"/>
              </w:rPr>
              <w:t>原</w:t>
            </w:r>
            <w:r>
              <w:rPr>
                <w:spacing w:val="20"/>
              </w:rPr>
              <w:t xml:space="preserve">  </w:t>
            </w:r>
            <w:r>
              <w:rPr>
                <w:spacing w:val="-11"/>
              </w:rPr>
              <w:t>油</w:t>
            </w:r>
            <w:r>
              <w:t xml:space="preserve"> </w:t>
            </w:r>
            <w:r>
              <w:rPr>
                <w:spacing w:val="9"/>
              </w:rPr>
              <w:t>(万吨)</w:t>
            </w:r>
          </w:p>
        </w:tc>
      </w:tr>
      <w:tr w14:paraId="1308F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880" w:type="dxa"/>
            <w:tcBorders>
              <w:left w:val="nil"/>
            </w:tcBorders>
            <w:vAlign w:val="top"/>
          </w:tcPr>
          <w:p w14:paraId="5A25A8B7">
            <w:pPr>
              <w:pStyle w:val="6"/>
              <w:spacing w:before="90" w:line="151" w:lineRule="exact"/>
              <w:ind w:left="390"/>
            </w:pPr>
            <w:r>
              <w:rPr>
                <w:position w:val="-2"/>
              </w:rPr>
              <w:t>9</w:t>
            </w:r>
          </w:p>
        </w:tc>
        <w:tc>
          <w:tcPr>
            <w:tcW w:w="870" w:type="dxa"/>
            <w:vAlign w:val="top"/>
          </w:tcPr>
          <w:p w14:paraId="101F2948">
            <w:pPr>
              <w:pStyle w:val="6"/>
              <w:spacing w:before="100" w:line="141" w:lineRule="exact"/>
              <w:ind w:left="335"/>
            </w:pPr>
            <w:r>
              <w:rPr>
                <w:spacing w:val="-6"/>
                <w:position w:val="-2"/>
              </w:rPr>
              <w:t>10</w:t>
            </w:r>
          </w:p>
        </w:tc>
        <w:tc>
          <w:tcPr>
            <w:tcW w:w="890" w:type="dxa"/>
            <w:vAlign w:val="top"/>
          </w:tcPr>
          <w:p w14:paraId="51C98EC1">
            <w:pPr>
              <w:pStyle w:val="6"/>
              <w:spacing w:before="100" w:line="141" w:lineRule="exact"/>
              <w:ind w:left="345"/>
            </w:pPr>
            <w:r>
              <w:rPr>
                <w:spacing w:val="-6"/>
                <w:position w:val="-2"/>
              </w:rPr>
              <w:t>11</w:t>
            </w:r>
          </w:p>
        </w:tc>
        <w:tc>
          <w:tcPr>
            <w:tcW w:w="950" w:type="dxa"/>
            <w:vAlign w:val="top"/>
          </w:tcPr>
          <w:p w14:paraId="4EBAFB68">
            <w:pPr>
              <w:pStyle w:val="6"/>
              <w:spacing w:before="100" w:line="141" w:lineRule="exact"/>
              <w:ind w:left="375"/>
            </w:pPr>
            <w:r>
              <w:rPr>
                <w:spacing w:val="-6"/>
                <w:position w:val="-2"/>
              </w:rPr>
              <w:t>12</w:t>
            </w:r>
          </w:p>
        </w:tc>
        <w:tc>
          <w:tcPr>
            <w:tcW w:w="960" w:type="dxa"/>
            <w:vAlign w:val="top"/>
          </w:tcPr>
          <w:p w14:paraId="64FAE9D1">
            <w:pPr>
              <w:pStyle w:val="6"/>
              <w:spacing w:before="100" w:line="141" w:lineRule="exact"/>
              <w:ind w:left="385"/>
            </w:pPr>
            <w:r>
              <w:rPr>
                <w:spacing w:val="-6"/>
                <w:position w:val="-2"/>
              </w:rPr>
              <w:t>13</w:t>
            </w:r>
          </w:p>
        </w:tc>
        <w:tc>
          <w:tcPr>
            <w:tcW w:w="970" w:type="dxa"/>
            <w:vAlign w:val="top"/>
          </w:tcPr>
          <w:p w14:paraId="059D825F">
            <w:pPr>
              <w:pStyle w:val="6"/>
              <w:spacing w:before="100" w:line="141" w:lineRule="exact"/>
              <w:ind w:left="385"/>
            </w:pPr>
            <w:r>
              <w:rPr>
                <w:spacing w:val="-6"/>
                <w:position w:val="-2"/>
              </w:rPr>
              <w:t>14</w:t>
            </w:r>
          </w:p>
        </w:tc>
        <w:tc>
          <w:tcPr>
            <w:tcW w:w="950" w:type="dxa"/>
            <w:vAlign w:val="top"/>
          </w:tcPr>
          <w:p w14:paraId="2D8D6BB1">
            <w:pPr>
              <w:pStyle w:val="6"/>
              <w:spacing w:before="100" w:line="141" w:lineRule="exact"/>
              <w:ind w:left="375"/>
            </w:pPr>
            <w:r>
              <w:rPr>
                <w:spacing w:val="-6"/>
                <w:position w:val="-2"/>
              </w:rPr>
              <w:t>15</w:t>
            </w:r>
          </w:p>
        </w:tc>
        <w:tc>
          <w:tcPr>
            <w:tcW w:w="1150" w:type="dxa"/>
            <w:vAlign w:val="top"/>
          </w:tcPr>
          <w:p w14:paraId="06643747">
            <w:pPr>
              <w:pStyle w:val="6"/>
              <w:spacing w:before="100" w:line="141" w:lineRule="exact"/>
              <w:ind w:left="475"/>
            </w:pPr>
            <w:r>
              <w:rPr>
                <w:spacing w:val="-6"/>
                <w:position w:val="-2"/>
              </w:rPr>
              <w:t>16</w:t>
            </w:r>
          </w:p>
        </w:tc>
        <w:tc>
          <w:tcPr>
            <w:tcW w:w="890" w:type="dxa"/>
            <w:vAlign w:val="top"/>
          </w:tcPr>
          <w:p w14:paraId="570C01F7">
            <w:pPr>
              <w:pStyle w:val="6"/>
              <w:spacing w:before="100" w:line="141" w:lineRule="exact"/>
              <w:ind w:left="345"/>
            </w:pPr>
            <w:r>
              <w:rPr>
                <w:spacing w:val="-6"/>
                <w:position w:val="-2"/>
              </w:rPr>
              <w:t>17</w:t>
            </w:r>
          </w:p>
        </w:tc>
        <w:tc>
          <w:tcPr>
            <w:tcW w:w="920" w:type="dxa"/>
            <w:tcBorders>
              <w:right w:val="nil"/>
            </w:tcBorders>
            <w:vAlign w:val="top"/>
          </w:tcPr>
          <w:p w14:paraId="53267D22">
            <w:pPr>
              <w:pStyle w:val="6"/>
              <w:spacing w:before="100" w:line="141" w:lineRule="exact"/>
              <w:ind w:left="365"/>
            </w:pPr>
            <w:r>
              <w:rPr>
                <w:spacing w:val="-6"/>
                <w:position w:val="-2"/>
              </w:rPr>
              <w:t>18</w:t>
            </w:r>
          </w:p>
        </w:tc>
      </w:tr>
    </w:tbl>
    <w:p w14:paraId="5E2BA5E9">
      <w:pPr>
        <w:pStyle w:val="2"/>
        <w:spacing w:line="471" w:lineRule="auto"/>
      </w:pPr>
    </w:p>
    <w:p w14:paraId="29720E8C">
      <w:pPr>
        <w:spacing w:before="59" w:line="220" w:lineRule="auto"/>
        <w:ind w:left="29"/>
        <w:rPr>
          <w:rFonts w:ascii="宋体" w:hAnsi="宋体" w:eastAsia="宋体" w:cs="宋体"/>
          <w:sz w:val="18"/>
          <w:szCs w:val="18"/>
        </w:rPr>
      </w:pPr>
      <w:r>
        <w:rPr>
          <w:rFonts w:ascii="宋体" w:hAnsi="宋体" w:eastAsia="宋体" w:cs="宋体"/>
          <w:spacing w:val="-3"/>
          <w:sz w:val="18"/>
          <w:szCs w:val="18"/>
        </w:rPr>
        <w:t>续表二</w:t>
      </w:r>
    </w:p>
    <w:p w14:paraId="3FF86688">
      <w:pPr>
        <w:spacing w:line="42" w:lineRule="exact"/>
      </w:pPr>
    </w:p>
    <w:tbl>
      <w:tblPr>
        <w:tblStyle w:val="5"/>
        <w:tblW w:w="9400" w:type="dxa"/>
        <w:tblInd w:w="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30"/>
        <w:gridCol w:w="850"/>
        <w:gridCol w:w="840"/>
        <w:gridCol w:w="850"/>
        <w:gridCol w:w="860"/>
        <w:gridCol w:w="850"/>
        <w:gridCol w:w="830"/>
        <w:gridCol w:w="860"/>
        <w:gridCol w:w="850"/>
        <w:gridCol w:w="850"/>
        <w:gridCol w:w="930"/>
      </w:tblGrid>
      <w:tr w14:paraId="0DA64E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8" w:hRule="atLeast"/>
        </w:trPr>
        <w:tc>
          <w:tcPr>
            <w:tcW w:w="830" w:type="dxa"/>
            <w:tcBorders>
              <w:left w:val="nil"/>
            </w:tcBorders>
            <w:vAlign w:val="top"/>
          </w:tcPr>
          <w:p w14:paraId="5958B453">
            <w:pPr>
              <w:pStyle w:val="6"/>
              <w:spacing w:before="165" w:line="237" w:lineRule="auto"/>
              <w:ind w:left="140" w:right="105"/>
            </w:pPr>
            <w:r>
              <w:rPr>
                <w:spacing w:val="-9"/>
              </w:rPr>
              <w:t>汽</w:t>
            </w:r>
            <w:r>
              <w:rPr>
                <w:spacing w:val="17"/>
              </w:rPr>
              <w:t xml:space="preserve">  </w:t>
            </w:r>
            <w:r>
              <w:rPr>
                <w:spacing w:val="-9"/>
              </w:rPr>
              <w:t>油</w:t>
            </w:r>
            <w:r>
              <w:rPr>
                <w:spacing w:val="1"/>
              </w:rPr>
              <w:t xml:space="preserve"> </w:t>
            </w:r>
            <w:r>
              <w:rPr>
                <w:spacing w:val="9"/>
              </w:rPr>
              <w:t>(万吨)</w:t>
            </w:r>
          </w:p>
        </w:tc>
        <w:tc>
          <w:tcPr>
            <w:tcW w:w="850" w:type="dxa"/>
            <w:vAlign w:val="top"/>
          </w:tcPr>
          <w:p w14:paraId="6A162893">
            <w:pPr>
              <w:pStyle w:val="6"/>
              <w:spacing w:before="163" w:line="243" w:lineRule="auto"/>
              <w:ind w:left="145" w:right="115"/>
            </w:pPr>
            <w:r>
              <w:rPr>
                <w:spacing w:val="-9"/>
              </w:rPr>
              <w:t>煤</w:t>
            </w:r>
            <w:r>
              <w:rPr>
                <w:spacing w:val="18"/>
              </w:rPr>
              <w:t xml:space="preserve">  </w:t>
            </w:r>
            <w:r>
              <w:rPr>
                <w:spacing w:val="-9"/>
              </w:rPr>
              <w:t>油</w:t>
            </w:r>
            <w:r>
              <w:t xml:space="preserve"> </w:t>
            </w:r>
            <w:r>
              <w:rPr>
                <w:spacing w:val="9"/>
              </w:rPr>
              <w:t>(万吨)</w:t>
            </w:r>
          </w:p>
        </w:tc>
        <w:tc>
          <w:tcPr>
            <w:tcW w:w="840" w:type="dxa"/>
            <w:vAlign w:val="top"/>
          </w:tcPr>
          <w:p w14:paraId="279D5891">
            <w:pPr>
              <w:pStyle w:val="6"/>
              <w:spacing w:before="162" w:line="223" w:lineRule="auto"/>
              <w:ind w:left="145" w:right="105"/>
            </w:pPr>
            <w:r>
              <w:rPr>
                <w:spacing w:val="-9"/>
              </w:rPr>
              <w:t>柴</w:t>
            </w:r>
            <w:r>
              <w:rPr>
                <w:spacing w:val="17"/>
              </w:rPr>
              <w:t xml:space="preserve">  </w:t>
            </w:r>
            <w:r>
              <w:rPr>
                <w:spacing w:val="-9"/>
              </w:rPr>
              <w:t>油</w:t>
            </w:r>
            <w:r>
              <w:rPr>
                <w:spacing w:val="1"/>
              </w:rPr>
              <w:t xml:space="preserve"> </w:t>
            </w:r>
            <w:r>
              <w:rPr>
                <w:spacing w:val="9"/>
              </w:rPr>
              <w:t>(万吨)</w:t>
            </w:r>
          </w:p>
        </w:tc>
        <w:tc>
          <w:tcPr>
            <w:tcW w:w="850" w:type="dxa"/>
            <w:vAlign w:val="top"/>
          </w:tcPr>
          <w:p w14:paraId="3512EC2B">
            <w:pPr>
              <w:pStyle w:val="6"/>
              <w:spacing w:before="163" w:line="243" w:lineRule="auto"/>
              <w:ind w:left="145" w:right="115"/>
            </w:pPr>
            <w:r>
              <w:rPr>
                <w:spacing w:val="6"/>
              </w:rPr>
              <w:t>燃料油</w:t>
            </w:r>
            <w:r>
              <w:t xml:space="preserve"> </w:t>
            </w:r>
            <w:r>
              <w:rPr>
                <w:spacing w:val="9"/>
              </w:rPr>
              <w:t>(万吨)</w:t>
            </w:r>
          </w:p>
        </w:tc>
        <w:tc>
          <w:tcPr>
            <w:tcW w:w="860" w:type="dxa"/>
            <w:vAlign w:val="top"/>
          </w:tcPr>
          <w:p w14:paraId="6EA009EF">
            <w:pPr>
              <w:pStyle w:val="6"/>
              <w:spacing w:before="163" w:line="243" w:lineRule="auto"/>
              <w:ind w:left="155" w:right="115"/>
            </w:pPr>
            <w:r>
              <w:rPr>
                <w:spacing w:val="6"/>
              </w:rPr>
              <w:t>石脑油</w:t>
            </w:r>
            <w:r>
              <w:t xml:space="preserve"> </w:t>
            </w:r>
            <w:r>
              <w:rPr>
                <w:spacing w:val="9"/>
              </w:rPr>
              <w:t>(万吨)</w:t>
            </w:r>
          </w:p>
        </w:tc>
        <w:tc>
          <w:tcPr>
            <w:tcW w:w="850" w:type="dxa"/>
            <w:vAlign w:val="top"/>
          </w:tcPr>
          <w:p w14:paraId="2137EE86">
            <w:pPr>
              <w:pStyle w:val="6"/>
              <w:spacing w:before="163" w:line="243" w:lineRule="auto"/>
              <w:ind w:left="145" w:right="115"/>
            </w:pPr>
            <w:r>
              <w:rPr>
                <w:spacing w:val="6"/>
              </w:rPr>
              <w:t>润滑油</w:t>
            </w:r>
            <w:r>
              <w:t xml:space="preserve"> </w:t>
            </w:r>
            <w:r>
              <w:rPr>
                <w:spacing w:val="9"/>
              </w:rPr>
              <w:t>(万吨)</w:t>
            </w:r>
          </w:p>
        </w:tc>
        <w:tc>
          <w:tcPr>
            <w:tcW w:w="830" w:type="dxa"/>
            <w:vAlign w:val="top"/>
          </w:tcPr>
          <w:p w14:paraId="05261100">
            <w:pPr>
              <w:pStyle w:val="6"/>
              <w:spacing w:before="163" w:line="243" w:lineRule="auto"/>
              <w:ind w:left="135" w:right="105"/>
            </w:pPr>
            <w:r>
              <w:rPr>
                <w:spacing w:val="-8"/>
              </w:rPr>
              <w:t>石</w:t>
            </w:r>
            <w:r>
              <w:rPr>
                <w:spacing w:val="3"/>
              </w:rPr>
              <w:t xml:space="preserve">  </w:t>
            </w:r>
            <w:r>
              <w:rPr>
                <w:spacing w:val="-8"/>
              </w:rPr>
              <w:t>蜡</w:t>
            </w:r>
            <w:r>
              <w:rPr>
                <w:spacing w:val="1"/>
              </w:rPr>
              <w:t xml:space="preserve"> </w:t>
            </w:r>
            <w:r>
              <w:rPr>
                <w:spacing w:val="9"/>
              </w:rPr>
              <w:t>(万吨)</w:t>
            </w:r>
          </w:p>
        </w:tc>
        <w:tc>
          <w:tcPr>
            <w:tcW w:w="860" w:type="dxa"/>
            <w:vAlign w:val="top"/>
          </w:tcPr>
          <w:p w14:paraId="2CEF4BBA">
            <w:pPr>
              <w:pStyle w:val="6"/>
              <w:spacing w:before="161" w:line="244" w:lineRule="auto"/>
              <w:ind w:left="155" w:right="115"/>
            </w:pPr>
            <w:r>
              <w:rPr>
                <w:spacing w:val="6"/>
              </w:rPr>
              <w:t>溶剂油</w:t>
            </w:r>
            <w:r>
              <w:t xml:space="preserve"> </w:t>
            </w:r>
            <w:r>
              <w:rPr>
                <w:spacing w:val="9"/>
              </w:rPr>
              <w:t>(万吨)</w:t>
            </w:r>
          </w:p>
        </w:tc>
        <w:tc>
          <w:tcPr>
            <w:tcW w:w="850" w:type="dxa"/>
            <w:vAlign w:val="top"/>
          </w:tcPr>
          <w:p w14:paraId="1E216CFA">
            <w:pPr>
              <w:pStyle w:val="6"/>
              <w:spacing w:before="161" w:line="219" w:lineRule="auto"/>
              <w:ind w:left="55"/>
            </w:pPr>
            <w:r>
              <w:rPr>
                <w:spacing w:val="-2"/>
              </w:rPr>
              <w:t>石油沥青</w:t>
            </w:r>
          </w:p>
          <w:p w14:paraId="6847D084">
            <w:pPr>
              <w:pStyle w:val="6"/>
              <w:spacing w:before="48" w:line="220" w:lineRule="auto"/>
              <w:ind w:left="145"/>
            </w:pPr>
            <w:r>
              <w:rPr>
                <w:spacing w:val="9"/>
              </w:rPr>
              <w:t>(万吨)</w:t>
            </w:r>
          </w:p>
        </w:tc>
        <w:tc>
          <w:tcPr>
            <w:tcW w:w="850" w:type="dxa"/>
            <w:vAlign w:val="top"/>
          </w:tcPr>
          <w:p w14:paraId="1D9F3792">
            <w:pPr>
              <w:pStyle w:val="6"/>
              <w:spacing w:before="163" w:line="243" w:lineRule="auto"/>
              <w:ind w:left="145" w:right="115"/>
            </w:pPr>
            <w:r>
              <w:rPr>
                <w:spacing w:val="-3"/>
              </w:rPr>
              <w:t>石油焦</w:t>
            </w:r>
            <w:r>
              <w:t xml:space="preserve"> </w:t>
            </w:r>
            <w:r>
              <w:rPr>
                <w:spacing w:val="9"/>
              </w:rPr>
              <w:t>(万吨)</w:t>
            </w:r>
          </w:p>
        </w:tc>
        <w:tc>
          <w:tcPr>
            <w:tcW w:w="930" w:type="dxa"/>
            <w:tcBorders>
              <w:right w:val="nil"/>
            </w:tcBorders>
            <w:vAlign w:val="top"/>
          </w:tcPr>
          <w:p w14:paraId="7D1950E4">
            <w:pPr>
              <w:pStyle w:val="6"/>
              <w:spacing w:before="173" w:line="238" w:lineRule="auto"/>
              <w:ind w:left="184" w:right="8" w:hanging="179"/>
            </w:pPr>
            <w:r>
              <w:rPr>
                <w:spacing w:val="2"/>
              </w:rPr>
              <w:t>液化石油气</w:t>
            </w:r>
            <w:r>
              <w:t xml:space="preserve"> </w:t>
            </w:r>
            <w:r>
              <w:rPr>
                <w:spacing w:val="9"/>
              </w:rPr>
              <w:t>(万吨)</w:t>
            </w:r>
          </w:p>
        </w:tc>
      </w:tr>
      <w:tr w14:paraId="4BDD70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2" w:hRule="atLeast"/>
        </w:trPr>
        <w:tc>
          <w:tcPr>
            <w:tcW w:w="830" w:type="dxa"/>
            <w:tcBorders>
              <w:left w:val="nil"/>
            </w:tcBorders>
            <w:vAlign w:val="top"/>
          </w:tcPr>
          <w:p w14:paraId="760B0361">
            <w:pPr>
              <w:pStyle w:val="6"/>
              <w:spacing w:before="80" w:line="151" w:lineRule="exact"/>
              <w:ind w:left="320"/>
            </w:pPr>
            <w:r>
              <w:rPr>
                <w:spacing w:val="-6"/>
                <w:position w:val="-2"/>
              </w:rPr>
              <w:t>19</w:t>
            </w:r>
          </w:p>
        </w:tc>
        <w:tc>
          <w:tcPr>
            <w:tcW w:w="850" w:type="dxa"/>
            <w:vAlign w:val="top"/>
          </w:tcPr>
          <w:p w14:paraId="6AED3269">
            <w:pPr>
              <w:pStyle w:val="6"/>
              <w:spacing w:before="80" w:line="151" w:lineRule="exact"/>
              <w:ind w:left="325"/>
            </w:pPr>
            <w:r>
              <w:rPr>
                <w:spacing w:val="-3"/>
                <w:position w:val="-2"/>
              </w:rPr>
              <w:t>20</w:t>
            </w:r>
          </w:p>
        </w:tc>
        <w:tc>
          <w:tcPr>
            <w:tcW w:w="840" w:type="dxa"/>
            <w:vAlign w:val="top"/>
          </w:tcPr>
          <w:p w14:paraId="0CB29727">
            <w:pPr>
              <w:pStyle w:val="6"/>
              <w:spacing w:before="80" w:line="151" w:lineRule="exact"/>
              <w:ind w:left="325"/>
            </w:pPr>
            <w:r>
              <w:rPr>
                <w:spacing w:val="-3"/>
                <w:position w:val="-2"/>
              </w:rPr>
              <w:t>21</w:t>
            </w:r>
          </w:p>
        </w:tc>
        <w:tc>
          <w:tcPr>
            <w:tcW w:w="850" w:type="dxa"/>
            <w:vAlign w:val="top"/>
          </w:tcPr>
          <w:p w14:paraId="139DEF5A">
            <w:pPr>
              <w:pStyle w:val="6"/>
              <w:spacing w:before="80" w:line="151" w:lineRule="exact"/>
              <w:ind w:left="325"/>
            </w:pPr>
            <w:r>
              <w:rPr>
                <w:spacing w:val="-3"/>
                <w:position w:val="-2"/>
              </w:rPr>
              <w:t>22</w:t>
            </w:r>
          </w:p>
        </w:tc>
        <w:tc>
          <w:tcPr>
            <w:tcW w:w="860" w:type="dxa"/>
            <w:vAlign w:val="top"/>
          </w:tcPr>
          <w:p w14:paraId="202D4BE2">
            <w:pPr>
              <w:pStyle w:val="6"/>
              <w:spacing w:before="80" w:line="151" w:lineRule="exact"/>
              <w:ind w:left="335"/>
            </w:pPr>
            <w:r>
              <w:rPr>
                <w:spacing w:val="-3"/>
                <w:position w:val="-2"/>
              </w:rPr>
              <w:t>23</w:t>
            </w:r>
          </w:p>
        </w:tc>
        <w:tc>
          <w:tcPr>
            <w:tcW w:w="850" w:type="dxa"/>
            <w:vAlign w:val="top"/>
          </w:tcPr>
          <w:p w14:paraId="64B27E5E">
            <w:pPr>
              <w:pStyle w:val="6"/>
              <w:spacing w:before="80" w:line="151" w:lineRule="exact"/>
              <w:ind w:left="325"/>
            </w:pPr>
            <w:r>
              <w:rPr>
                <w:spacing w:val="-3"/>
                <w:position w:val="-2"/>
              </w:rPr>
              <w:t>24</w:t>
            </w:r>
          </w:p>
        </w:tc>
        <w:tc>
          <w:tcPr>
            <w:tcW w:w="830" w:type="dxa"/>
            <w:vAlign w:val="top"/>
          </w:tcPr>
          <w:p w14:paraId="7F1C37A3">
            <w:pPr>
              <w:pStyle w:val="6"/>
              <w:spacing w:before="80" w:line="151" w:lineRule="exact"/>
              <w:ind w:left="314"/>
            </w:pPr>
            <w:r>
              <w:rPr>
                <w:spacing w:val="-3"/>
                <w:position w:val="-2"/>
              </w:rPr>
              <w:t>25</w:t>
            </w:r>
          </w:p>
        </w:tc>
        <w:tc>
          <w:tcPr>
            <w:tcW w:w="860" w:type="dxa"/>
            <w:vAlign w:val="top"/>
          </w:tcPr>
          <w:p w14:paraId="74897709">
            <w:pPr>
              <w:pStyle w:val="6"/>
              <w:spacing w:before="80" w:line="151" w:lineRule="exact"/>
              <w:ind w:left="335"/>
            </w:pPr>
            <w:r>
              <w:rPr>
                <w:spacing w:val="-3"/>
                <w:position w:val="-2"/>
              </w:rPr>
              <w:t>26</w:t>
            </w:r>
          </w:p>
        </w:tc>
        <w:tc>
          <w:tcPr>
            <w:tcW w:w="850" w:type="dxa"/>
            <w:vAlign w:val="top"/>
          </w:tcPr>
          <w:p w14:paraId="18E33535">
            <w:pPr>
              <w:pStyle w:val="6"/>
              <w:spacing w:before="80" w:line="151" w:lineRule="exact"/>
              <w:ind w:left="325"/>
            </w:pPr>
            <w:r>
              <w:rPr>
                <w:spacing w:val="-3"/>
                <w:position w:val="-2"/>
              </w:rPr>
              <w:t>27</w:t>
            </w:r>
          </w:p>
        </w:tc>
        <w:tc>
          <w:tcPr>
            <w:tcW w:w="850" w:type="dxa"/>
            <w:vAlign w:val="top"/>
          </w:tcPr>
          <w:p w14:paraId="578BAE3F">
            <w:pPr>
              <w:pStyle w:val="6"/>
              <w:spacing w:before="80" w:line="151" w:lineRule="exact"/>
              <w:ind w:left="325"/>
            </w:pPr>
            <w:r>
              <w:rPr>
                <w:spacing w:val="-3"/>
                <w:position w:val="-2"/>
              </w:rPr>
              <w:t>28</w:t>
            </w:r>
          </w:p>
        </w:tc>
        <w:tc>
          <w:tcPr>
            <w:tcW w:w="930" w:type="dxa"/>
            <w:tcBorders>
              <w:right w:val="nil"/>
            </w:tcBorders>
            <w:vAlign w:val="top"/>
          </w:tcPr>
          <w:p w14:paraId="798B9F7E">
            <w:pPr>
              <w:pStyle w:val="6"/>
              <w:spacing w:before="80" w:line="151" w:lineRule="exact"/>
              <w:ind w:left="365"/>
            </w:pPr>
            <w:r>
              <w:rPr>
                <w:spacing w:val="-3"/>
                <w:position w:val="-2"/>
              </w:rPr>
              <w:t>29</w:t>
            </w:r>
          </w:p>
        </w:tc>
      </w:tr>
    </w:tbl>
    <w:p w14:paraId="4E753AD4">
      <w:pPr>
        <w:pStyle w:val="2"/>
        <w:spacing w:line="468" w:lineRule="auto"/>
      </w:pPr>
    </w:p>
    <w:p w14:paraId="3D3D528E">
      <w:pPr>
        <w:spacing w:before="62" w:line="220" w:lineRule="auto"/>
        <w:ind w:left="20"/>
        <w:rPr>
          <w:rFonts w:ascii="宋体" w:hAnsi="宋体" w:eastAsia="宋体" w:cs="宋体"/>
          <w:sz w:val="19"/>
          <w:szCs w:val="19"/>
        </w:rPr>
      </w:pPr>
      <w:r>
        <w:rPr>
          <w:rFonts w:ascii="宋体" w:hAnsi="宋体" w:eastAsia="宋体" w:cs="宋体"/>
          <w:spacing w:val="-3"/>
          <w:sz w:val="19"/>
          <w:szCs w:val="19"/>
        </w:rPr>
        <w:t>续表三</w:t>
      </w:r>
    </w:p>
    <w:p w14:paraId="23D19EC6">
      <w:pPr>
        <w:spacing w:line="30" w:lineRule="exact"/>
      </w:pPr>
    </w:p>
    <w:tbl>
      <w:tblPr>
        <w:tblStyle w:val="5"/>
        <w:tblW w:w="9440" w:type="dxa"/>
        <w:tblInd w:w="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0"/>
        <w:gridCol w:w="1250"/>
        <w:gridCol w:w="950"/>
        <w:gridCol w:w="950"/>
        <w:gridCol w:w="720"/>
        <w:gridCol w:w="720"/>
        <w:gridCol w:w="1060"/>
        <w:gridCol w:w="1110"/>
        <w:gridCol w:w="960"/>
        <w:gridCol w:w="980"/>
      </w:tblGrid>
      <w:tr w14:paraId="351530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740" w:type="dxa"/>
            <w:tcBorders>
              <w:left w:val="nil"/>
            </w:tcBorders>
            <w:vAlign w:val="top"/>
          </w:tcPr>
          <w:p w14:paraId="5A0A18B6">
            <w:pPr>
              <w:pStyle w:val="6"/>
              <w:spacing w:before="81" w:line="234" w:lineRule="auto"/>
              <w:ind w:left="98" w:hanging="78"/>
            </w:pPr>
            <w:r>
              <w:rPr>
                <w:spacing w:val="-2"/>
              </w:rPr>
              <w:t>炼厂干气</w:t>
            </w:r>
            <w:r>
              <w:rPr>
                <w:spacing w:val="1"/>
              </w:rPr>
              <w:t xml:space="preserve"> </w:t>
            </w:r>
            <w:r>
              <w:rPr>
                <w:spacing w:val="6"/>
              </w:rPr>
              <w:t>(万吨)</w:t>
            </w:r>
          </w:p>
        </w:tc>
        <w:tc>
          <w:tcPr>
            <w:tcW w:w="1250" w:type="dxa"/>
            <w:vAlign w:val="top"/>
          </w:tcPr>
          <w:p w14:paraId="6A788307">
            <w:pPr>
              <w:pStyle w:val="6"/>
              <w:spacing w:before="82" w:line="220" w:lineRule="auto"/>
              <w:ind w:left="75"/>
            </w:pPr>
            <w:r>
              <w:rPr>
                <w:spacing w:val="3"/>
              </w:rPr>
              <w:t>其他石油制品</w:t>
            </w:r>
          </w:p>
          <w:p w14:paraId="60999FE3">
            <w:pPr>
              <w:pStyle w:val="6"/>
              <w:spacing w:before="25" w:line="220" w:lineRule="auto"/>
              <w:ind w:left="345"/>
            </w:pPr>
            <w:r>
              <w:rPr>
                <w:spacing w:val="9"/>
              </w:rPr>
              <w:t>(万吨)</w:t>
            </w:r>
          </w:p>
        </w:tc>
        <w:tc>
          <w:tcPr>
            <w:tcW w:w="950" w:type="dxa"/>
            <w:vAlign w:val="top"/>
          </w:tcPr>
          <w:p w14:paraId="46239600">
            <w:pPr>
              <w:pStyle w:val="6"/>
              <w:spacing w:before="82" w:line="220" w:lineRule="auto"/>
              <w:ind w:left="195"/>
            </w:pPr>
            <w:r>
              <w:rPr>
                <w:spacing w:val="3"/>
              </w:rPr>
              <w:t>天然气</w:t>
            </w:r>
          </w:p>
          <w:p w14:paraId="6DD5DDFE">
            <w:pPr>
              <w:pStyle w:val="6"/>
              <w:spacing w:before="44" w:line="211" w:lineRule="auto"/>
              <w:jc w:val="right"/>
            </w:pPr>
            <w:r>
              <w:rPr>
                <w:spacing w:val="4"/>
              </w:rPr>
              <w:t>(亿立方米)</w:t>
            </w:r>
          </w:p>
        </w:tc>
        <w:tc>
          <w:tcPr>
            <w:tcW w:w="950" w:type="dxa"/>
            <w:vAlign w:val="top"/>
          </w:tcPr>
          <w:p w14:paraId="1F287DE4">
            <w:pPr>
              <w:pStyle w:val="6"/>
              <w:spacing w:before="82" w:line="228" w:lineRule="auto"/>
              <w:ind w:left="194" w:right="13" w:hanging="180"/>
            </w:pPr>
            <w:r>
              <w:rPr>
                <w:spacing w:val="2"/>
              </w:rPr>
              <w:t>液化天然气</w:t>
            </w:r>
            <w:r>
              <w:t xml:space="preserve"> </w:t>
            </w:r>
            <w:r>
              <w:rPr>
                <w:spacing w:val="9"/>
              </w:rPr>
              <w:t>(万吨)</w:t>
            </w:r>
          </w:p>
        </w:tc>
        <w:tc>
          <w:tcPr>
            <w:tcW w:w="720" w:type="dxa"/>
            <w:vAlign w:val="top"/>
          </w:tcPr>
          <w:p w14:paraId="51AD7B13">
            <w:pPr>
              <w:pStyle w:val="6"/>
              <w:spacing w:before="83" w:line="233" w:lineRule="auto"/>
              <w:ind w:left="85" w:right="45"/>
            </w:pPr>
            <w:r>
              <w:rPr>
                <w:spacing w:val="-8"/>
              </w:rPr>
              <w:t>秸</w:t>
            </w:r>
            <w:r>
              <w:rPr>
                <w:spacing w:val="4"/>
              </w:rPr>
              <w:t xml:space="preserve">  </w:t>
            </w:r>
            <w:r>
              <w:rPr>
                <w:spacing w:val="-8"/>
              </w:rPr>
              <w:t>秆</w:t>
            </w:r>
            <w:r>
              <w:t xml:space="preserve"> </w:t>
            </w:r>
            <w:r>
              <w:rPr>
                <w:spacing w:val="9"/>
              </w:rPr>
              <w:t>(万吨)</w:t>
            </w:r>
          </w:p>
        </w:tc>
        <w:tc>
          <w:tcPr>
            <w:tcW w:w="720" w:type="dxa"/>
            <w:vAlign w:val="top"/>
          </w:tcPr>
          <w:p w14:paraId="2FABD728">
            <w:pPr>
              <w:pStyle w:val="6"/>
              <w:spacing w:before="72" w:line="244" w:lineRule="auto"/>
              <w:ind w:left="85" w:right="45"/>
            </w:pPr>
            <w:r>
              <w:rPr>
                <w:spacing w:val="-9"/>
              </w:rPr>
              <w:t>薪</w:t>
            </w:r>
            <w:r>
              <w:rPr>
                <w:spacing w:val="3"/>
              </w:rPr>
              <w:t xml:space="preserve">  </w:t>
            </w:r>
            <w:r>
              <w:rPr>
                <w:spacing w:val="-9"/>
              </w:rPr>
              <w:t>柴</w:t>
            </w:r>
            <w:r>
              <w:t xml:space="preserve"> </w:t>
            </w:r>
            <w:r>
              <w:rPr>
                <w:spacing w:val="9"/>
              </w:rPr>
              <w:t>(万吨)</w:t>
            </w:r>
          </w:p>
        </w:tc>
        <w:tc>
          <w:tcPr>
            <w:tcW w:w="1060" w:type="dxa"/>
            <w:vAlign w:val="top"/>
          </w:tcPr>
          <w:p w14:paraId="3621138F">
            <w:pPr>
              <w:pStyle w:val="6"/>
              <w:spacing w:before="83" w:line="221" w:lineRule="auto"/>
              <w:ind w:left="255"/>
            </w:pPr>
            <w:r>
              <w:rPr>
                <w:spacing w:val="-6"/>
              </w:rPr>
              <w:t>沼</w:t>
            </w:r>
            <w:r>
              <w:rPr>
                <w:spacing w:val="15"/>
              </w:rPr>
              <w:t xml:space="preserve">  </w:t>
            </w:r>
            <w:r>
              <w:rPr>
                <w:spacing w:val="-6"/>
              </w:rPr>
              <w:t>气</w:t>
            </w:r>
          </w:p>
          <w:p w14:paraId="72586B1E">
            <w:pPr>
              <w:pStyle w:val="6"/>
              <w:spacing w:before="43" w:line="211" w:lineRule="auto"/>
              <w:ind w:left="74"/>
            </w:pPr>
            <w:r>
              <w:rPr>
                <w:spacing w:val="6"/>
              </w:rPr>
              <w:t>(亿立方米)</w:t>
            </w:r>
          </w:p>
        </w:tc>
        <w:tc>
          <w:tcPr>
            <w:tcW w:w="1110" w:type="dxa"/>
            <w:vAlign w:val="top"/>
          </w:tcPr>
          <w:p w14:paraId="19B71033">
            <w:pPr>
              <w:pStyle w:val="6"/>
              <w:spacing w:before="82" w:line="219" w:lineRule="auto"/>
              <w:ind w:left="275"/>
            </w:pPr>
            <w:r>
              <w:rPr>
                <w:spacing w:val="-6"/>
              </w:rPr>
              <w:t>热</w:t>
            </w:r>
            <w:r>
              <w:rPr>
                <w:spacing w:val="18"/>
              </w:rPr>
              <w:t xml:space="preserve">  </w:t>
            </w:r>
            <w:r>
              <w:rPr>
                <w:spacing w:val="-6"/>
              </w:rPr>
              <w:t>力</w:t>
            </w:r>
          </w:p>
          <w:p w14:paraId="31A29224">
            <w:pPr>
              <w:pStyle w:val="6"/>
              <w:spacing w:before="47" w:line="210" w:lineRule="auto"/>
              <w:jc w:val="right"/>
            </w:pPr>
            <w:r>
              <w:rPr>
                <w:spacing w:val="2"/>
              </w:rPr>
              <w:t>(万百万千焦)</w:t>
            </w:r>
          </w:p>
        </w:tc>
        <w:tc>
          <w:tcPr>
            <w:tcW w:w="960" w:type="dxa"/>
            <w:vAlign w:val="top"/>
          </w:tcPr>
          <w:p w14:paraId="2739F08B">
            <w:pPr>
              <w:pStyle w:val="6"/>
              <w:spacing w:before="82" w:line="219" w:lineRule="auto"/>
              <w:ind w:left="205"/>
            </w:pPr>
            <w:r>
              <w:rPr>
                <w:spacing w:val="-15"/>
              </w:rPr>
              <w:t>电</w:t>
            </w:r>
            <w:r>
              <w:rPr>
                <w:spacing w:val="27"/>
              </w:rPr>
              <w:t xml:space="preserve">  </w:t>
            </w:r>
            <w:r>
              <w:rPr>
                <w:spacing w:val="-15"/>
              </w:rPr>
              <w:t>力</w:t>
            </w:r>
          </w:p>
          <w:p w14:paraId="69E141F4">
            <w:pPr>
              <w:pStyle w:val="6"/>
              <w:spacing w:before="47" w:line="210" w:lineRule="auto"/>
              <w:jc w:val="right"/>
            </w:pPr>
            <w:r>
              <w:rPr>
                <w:spacing w:val="4"/>
              </w:rPr>
              <w:t>(亿千瓦时)</w:t>
            </w:r>
          </w:p>
        </w:tc>
        <w:tc>
          <w:tcPr>
            <w:tcW w:w="980" w:type="dxa"/>
            <w:tcBorders>
              <w:right w:val="nil"/>
            </w:tcBorders>
            <w:vAlign w:val="top"/>
          </w:tcPr>
          <w:p w14:paraId="6BEE2363">
            <w:pPr>
              <w:pStyle w:val="6"/>
              <w:spacing w:before="73" w:line="243" w:lineRule="auto"/>
              <w:ind w:left="35" w:firstLine="90"/>
            </w:pPr>
            <w:r>
              <w:rPr>
                <w:spacing w:val="-2"/>
              </w:rPr>
              <w:t>其他能源</w:t>
            </w:r>
            <w:r>
              <w:t xml:space="preserve">  </w:t>
            </w:r>
            <w:r>
              <w:rPr>
                <w:spacing w:val="6"/>
              </w:rPr>
              <w:t>(万吨标煤)</w:t>
            </w:r>
          </w:p>
        </w:tc>
      </w:tr>
      <w:tr w14:paraId="4274D0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1" w:hRule="atLeast"/>
        </w:trPr>
        <w:tc>
          <w:tcPr>
            <w:tcW w:w="740" w:type="dxa"/>
            <w:tcBorders>
              <w:left w:val="nil"/>
            </w:tcBorders>
            <w:vAlign w:val="top"/>
          </w:tcPr>
          <w:p w14:paraId="4F95186E">
            <w:pPr>
              <w:pStyle w:val="6"/>
              <w:spacing w:before="90" w:line="140" w:lineRule="exact"/>
              <w:ind w:left="280"/>
            </w:pPr>
            <w:r>
              <w:rPr>
                <w:spacing w:val="-3"/>
                <w:position w:val="-2"/>
              </w:rPr>
              <w:t>30</w:t>
            </w:r>
          </w:p>
        </w:tc>
        <w:tc>
          <w:tcPr>
            <w:tcW w:w="1250" w:type="dxa"/>
            <w:vAlign w:val="top"/>
          </w:tcPr>
          <w:p w14:paraId="4FF93141">
            <w:pPr>
              <w:pStyle w:val="6"/>
              <w:spacing w:before="90" w:line="140" w:lineRule="exact"/>
              <w:ind w:left="525"/>
            </w:pPr>
            <w:r>
              <w:rPr>
                <w:spacing w:val="-3"/>
                <w:position w:val="-2"/>
              </w:rPr>
              <w:t>31</w:t>
            </w:r>
          </w:p>
        </w:tc>
        <w:tc>
          <w:tcPr>
            <w:tcW w:w="950" w:type="dxa"/>
            <w:vAlign w:val="top"/>
          </w:tcPr>
          <w:p w14:paraId="5D8B6AD9">
            <w:pPr>
              <w:pStyle w:val="6"/>
              <w:spacing w:before="90" w:line="140" w:lineRule="exact"/>
              <w:ind w:left="375"/>
            </w:pPr>
            <w:r>
              <w:rPr>
                <w:spacing w:val="-3"/>
                <w:position w:val="-2"/>
              </w:rPr>
              <w:t>32</w:t>
            </w:r>
          </w:p>
        </w:tc>
        <w:tc>
          <w:tcPr>
            <w:tcW w:w="950" w:type="dxa"/>
            <w:vAlign w:val="top"/>
          </w:tcPr>
          <w:p w14:paraId="4D1F277A">
            <w:pPr>
              <w:pStyle w:val="6"/>
              <w:spacing w:before="90" w:line="140" w:lineRule="exact"/>
              <w:ind w:left="375"/>
            </w:pPr>
            <w:r>
              <w:rPr>
                <w:spacing w:val="-3"/>
                <w:position w:val="-2"/>
              </w:rPr>
              <w:t>33</w:t>
            </w:r>
          </w:p>
        </w:tc>
        <w:tc>
          <w:tcPr>
            <w:tcW w:w="720" w:type="dxa"/>
            <w:vAlign w:val="top"/>
          </w:tcPr>
          <w:p w14:paraId="0367DD0C">
            <w:pPr>
              <w:pStyle w:val="6"/>
              <w:spacing w:before="90" w:line="140" w:lineRule="exact"/>
              <w:ind w:left="265"/>
            </w:pPr>
            <w:r>
              <w:rPr>
                <w:spacing w:val="-3"/>
                <w:position w:val="-2"/>
              </w:rPr>
              <w:t>34</w:t>
            </w:r>
          </w:p>
        </w:tc>
        <w:tc>
          <w:tcPr>
            <w:tcW w:w="720" w:type="dxa"/>
            <w:vAlign w:val="top"/>
          </w:tcPr>
          <w:p w14:paraId="110F9A4E">
            <w:pPr>
              <w:pStyle w:val="6"/>
              <w:spacing w:before="90" w:line="140" w:lineRule="exact"/>
              <w:ind w:left="265"/>
            </w:pPr>
            <w:r>
              <w:rPr>
                <w:spacing w:val="-3"/>
                <w:position w:val="-2"/>
              </w:rPr>
              <w:t>35</w:t>
            </w:r>
          </w:p>
        </w:tc>
        <w:tc>
          <w:tcPr>
            <w:tcW w:w="1060" w:type="dxa"/>
            <w:vAlign w:val="top"/>
          </w:tcPr>
          <w:p w14:paraId="222295B2">
            <w:pPr>
              <w:pStyle w:val="6"/>
              <w:spacing w:before="90" w:line="140" w:lineRule="exact"/>
              <w:ind w:left="435"/>
            </w:pPr>
            <w:r>
              <w:rPr>
                <w:spacing w:val="-3"/>
                <w:position w:val="-2"/>
              </w:rPr>
              <w:t>36</w:t>
            </w:r>
          </w:p>
        </w:tc>
        <w:tc>
          <w:tcPr>
            <w:tcW w:w="1110" w:type="dxa"/>
            <w:vAlign w:val="top"/>
          </w:tcPr>
          <w:p w14:paraId="2F653984">
            <w:pPr>
              <w:pStyle w:val="6"/>
              <w:spacing w:before="90" w:line="140" w:lineRule="exact"/>
              <w:ind w:left="455"/>
            </w:pPr>
            <w:r>
              <w:rPr>
                <w:spacing w:val="-3"/>
                <w:position w:val="-2"/>
              </w:rPr>
              <w:t>37</w:t>
            </w:r>
          </w:p>
        </w:tc>
        <w:tc>
          <w:tcPr>
            <w:tcW w:w="960" w:type="dxa"/>
            <w:vAlign w:val="top"/>
          </w:tcPr>
          <w:p w14:paraId="79E16C03">
            <w:pPr>
              <w:pStyle w:val="6"/>
              <w:spacing w:before="90" w:line="140" w:lineRule="exact"/>
              <w:ind w:left="385"/>
            </w:pPr>
            <w:r>
              <w:rPr>
                <w:spacing w:val="-3"/>
                <w:position w:val="-2"/>
              </w:rPr>
              <w:t>38</w:t>
            </w:r>
          </w:p>
        </w:tc>
        <w:tc>
          <w:tcPr>
            <w:tcW w:w="980" w:type="dxa"/>
            <w:tcBorders>
              <w:right w:val="nil"/>
            </w:tcBorders>
            <w:vAlign w:val="top"/>
          </w:tcPr>
          <w:p w14:paraId="658F327B">
            <w:pPr>
              <w:pStyle w:val="6"/>
              <w:spacing w:before="90" w:line="140" w:lineRule="exact"/>
              <w:ind w:left="395"/>
            </w:pPr>
            <w:r>
              <w:rPr>
                <w:spacing w:val="-3"/>
                <w:position w:val="-2"/>
              </w:rPr>
              <w:t>39</w:t>
            </w:r>
          </w:p>
        </w:tc>
      </w:tr>
    </w:tbl>
    <w:p w14:paraId="198965B5">
      <w:pPr>
        <w:pStyle w:val="2"/>
      </w:pPr>
    </w:p>
    <w:p w14:paraId="739B07AA">
      <w:pPr>
        <w:spacing w:before="53"/>
      </w:pPr>
    </w:p>
    <w:p w14:paraId="4C7B3946">
      <w:pPr>
        <w:sectPr>
          <w:headerReference r:id="rId18" w:type="default"/>
          <w:pgSz w:w="11910" w:h="16840"/>
          <w:pgMar w:top="1065" w:right="1200" w:bottom="0" w:left="1190" w:header="877" w:footer="0" w:gutter="0"/>
          <w:cols w:equalWidth="0" w:num="1">
            <w:col w:w="9520"/>
          </w:cols>
        </w:sectPr>
      </w:pPr>
    </w:p>
    <w:p w14:paraId="610371AB">
      <w:pPr>
        <w:spacing w:before="36" w:line="185" w:lineRule="auto"/>
        <w:ind w:left="59"/>
        <w:rPr>
          <w:rFonts w:ascii="宋体" w:hAnsi="宋体" w:eastAsia="宋体" w:cs="宋体"/>
          <w:sz w:val="18"/>
          <w:szCs w:val="18"/>
        </w:rPr>
      </w:pPr>
      <w:r>
        <w:rPr>
          <w:rFonts w:ascii="宋体" w:hAnsi="宋体" w:eastAsia="宋体" w:cs="宋体"/>
          <w:spacing w:val="-2"/>
          <w:sz w:val="18"/>
          <w:szCs w:val="18"/>
        </w:rPr>
        <w:t>补充资料一：电力产量</w:t>
      </w:r>
    </w:p>
    <w:p w14:paraId="0D327D10">
      <w:pPr>
        <w:pStyle w:val="2"/>
        <w:spacing w:line="14" w:lineRule="auto"/>
        <w:rPr>
          <w:sz w:val="2"/>
        </w:rPr>
      </w:pPr>
      <w:r>
        <w:rPr>
          <w:sz w:val="2"/>
          <w:szCs w:val="2"/>
        </w:rPr>
        <w:br w:type="column"/>
      </w:r>
    </w:p>
    <w:p w14:paraId="1819E918">
      <w:pPr>
        <w:spacing w:before="36" w:line="184" w:lineRule="auto"/>
        <w:rPr>
          <w:rFonts w:ascii="宋体" w:hAnsi="宋体" w:eastAsia="宋体" w:cs="宋体"/>
          <w:sz w:val="18"/>
          <w:szCs w:val="18"/>
        </w:rPr>
      </w:pPr>
      <w:r>
        <w:rPr>
          <w:rFonts w:ascii="宋体" w:hAnsi="宋体" w:eastAsia="宋体" w:cs="宋体"/>
          <w:spacing w:val="-1"/>
          <w:sz w:val="18"/>
          <w:szCs w:val="18"/>
        </w:rPr>
        <w:t>计量单位：亿千瓦时</w:t>
      </w:r>
    </w:p>
    <w:p w14:paraId="5F744717">
      <w:pPr>
        <w:spacing w:line="184" w:lineRule="auto"/>
        <w:rPr>
          <w:rFonts w:ascii="宋体" w:hAnsi="宋体" w:eastAsia="宋体" w:cs="宋体"/>
          <w:sz w:val="18"/>
          <w:szCs w:val="18"/>
        </w:rPr>
        <w:sectPr>
          <w:type w:val="continuous"/>
          <w:pgSz w:w="11910" w:h="16840"/>
          <w:pgMar w:top="1065" w:right="1200" w:bottom="0" w:left="1190" w:header="877" w:footer="0" w:gutter="0"/>
          <w:cols w:equalWidth="0" w:num="2">
            <w:col w:w="7780" w:space="100"/>
            <w:col w:w="1641"/>
          </w:cols>
        </w:sectPr>
      </w:pPr>
    </w:p>
    <w:p w14:paraId="3591EA4C">
      <w:pPr>
        <w:spacing w:line="17" w:lineRule="exact"/>
      </w:pPr>
    </w:p>
    <w:tbl>
      <w:tblPr>
        <w:tblStyle w:val="5"/>
        <w:tblW w:w="9420" w:type="dxa"/>
        <w:tblInd w:w="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60"/>
        <w:gridCol w:w="1040"/>
        <w:gridCol w:w="1050"/>
        <w:gridCol w:w="1040"/>
        <w:gridCol w:w="1050"/>
        <w:gridCol w:w="1040"/>
        <w:gridCol w:w="1040"/>
        <w:gridCol w:w="1050"/>
        <w:gridCol w:w="1050"/>
      </w:tblGrid>
      <w:tr w14:paraId="42D417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1060" w:type="dxa"/>
            <w:tcBorders>
              <w:left w:val="nil"/>
            </w:tcBorders>
            <w:vAlign w:val="top"/>
          </w:tcPr>
          <w:p w14:paraId="32849CE0">
            <w:pPr>
              <w:rPr>
                <w:rFonts w:ascii="Arial"/>
                <w:sz w:val="21"/>
              </w:rPr>
            </w:pPr>
          </w:p>
        </w:tc>
        <w:tc>
          <w:tcPr>
            <w:tcW w:w="1040" w:type="dxa"/>
            <w:vAlign w:val="top"/>
          </w:tcPr>
          <w:p w14:paraId="7335E359">
            <w:pPr>
              <w:pStyle w:val="6"/>
              <w:spacing w:before="193" w:line="221" w:lineRule="auto"/>
              <w:ind w:left="245"/>
            </w:pPr>
            <w:r>
              <w:rPr>
                <w:spacing w:val="-4"/>
              </w:rPr>
              <w:t>合</w:t>
            </w:r>
            <w:r>
              <w:rPr>
                <w:spacing w:val="3"/>
              </w:rPr>
              <w:t xml:space="preserve">  </w:t>
            </w:r>
            <w:r>
              <w:rPr>
                <w:spacing w:val="-4"/>
              </w:rPr>
              <w:t>计</w:t>
            </w:r>
          </w:p>
        </w:tc>
        <w:tc>
          <w:tcPr>
            <w:tcW w:w="1050" w:type="dxa"/>
            <w:vAlign w:val="top"/>
          </w:tcPr>
          <w:p w14:paraId="7D280942">
            <w:pPr>
              <w:pStyle w:val="6"/>
              <w:spacing w:before="92" w:line="236" w:lineRule="auto"/>
              <w:ind w:left="245"/>
            </w:pPr>
            <w:r>
              <w:rPr>
                <w:spacing w:val="-2"/>
              </w:rPr>
              <w:t>太阳能</w:t>
            </w:r>
          </w:p>
          <w:p w14:paraId="47281495">
            <w:pPr>
              <w:pStyle w:val="6"/>
              <w:spacing w:line="220" w:lineRule="auto"/>
              <w:ind w:left="245"/>
            </w:pPr>
            <w:r>
              <w:rPr>
                <w:spacing w:val="3"/>
              </w:rPr>
              <w:t>热发电</w:t>
            </w:r>
          </w:p>
        </w:tc>
        <w:tc>
          <w:tcPr>
            <w:tcW w:w="1040" w:type="dxa"/>
            <w:vAlign w:val="top"/>
          </w:tcPr>
          <w:p w14:paraId="4B843F4A">
            <w:pPr>
              <w:pStyle w:val="6"/>
              <w:spacing w:before="93" w:line="234" w:lineRule="auto"/>
              <w:ind w:left="155" w:right="163" w:firstLine="90"/>
            </w:pPr>
            <w:r>
              <w:rPr>
                <w:spacing w:val="-3"/>
              </w:rPr>
              <w:t>太阳能</w:t>
            </w:r>
            <w:r>
              <w:t xml:space="preserve">  </w:t>
            </w:r>
            <w:r>
              <w:rPr>
                <w:spacing w:val="-3"/>
              </w:rPr>
              <w:t>光伏发电</w:t>
            </w:r>
          </w:p>
        </w:tc>
        <w:tc>
          <w:tcPr>
            <w:tcW w:w="1050" w:type="dxa"/>
            <w:vAlign w:val="top"/>
          </w:tcPr>
          <w:p w14:paraId="627B56C4">
            <w:pPr>
              <w:pStyle w:val="6"/>
              <w:spacing w:before="192" w:line="220" w:lineRule="auto"/>
              <w:ind w:left="245"/>
            </w:pPr>
            <w:r>
              <w:rPr>
                <w:spacing w:val="-4"/>
              </w:rPr>
              <w:t>风</w:t>
            </w:r>
            <w:r>
              <w:rPr>
                <w:spacing w:val="14"/>
              </w:rPr>
              <w:t xml:space="preserve">  </w:t>
            </w:r>
            <w:r>
              <w:rPr>
                <w:spacing w:val="-4"/>
              </w:rPr>
              <w:t>电</w:t>
            </w:r>
          </w:p>
        </w:tc>
        <w:tc>
          <w:tcPr>
            <w:tcW w:w="1040" w:type="dxa"/>
            <w:vAlign w:val="top"/>
          </w:tcPr>
          <w:p w14:paraId="51E5545F">
            <w:pPr>
              <w:pStyle w:val="6"/>
              <w:spacing w:before="192" w:line="220" w:lineRule="auto"/>
              <w:ind w:left="245"/>
            </w:pPr>
            <w:r>
              <w:rPr>
                <w:spacing w:val="-5"/>
              </w:rPr>
              <w:t>核</w:t>
            </w:r>
            <w:r>
              <w:rPr>
                <w:spacing w:val="14"/>
              </w:rPr>
              <w:t xml:space="preserve">  </w:t>
            </w:r>
            <w:r>
              <w:rPr>
                <w:spacing w:val="-5"/>
              </w:rPr>
              <w:t>电</w:t>
            </w:r>
          </w:p>
        </w:tc>
        <w:tc>
          <w:tcPr>
            <w:tcW w:w="1040" w:type="dxa"/>
            <w:vAlign w:val="top"/>
          </w:tcPr>
          <w:p w14:paraId="4FE9FE33">
            <w:pPr>
              <w:pStyle w:val="6"/>
              <w:spacing w:before="192" w:line="219" w:lineRule="auto"/>
              <w:ind w:left="245"/>
            </w:pPr>
            <w:r>
              <w:rPr>
                <w:spacing w:val="-5"/>
              </w:rPr>
              <w:t>水</w:t>
            </w:r>
            <w:r>
              <w:rPr>
                <w:spacing w:val="14"/>
              </w:rPr>
              <w:t xml:space="preserve">  </w:t>
            </w:r>
            <w:r>
              <w:rPr>
                <w:spacing w:val="-5"/>
              </w:rPr>
              <w:t>电</w:t>
            </w:r>
          </w:p>
        </w:tc>
        <w:tc>
          <w:tcPr>
            <w:tcW w:w="1050" w:type="dxa"/>
            <w:vAlign w:val="top"/>
          </w:tcPr>
          <w:p w14:paraId="5490DF50">
            <w:pPr>
              <w:pStyle w:val="6"/>
              <w:spacing w:before="93" w:line="234" w:lineRule="auto"/>
              <w:ind w:left="155" w:right="154" w:firstLine="50"/>
            </w:pPr>
            <w:r>
              <w:rPr>
                <w:spacing w:val="-8"/>
              </w:rPr>
              <w:t>其</w:t>
            </w:r>
            <w:r>
              <w:rPr>
                <w:spacing w:val="2"/>
              </w:rPr>
              <w:t xml:space="preserve">   </w:t>
            </w:r>
            <w:r>
              <w:rPr>
                <w:spacing w:val="-8"/>
              </w:rPr>
              <w:t>他</w:t>
            </w:r>
            <w:r>
              <w:rPr>
                <w:spacing w:val="1"/>
              </w:rPr>
              <w:t xml:space="preserve"> </w:t>
            </w:r>
            <w:r>
              <w:rPr>
                <w:spacing w:val="2"/>
              </w:rPr>
              <w:t>能源发电</w:t>
            </w:r>
          </w:p>
        </w:tc>
        <w:tc>
          <w:tcPr>
            <w:tcW w:w="1050" w:type="dxa"/>
            <w:tcBorders>
              <w:right w:val="nil"/>
            </w:tcBorders>
            <w:vAlign w:val="top"/>
          </w:tcPr>
          <w:p w14:paraId="5802C4CA">
            <w:pPr>
              <w:pStyle w:val="6"/>
              <w:spacing w:before="192" w:line="219" w:lineRule="auto"/>
              <w:ind w:left="245"/>
            </w:pPr>
            <w:r>
              <w:rPr>
                <w:spacing w:val="-5"/>
              </w:rPr>
              <w:t>火</w:t>
            </w:r>
            <w:r>
              <w:rPr>
                <w:spacing w:val="14"/>
              </w:rPr>
              <w:t xml:space="preserve">  </w:t>
            </w:r>
            <w:r>
              <w:rPr>
                <w:spacing w:val="-5"/>
              </w:rPr>
              <w:t>电</w:t>
            </w:r>
          </w:p>
        </w:tc>
      </w:tr>
      <w:tr w14:paraId="036F1D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 w:hRule="atLeast"/>
        </w:trPr>
        <w:tc>
          <w:tcPr>
            <w:tcW w:w="1060" w:type="dxa"/>
            <w:tcBorders>
              <w:left w:val="nil"/>
            </w:tcBorders>
            <w:vAlign w:val="top"/>
          </w:tcPr>
          <w:p w14:paraId="08AD91DD">
            <w:pPr>
              <w:pStyle w:val="6"/>
              <w:spacing w:before="45" w:line="208" w:lineRule="auto"/>
              <w:ind w:left="440"/>
            </w:pPr>
            <w:r>
              <w:t>甲</w:t>
            </w:r>
          </w:p>
        </w:tc>
        <w:tc>
          <w:tcPr>
            <w:tcW w:w="1040" w:type="dxa"/>
            <w:vAlign w:val="top"/>
          </w:tcPr>
          <w:p w14:paraId="205B35CC">
            <w:pPr>
              <w:pStyle w:val="6"/>
              <w:spacing w:before="108" w:line="139" w:lineRule="exact"/>
              <w:ind w:left="465"/>
            </w:pPr>
            <w:r>
              <w:rPr>
                <w:position w:val="-2"/>
              </w:rPr>
              <w:t>1</w:t>
            </w:r>
          </w:p>
        </w:tc>
        <w:tc>
          <w:tcPr>
            <w:tcW w:w="1050" w:type="dxa"/>
            <w:vAlign w:val="top"/>
          </w:tcPr>
          <w:p w14:paraId="4B13E4B5">
            <w:pPr>
              <w:pStyle w:val="6"/>
              <w:spacing w:before="108" w:line="139" w:lineRule="exact"/>
              <w:ind w:left="475"/>
            </w:pPr>
            <w:r>
              <w:rPr>
                <w:position w:val="-2"/>
              </w:rPr>
              <w:t>2</w:t>
            </w:r>
          </w:p>
        </w:tc>
        <w:tc>
          <w:tcPr>
            <w:tcW w:w="1040" w:type="dxa"/>
            <w:vAlign w:val="top"/>
          </w:tcPr>
          <w:p w14:paraId="1CB2D0C7">
            <w:pPr>
              <w:pStyle w:val="6"/>
              <w:spacing w:before="108" w:line="139" w:lineRule="exact"/>
              <w:ind w:left="465"/>
            </w:pPr>
            <w:r>
              <w:rPr>
                <w:position w:val="-2"/>
              </w:rPr>
              <w:t>3</w:t>
            </w:r>
          </w:p>
        </w:tc>
        <w:tc>
          <w:tcPr>
            <w:tcW w:w="1050" w:type="dxa"/>
            <w:vAlign w:val="top"/>
          </w:tcPr>
          <w:p w14:paraId="52A83D4E">
            <w:pPr>
              <w:pStyle w:val="6"/>
              <w:spacing w:before="108" w:line="139" w:lineRule="exact"/>
              <w:ind w:left="475"/>
            </w:pPr>
            <w:r>
              <w:rPr>
                <w:position w:val="-2"/>
              </w:rPr>
              <w:t>4</w:t>
            </w:r>
          </w:p>
        </w:tc>
        <w:tc>
          <w:tcPr>
            <w:tcW w:w="1040" w:type="dxa"/>
            <w:vAlign w:val="top"/>
          </w:tcPr>
          <w:p w14:paraId="5768CC50">
            <w:pPr>
              <w:pStyle w:val="6"/>
              <w:spacing w:before="110" w:line="137" w:lineRule="exact"/>
              <w:ind w:left="465"/>
            </w:pPr>
            <w:r>
              <w:rPr>
                <w:position w:val="-2"/>
              </w:rPr>
              <w:t>5</w:t>
            </w:r>
          </w:p>
        </w:tc>
        <w:tc>
          <w:tcPr>
            <w:tcW w:w="1040" w:type="dxa"/>
            <w:vAlign w:val="top"/>
          </w:tcPr>
          <w:p w14:paraId="2003AC17">
            <w:pPr>
              <w:pStyle w:val="6"/>
              <w:spacing w:before="108" w:line="139" w:lineRule="exact"/>
              <w:ind w:left="464"/>
            </w:pPr>
            <w:r>
              <w:rPr>
                <w:position w:val="-2"/>
              </w:rPr>
              <w:t>6</w:t>
            </w:r>
          </w:p>
        </w:tc>
        <w:tc>
          <w:tcPr>
            <w:tcW w:w="1050" w:type="dxa"/>
            <w:vAlign w:val="top"/>
          </w:tcPr>
          <w:p w14:paraId="00B4BBFB">
            <w:pPr>
              <w:pStyle w:val="6"/>
              <w:spacing w:before="110" w:line="137" w:lineRule="exact"/>
              <w:ind w:left="475"/>
            </w:pPr>
            <w:r>
              <w:rPr>
                <w:position w:val="-2"/>
              </w:rPr>
              <w:t>7</w:t>
            </w:r>
          </w:p>
        </w:tc>
        <w:tc>
          <w:tcPr>
            <w:tcW w:w="1050" w:type="dxa"/>
            <w:tcBorders>
              <w:right w:val="nil"/>
            </w:tcBorders>
            <w:vAlign w:val="top"/>
          </w:tcPr>
          <w:p w14:paraId="188EEB4F">
            <w:pPr>
              <w:pStyle w:val="6"/>
              <w:spacing w:before="108" w:line="139" w:lineRule="exact"/>
              <w:ind w:left="475"/>
            </w:pPr>
            <w:r>
              <w:rPr>
                <w:position w:val="-2"/>
              </w:rPr>
              <w:t>8</w:t>
            </w:r>
          </w:p>
        </w:tc>
      </w:tr>
      <w:tr w14:paraId="1DDE90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1060" w:type="dxa"/>
            <w:tcBorders>
              <w:left w:val="nil"/>
            </w:tcBorders>
            <w:vAlign w:val="top"/>
          </w:tcPr>
          <w:p w14:paraId="04F1CE5E">
            <w:pPr>
              <w:pStyle w:val="6"/>
              <w:spacing w:before="64" w:line="219" w:lineRule="auto"/>
              <w:ind w:left="350"/>
            </w:pPr>
            <w:r>
              <w:rPr>
                <w:spacing w:val="-2"/>
              </w:rPr>
              <w:t>产量</w:t>
            </w:r>
          </w:p>
        </w:tc>
        <w:tc>
          <w:tcPr>
            <w:tcW w:w="8360" w:type="dxa"/>
            <w:gridSpan w:val="8"/>
            <w:tcBorders>
              <w:right w:val="nil"/>
            </w:tcBorders>
            <w:vAlign w:val="top"/>
          </w:tcPr>
          <w:p w14:paraId="75CF42A1">
            <w:pPr>
              <w:rPr>
                <w:rFonts w:ascii="Arial"/>
                <w:sz w:val="21"/>
              </w:rPr>
            </w:pPr>
          </w:p>
        </w:tc>
      </w:tr>
    </w:tbl>
    <w:p w14:paraId="732659B2">
      <w:pPr>
        <w:pStyle w:val="2"/>
        <w:spacing w:line="227" w:lineRule="exact"/>
        <w:rPr>
          <w:sz w:val="19"/>
        </w:rPr>
      </w:pPr>
    </w:p>
    <w:p w14:paraId="3EB74FB2">
      <w:pPr>
        <w:spacing w:line="227" w:lineRule="exact"/>
        <w:rPr>
          <w:sz w:val="19"/>
          <w:szCs w:val="19"/>
        </w:rPr>
        <w:sectPr>
          <w:type w:val="continuous"/>
          <w:pgSz w:w="11910" w:h="16840"/>
          <w:pgMar w:top="1065" w:right="1200" w:bottom="0" w:left="1190" w:header="877" w:footer="0" w:gutter="0"/>
          <w:cols w:equalWidth="0" w:num="1">
            <w:col w:w="9520"/>
          </w:cols>
        </w:sectPr>
      </w:pPr>
    </w:p>
    <w:p w14:paraId="1C689E97">
      <w:pPr>
        <w:spacing w:before="35" w:line="195" w:lineRule="auto"/>
        <w:ind w:left="59"/>
        <w:rPr>
          <w:rFonts w:ascii="宋体" w:hAnsi="宋体" w:eastAsia="宋体" w:cs="宋体"/>
          <w:sz w:val="18"/>
          <w:szCs w:val="18"/>
        </w:rPr>
      </w:pPr>
      <w:r>
        <w:rPr>
          <w:rFonts w:ascii="宋体" w:hAnsi="宋体" w:eastAsia="宋体" w:cs="宋体"/>
          <w:spacing w:val="-1"/>
          <w:sz w:val="18"/>
          <w:szCs w:val="18"/>
        </w:rPr>
        <w:t>补充资料二：国际燃料舱</w:t>
      </w:r>
    </w:p>
    <w:p w14:paraId="23779037">
      <w:pPr>
        <w:pStyle w:val="2"/>
        <w:spacing w:line="14" w:lineRule="auto"/>
        <w:rPr>
          <w:sz w:val="2"/>
        </w:rPr>
      </w:pPr>
      <w:r>
        <w:rPr>
          <w:sz w:val="2"/>
          <w:szCs w:val="2"/>
        </w:rPr>
        <w:br w:type="column"/>
      </w:r>
    </w:p>
    <w:p w14:paraId="29405082">
      <w:pPr>
        <w:spacing w:before="45" w:line="184" w:lineRule="auto"/>
        <w:rPr>
          <w:rFonts w:ascii="宋体" w:hAnsi="宋体" w:eastAsia="宋体" w:cs="宋体"/>
          <w:sz w:val="18"/>
          <w:szCs w:val="18"/>
        </w:rPr>
      </w:pPr>
      <w:r>
        <w:rPr>
          <w:rFonts w:ascii="宋体" w:hAnsi="宋体" w:eastAsia="宋体" w:cs="宋体"/>
          <w:spacing w:val="-1"/>
          <w:sz w:val="18"/>
          <w:szCs w:val="18"/>
        </w:rPr>
        <w:t>计量单位：万吨</w:t>
      </w:r>
    </w:p>
    <w:p w14:paraId="36178233">
      <w:pPr>
        <w:spacing w:line="184" w:lineRule="auto"/>
        <w:rPr>
          <w:rFonts w:ascii="宋体" w:hAnsi="宋体" w:eastAsia="宋体" w:cs="宋体"/>
          <w:sz w:val="18"/>
          <w:szCs w:val="18"/>
        </w:rPr>
        <w:sectPr>
          <w:type w:val="continuous"/>
          <w:pgSz w:w="11910" w:h="16840"/>
          <w:pgMar w:top="1065" w:right="1200" w:bottom="0" w:left="1190" w:header="877" w:footer="0" w:gutter="0"/>
          <w:cols w:equalWidth="0" w:num="2">
            <w:col w:w="8130" w:space="100"/>
            <w:col w:w="1290"/>
          </w:cols>
        </w:sectPr>
      </w:pPr>
    </w:p>
    <w:p w14:paraId="0CC6FB0B">
      <w:pPr>
        <w:spacing w:line="77" w:lineRule="auto"/>
        <w:rPr>
          <w:rFonts w:ascii="Arial"/>
          <w:sz w:val="2"/>
        </w:rPr>
      </w:pPr>
    </w:p>
    <w:tbl>
      <w:tblPr>
        <w:tblStyle w:val="5"/>
        <w:tblW w:w="9390" w:type="dxa"/>
        <w:tblInd w:w="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10"/>
        <w:gridCol w:w="2000"/>
        <w:gridCol w:w="1990"/>
        <w:gridCol w:w="2000"/>
        <w:gridCol w:w="1990"/>
      </w:tblGrid>
      <w:tr w14:paraId="5BC1D0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410" w:type="dxa"/>
            <w:tcBorders>
              <w:left w:val="nil"/>
            </w:tcBorders>
            <w:vAlign w:val="top"/>
          </w:tcPr>
          <w:p w14:paraId="44021C41">
            <w:pPr>
              <w:rPr>
                <w:rFonts w:ascii="Arial"/>
                <w:sz w:val="21"/>
              </w:rPr>
            </w:pPr>
          </w:p>
        </w:tc>
        <w:tc>
          <w:tcPr>
            <w:tcW w:w="2000" w:type="dxa"/>
            <w:vAlign w:val="top"/>
          </w:tcPr>
          <w:p w14:paraId="12608268">
            <w:pPr>
              <w:pStyle w:val="6"/>
              <w:spacing w:before="105" w:line="223" w:lineRule="auto"/>
              <w:ind w:left="724"/>
            </w:pPr>
            <w:r>
              <w:rPr>
                <w:spacing w:val="-4"/>
              </w:rPr>
              <w:t>汽</w:t>
            </w:r>
            <w:r>
              <w:rPr>
                <w:spacing w:val="17"/>
              </w:rPr>
              <w:t xml:space="preserve">  </w:t>
            </w:r>
            <w:r>
              <w:rPr>
                <w:spacing w:val="-4"/>
              </w:rPr>
              <w:t>油</w:t>
            </w:r>
          </w:p>
        </w:tc>
        <w:tc>
          <w:tcPr>
            <w:tcW w:w="1990" w:type="dxa"/>
            <w:vAlign w:val="top"/>
          </w:tcPr>
          <w:p w14:paraId="7DA4DB42">
            <w:pPr>
              <w:pStyle w:val="6"/>
              <w:spacing w:before="103" w:line="220" w:lineRule="auto"/>
              <w:ind w:left="715"/>
            </w:pPr>
            <w:r>
              <w:rPr>
                <w:spacing w:val="-4"/>
              </w:rPr>
              <w:t>煤</w:t>
            </w:r>
            <w:r>
              <w:rPr>
                <w:spacing w:val="18"/>
              </w:rPr>
              <w:t xml:space="preserve">  </w:t>
            </w:r>
            <w:r>
              <w:rPr>
                <w:spacing w:val="-4"/>
              </w:rPr>
              <w:t>油</w:t>
            </w:r>
          </w:p>
        </w:tc>
        <w:tc>
          <w:tcPr>
            <w:tcW w:w="2000" w:type="dxa"/>
            <w:vAlign w:val="top"/>
          </w:tcPr>
          <w:p w14:paraId="1A47B5B2">
            <w:pPr>
              <w:pStyle w:val="6"/>
              <w:spacing w:before="103" w:line="220" w:lineRule="auto"/>
              <w:ind w:left="725"/>
            </w:pPr>
            <w:r>
              <w:rPr>
                <w:spacing w:val="-4"/>
              </w:rPr>
              <w:t>柴</w:t>
            </w:r>
            <w:r>
              <w:rPr>
                <w:spacing w:val="17"/>
              </w:rPr>
              <w:t xml:space="preserve">  </w:t>
            </w:r>
            <w:r>
              <w:rPr>
                <w:spacing w:val="-4"/>
              </w:rPr>
              <w:t>油</w:t>
            </w:r>
          </w:p>
        </w:tc>
        <w:tc>
          <w:tcPr>
            <w:tcW w:w="1990" w:type="dxa"/>
            <w:tcBorders>
              <w:right w:val="nil"/>
            </w:tcBorders>
            <w:vAlign w:val="top"/>
          </w:tcPr>
          <w:p w14:paraId="384CBA39">
            <w:pPr>
              <w:pStyle w:val="6"/>
              <w:spacing w:before="103" w:line="220" w:lineRule="auto"/>
              <w:ind w:left="715"/>
            </w:pPr>
            <w:r>
              <w:rPr>
                <w:spacing w:val="6"/>
              </w:rPr>
              <w:t>燃料油</w:t>
            </w:r>
          </w:p>
        </w:tc>
      </w:tr>
      <w:tr w14:paraId="30AD3E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 w:hRule="atLeast"/>
        </w:trPr>
        <w:tc>
          <w:tcPr>
            <w:tcW w:w="1410" w:type="dxa"/>
            <w:tcBorders>
              <w:left w:val="nil"/>
            </w:tcBorders>
            <w:vAlign w:val="top"/>
          </w:tcPr>
          <w:p w14:paraId="2D65A8FB">
            <w:pPr>
              <w:pStyle w:val="6"/>
              <w:spacing w:before="42" w:line="200" w:lineRule="auto"/>
              <w:ind w:left="610"/>
            </w:pPr>
            <w:r>
              <w:t>甲</w:t>
            </w:r>
          </w:p>
        </w:tc>
        <w:tc>
          <w:tcPr>
            <w:tcW w:w="2000" w:type="dxa"/>
            <w:vAlign w:val="top"/>
          </w:tcPr>
          <w:p w14:paraId="25DF7CD7">
            <w:pPr>
              <w:pStyle w:val="6"/>
              <w:spacing w:before="120" w:line="184" w:lineRule="auto"/>
              <w:ind w:left="975"/>
              <w:rPr>
                <w:sz w:val="6"/>
                <w:szCs w:val="6"/>
              </w:rPr>
            </w:pPr>
            <w:r>
              <w:rPr>
                <w:sz w:val="6"/>
                <w:szCs w:val="6"/>
              </w:rPr>
              <w:t>1</w:t>
            </w:r>
          </w:p>
        </w:tc>
        <w:tc>
          <w:tcPr>
            <w:tcW w:w="1990" w:type="dxa"/>
            <w:vAlign w:val="top"/>
          </w:tcPr>
          <w:p w14:paraId="16BDF0A9">
            <w:pPr>
              <w:pStyle w:val="6"/>
              <w:spacing w:before="96" w:line="141" w:lineRule="exact"/>
              <w:ind w:left="945"/>
            </w:pPr>
            <w:r>
              <w:rPr>
                <w:position w:val="-2"/>
              </w:rPr>
              <w:t>2</w:t>
            </w:r>
          </w:p>
        </w:tc>
        <w:tc>
          <w:tcPr>
            <w:tcW w:w="2000" w:type="dxa"/>
            <w:vAlign w:val="top"/>
          </w:tcPr>
          <w:p w14:paraId="1F4AE3D3">
            <w:pPr>
              <w:pStyle w:val="6"/>
              <w:spacing w:before="96" w:line="141" w:lineRule="exact"/>
              <w:ind w:left="945"/>
            </w:pPr>
            <w:r>
              <w:rPr>
                <w:position w:val="-2"/>
              </w:rPr>
              <w:t>3</w:t>
            </w:r>
          </w:p>
        </w:tc>
        <w:tc>
          <w:tcPr>
            <w:tcW w:w="1990" w:type="dxa"/>
            <w:tcBorders>
              <w:right w:val="nil"/>
            </w:tcBorders>
            <w:vAlign w:val="top"/>
          </w:tcPr>
          <w:p w14:paraId="1FC47AC4">
            <w:pPr>
              <w:pStyle w:val="6"/>
              <w:spacing w:before="96" w:line="141" w:lineRule="exact"/>
              <w:ind w:left="945"/>
            </w:pPr>
            <w:r>
              <w:rPr>
                <w:position w:val="-2"/>
              </w:rPr>
              <w:t>4</w:t>
            </w:r>
          </w:p>
        </w:tc>
      </w:tr>
      <w:tr w14:paraId="6E2EF9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1410" w:type="dxa"/>
            <w:tcBorders>
              <w:left w:val="nil"/>
            </w:tcBorders>
            <w:vAlign w:val="top"/>
          </w:tcPr>
          <w:p w14:paraId="20D94931">
            <w:pPr>
              <w:pStyle w:val="6"/>
              <w:spacing w:before="82" w:line="311" w:lineRule="exact"/>
              <w:ind w:left="340"/>
            </w:pPr>
            <w:r>
              <w:rPr>
                <w:spacing w:val="2"/>
                <w:position w:val="9"/>
              </w:rPr>
              <w:t>国际航空</w:t>
            </w:r>
          </w:p>
          <w:p w14:paraId="27C979F5">
            <w:pPr>
              <w:pStyle w:val="6"/>
              <w:spacing w:line="220" w:lineRule="auto"/>
              <w:ind w:left="340"/>
            </w:pPr>
            <w:r>
              <w:rPr>
                <w:spacing w:val="1"/>
              </w:rPr>
              <w:t>国际海运</w:t>
            </w:r>
          </w:p>
        </w:tc>
        <w:tc>
          <w:tcPr>
            <w:tcW w:w="7980" w:type="dxa"/>
            <w:gridSpan w:val="4"/>
            <w:tcBorders>
              <w:right w:val="nil"/>
            </w:tcBorders>
            <w:vAlign w:val="top"/>
          </w:tcPr>
          <w:p w14:paraId="587D3EAC">
            <w:pPr>
              <w:rPr>
                <w:rFonts w:ascii="Arial"/>
                <w:sz w:val="21"/>
              </w:rPr>
            </w:pPr>
          </w:p>
        </w:tc>
      </w:tr>
    </w:tbl>
    <w:p w14:paraId="266864DA">
      <w:pPr>
        <w:spacing w:before="42" w:line="229" w:lineRule="auto"/>
        <w:ind w:left="59"/>
        <w:rPr>
          <w:rFonts w:ascii="宋体" w:hAnsi="宋体" w:eastAsia="宋体" w:cs="宋体"/>
          <w:sz w:val="18"/>
          <w:szCs w:val="18"/>
        </w:rPr>
      </w:pPr>
      <w:r>
        <w:rPr>
          <w:rFonts w:ascii="宋体" w:hAnsi="宋体" w:eastAsia="宋体" w:cs="宋体"/>
          <w:spacing w:val="-10"/>
          <w:sz w:val="18"/>
          <w:szCs w:val="18"/>
        </w:rPr>
        <w:t>单位负责人：</w:t>
      </w:r>
      <w:r>
        <w:rPr>
          <w:rFonts w:ascii="宋体" w:hAnsi="宋体" w:eastAsia="宋体" w:cs="宋体"/>
          <w:spacing w:val="7"/>
          <w:sz w:val="18"/>
          <w:szCs w:val="18"/>
        </w:rPr>
        <w:t xml:space="preserve">            </w:t>
      </w:r>
      <w:r>
        <w:rPr>
          <w:rFonts w:ascii="宋体" w:hAnsi="宋体" w:eastAsia="宋体" w:cs="宋体"/>
          <w:spacing w:val="-10"/>
          <w:position w:val="1"/>
          <w:sz w:val="18"/>
          <w:szCs w:val="18"/>
        </w:rPr>
        <w:t>填表人：</w:t>
      </w:r>
      <w:r>
        <w:rPr>
          <w:rFonts w:ascii="宋体" w:hAnsi="宋体" w:eastAsia="宋体" w:cs="宋体"/>
          <w:spacing w:val="1"/>
          <w:position w:val="1"/>
          <w:sz w:val="18"/>
          <w:szCs w:val="18"/>
        </w:rPr>
        <w:t xml:space="preserve">           </w:t>
      </w:r>
      <w:r>
        <w:rPr>
          <w:rFonts w:ascii="宋体" w:hAnsi="宋体" w:eastAsia="宋体" w:cs="宋体"/>
          <w:spacing w:val="-10"/>
          <w:sz w:val="18"/>
          <w:szCs w:val="18"/>
        </w:rPr>
        <w:t>联系电话：</w:t>
      </w:r>
      <w:r>
        <w:rPr>
          <w:rFonts w:ascii="宋体" w:hAnsi="宋体" w:eastAsia="宋体" w:cs="宋体"/>
          <w:sz w:val="18"/>
          <w:szCs w:val="18"/>
        </w:rPr>
        <w:t xml:space="preserve">                         </w:t>
      </w:r>
      <w:r>
        <w:rPr>
          <w:rFonts w:ascii="宋体" w:hAnsi="宋体" w:eastAsia="宋体" w:cs="宋体"/>
          <w:spacing w:val="-10"/>
          <w:sz w:val="18"/>
          <w:szCs w:val="18"/>
        </w:rPr>
        <w:t>报出日期：20  年</w:t>
      </w:r>
      <w:r>
        <w:rPr>
          <w:rFonts w:ascii="宋体" w:hAnsi="宋体" w:eastAsia="宋体" w:cs="宋体"/>
          <w:spacing w:val="11"/>
          <w:sz w:val="18"/>
          <w:szCs w:val="18"/>
        </w:rPr>
        <w:t xml:space="preserve">   </w:t>
      </w:r>
      <w:r>
        <w:rPr>
          <w:rFonts w:ascii="宋体" w:hAnsi="宋体" w:eastAsia="宋体" w:cs="宋体"/>
          <w:spacing w:val="-10"/>
          <w:sz w:val="18"/>
          <w:szCs w:val="18"/>
        </w:rPr>
        <w:t>月    日</w:t>
      </w:r>
    </w:p>
    <w:p w14:paraId="1A68DF83">
      <w:pPr>
        <w:spacing w:before="256" w:line="219" w:lineRule="auto"/>
        <w:ind w:left="69"/>
        <w:rPr>
          <w:rFonts w:ascii="宋体" w:hAnsi="宋体" w:eastAsia="宋体" w:cs="宋体"/>
          <w:sz w:val="18"/>
          <w:szCs w:val="18"/>
        </w:rPr>
      </w:pPr>
      <w:r>
        <w:rPr>
          <w:rFonts w:ascii="宋体" w:hAnsi="宋体" w:eastAsia="宋体" w:cs="宋体"/>
          <w:spacing w:val="-3"/>
          <w:sz w:val="18"/>
          <w:szCs w:val="18"/>
        </w:rPr>
        <w:t>说明：1.统计范围：辖区内除军队系统以外的全部能源生产和消费活动。</w:t>
      </w:r>
    </w:p>
    <w:p w14:paraId="7472331F">
      <w:pPr>
        <w:spacing w:before="26" w:line="228" w:lineRule="auto"/>
        <w:ind w:left="719" w:right="51" w:hanging="130"/>
        <w:rPr>
          <w:rFonts w:ascii="宋体" w:hAnsi="宋体" w:eastAsia="宋体" w:cs="宋体"/>
          <w:sz w:val="18"/>
          <w:szCs w:val="18"/>
        </w:rPr>
      </w:pPr>
      <w:r>
        <w:rPr>
          <w:rFonts w:ascii="宋体" w:hAnsi="宋体" w:eastAsia="宋体" w:cs="宋体"/>
          <w:spacing w:val="3"/>
          <w:sz w:val="18"/>
          <w:szCs w:val="18"/>
        </w:rPr>
        <w:t>2.本表由各设区市和平潭综合实验区统计局根据现有资料加工编制并负责报送。报送时间为次年5月</w:t>
      </w:r>
      <w:r>
        <w:rPr>
          <w:rFonts w:ascii="宋体" w:hAnsi="宋体" w:eastAsia="宋体" w:cs="宋体"/>
          <w:spacing w:val="2"/>
          <w:sz w:val="18"/>
          <w:szCs w:val="18"/>
        </w:rPr>
        <w:t>19日前，报</w:t>
      </w:r>
      <w:r>
        <w:rPr>
          <w:rFonts w:ascii="宋体" w:hAnsi="宋体" w:eastAsia="宋体" w:cs="宋体"/>
          <w:sz w:val="18"/>
          <w:szCs w:val="18"/>
        </w:rPr>
        <w:t xml:space="preserve"> </w:t>
      </w:r>
      <w:r>
        <w:rPr>
          <w:rFonts w:ascii="宋体" w:hAnsi="宋体" w:eastAsia="宋体" w:cs="宋体"/>
          <w:spacing w:val="-4"/>
          <w:sz w:val="18"/>
          <w:szCs w:val="18"/>
        </w:rPr>
        <w:t>送方式为电子邮件。</w:t>
      </w:r>
    </w:p>
    <w:p w14:paraId="0EAF933F">
      <w:pPr>
        <w:spacing w:before="27" w:line="220" w:lineRule="auto"/>
        <w:ind w:left="589"/>
        <w:rPr>
          <w:rFonts w:ascii="宋体" w:hAnsi="宋体" w:eastAsia="宋体" w:cs="宋体"/>
          <w:sz w:val="18"/>
          <w:szCs w:val="18"/>
        </w:rPr>
      </w:pPr>
      <w:r>
        <w:rPr>
          <w:rFonts w:ascii="宋体" w:hAnsi="宋体" w:eastAsia="宋体" w:cs="宋体"/>
          <w:spacing w:val="-11"/>
          <w:sz w:val="18"/>
          <w:szCs w:val="18"/>
        </w:rPr>
        <w:t>3.平衡关系：</w:t>
      </w:r>
    </w:p>
    <w:p w14:paraId="52C4B9BD">
      <w:pPr>
        <w:spacing w:before="35" w:line="219" w:lineRule="auto"/>
        <w:ind w:left="719"/>
        <w:rPr>
          <w:rFonts w:ascii="宋体" w:hAnsi="宋体" w:eastAsia="宋体" w:cs="宋体"/>
          <w:sz w:val="18"/>
          <w:szCs w:val="18"/>
        </w:rPr>
      </w:pPr>
      <w:r>
        <w:rPr>
          <w:rFonts w:ascii="宋体" w:hAnsi="宋体" w:eastAsia="宋体" w:cs="宋体"/>
          <w:spacing w:val="7"/>
          <w:sz w:val="18"/>
          <w:szCs w:val="18"/>
        </w:rPr>
        <w:t>列平衡关系：(1)第1列煤合计=2+7+8+9(01—39行)</w:t>
      </w:r>
    </w:p>
    <w:p w14:paraId="02FFB9B7">
      <w:pPr>
        <w:spacing w:before="37" w:line="219" w:lineRule="auto"/>
        <w:ind w:left="1809"/>
        <w:rPr>
          <w:rFonts w:ascii="宋体" w:hAnsi="宋体" w:eastAsia="宋体" w:cs="宋体"/>
          <w:sz w:val="18"/>
          <w:szCs w:val="18"/>
        </w:rPr>
      </w:pPr>
      <w:r>
        <w:rPr>
          <w:rFonts w:ascii="宋体" w:hAnsi="宋体" w:eastAsia="宋体" w:cs="宋体"/>
          <w:spacing w:val="4"/>
          <w:sz w:val="18"/>
          <w:szCs w:val="18"/>
        </w:rPr>
        <w:t>(2)第2列原煤=3+4+5+6</w:t>
      </w:r>
    </w:p>
    <w:p w14:paraId="4D8C2560">
      <w:pPr>
        <w:spacing w:before="16" w:line="219" w:lineRule="auto"/>
        <w:ind w:left="1809"/>
        <w:rPr>
          <w:rFonts w:ascii="宋体" w:hAnsi="宋体" w:eastAsia="宋体" w:cs="宋体"/>
          <w:sz w:val="18"/>
          <w:szCs w:val="18"/>
        </w:rPr>
      </w:pPr>
      <w:r>
        <w:rPr>
          <w:rFonts w:ascii="宋体" w:hAnsi="宋体" w:eastAsia="宋体" w:cs="宋体"/>
          <w:spacing w:val="7"/>
          <w:sz w:val="18"/>
          <w:szCs w:val="18"/>
        </w:rPr>
        <w:t>(3)第17列油品合计=18+19+……+31(01—39行)</w:t>
      </w:r>
    </w:p>
    <w:p w14:paraId="467BD5BD">
      <w:pPr>
        <w:spacing w:before="37" w:line="219" w:lineRule="auto"/>
        <w:ind w:left="719"/>
        <w:rPr>
          <w:rFonts w:ascii="宋体" w:hAnsi="宋体" w:eastAsia="宋体" w:cs="宋体"/>
          <w:sz w:val="18"/>
          <w:szCs w:val="18"/>
        </w:rPr>
      </w:pPr>
      <w:r>
        <w:rPr>
          <w:rFonts w:ascii="宋体" w:hAnsi="宋体" w:eastAsia="宋体" w:cs="宋体"/>
          <w:spacing w:val="-7"/>
          <w:sz w:val="18"/>
          <w:szCs w:val="18"/>
        </w:rPr>
        <w:t>行平衡关系：(1)平衡差额(39)=01+11-23-25</w:t>
      </w:r>
    </w:p>
    <w:p w14:paraId="63A7FED9">
      <w:pPr>
        <w:spacing w:before="26" w:line="237" w:lineRule="auto"/>
        <w:ind w:left="1809" w:right="1008"/>
        <w:rPr>
          <w:rFonts w:ascii="宋体" w:hAnsi="宋体" w:eastAsia="宋体" w:cs="宋体"/>
          <w:sz w:val="18"/>
          <w:szCs w:val="18"/>
        </w:rPr>
      </w:pPr>
      <w:r>
        <w:rPr>
          <w:rFonts w:ascii="宋体" w:hAnsi="宋体" w:eastAsia="宋体" w:cs="宋体"/>
          <w:spacing w:val="-3"/>
          <w:sz w:val="18"/>
          <w:szCs w:val="18"/>
        </w:rPr>
        <w:t>(2)消费量合计(40)=加工转换投入量(加工转换部分的全部负值求和后取绝对值)+23</w:t>
      </w:r>
      <w:r>
        <w:rPr>
          <w:rFonts w:ascii="宋体" w:hAnsi="宋体" w:eastAsia="宋体" w:cs="宋体"/>
          <w:spacing w:val="-4"/>
          <w:sz w:val="18"/>
          <w:szCs w:val="18"/>
        </w:rPr>
        <w:t>+25</w:t>
      </w:r>
      <w:r>
        <w:rPr>
          <w:rFonts w:ascii="宋体" w:hAnsi="宋体" w:eastAsia="宋体" w:cs="宋体"/>
          <w:sz w:val="18"/>
          <w:szCs w:val="18"/>
        </w:rPr>
        <w:t xml:space="preserve"> </w:t>
      </w:r>
      <w:r>
        <w:rPr>
          <w:rFonts w:ascii="宋体" w:hAnsi="宋体" w:eastAsia="宋体" w:cs="宋体"/>
          <w:spacing w:val="-3"/>
          <w:sz w:val="18"/>
          <w:szCs w:val="18"/>
        </w:rPr>
        <w:t>(3)可供本地区消费的能源量(01)=02+03+……+10</w:t>
      </w:r>
    </w:p>
    <w:p w14:paraId="731D44C6">
      <w:pPr>
        <w:spacing w:before="18" w:line="219" w:lineRule="auto"/>
        <w:ind w:left="1809"/>
        <w:rPr>
          <w:rFonts w:ascii="宋体" w:hAnsi="宋体" w:eastAsia="宋体" w:cs="宋体"/>
          <w:sz w:val="18"/>
          <w:szCs w:val="18"/>
        </w:rPr>
      </w:pPr>
      <w:r>
        <w:rPr>
          <w:rFonts w:ascii="宋体" w:hAnsi="宋体" w:eastAsia="宋体" w:cs="宋体"/>
          <w:spacing w:val="-4"/>
          <w:sz w:val="18"/>
          <w:szCs w:val="18"/>
        </w:rPr>
        <w:t>(4)加工转换投入产出(11)=12+13+……+22</w:t>
      </w:r>
    </w:p>
    <w:p w14:paraId="7A75D153">
      <w:pPr>
        <w:spacing w:before="17" w:line="221" w:lineRule="auto"/>
        <w:ind w:left="1809"/>
        <w:rPr>
          <w:rFonts w:ascii="宋体" w:hAnsi="宋体" w:eastAsia="宋体" w:cs="宋体"/>
          <w:sz w:val="18"/>
          <w:szCs w:val="18"/>
        </w:rPr>
      </w:pPr>
      <w:r>
        <w:rPr>
          <w:rFonts w:ascii="宋体" w:hAnsi="宋体" w:eastAsia="宋体" w:cs="宋体"/>
          <w:spacing w:val="-15"/>
          <w:sz w:val="18"/>
          <w:szCs w:val="18"/>
        </w:rPr>
        <w:t>(5)损失量(23)≥24</w:t>
      </w:r>
    </w:p>
    <w:p w14:paraId="274229A1">
      <w:pPr>
        <w:spacing w:before="24" w:line="250" w:lineRule="exact"/>
        <w:ind w:left="1809"/>
        <w:rPr>
          <w:rFonts w:ascii="宋体" w:hAnsi="宋体" w:eastAsia="宋体" w:cs="宋体"/>
          <w:sz w:val="18"/>
          <w:szCs w:val="18"/>
        </w:rPr>
      </w:pPr>
      <w:r>
        <w:rPr>
          <w:rFonts w:ascii="宋体" w:hAnsi="宋体" w:eastAsia="宋体" w:cs="宋体"/>
          <w:spacing w:val="-4"/>
          <w:position w:val="5"/>
          <w:sz w:val="18"/>
          <w:szCs w:val="18"/>
        </w:rPr>
        <w:t>(6)终端消费量(25)=26+28+32+36</w:t>
      </w:r>
    </w:p>
    <w:p w14:paraId="639B1B39">
      <w:pPr>
        <w:spacing w:line="219" w:lineRule="auto"/>
        <w:ind w:left="1809"/>
        <w:rPr>
          <w:rFonts w:ascii="宋体" w:hAnsi="宋体" w:eastAsia="宋体" w:cs="宋体"/>
          <w:sz w:val="18"/>
          <w:szCs w:val="18"/>
        </w:rPr>
      </w:pPr>
      <w:r>
        <w:rPr>
          <w:rFonts w:ascii="宋体" w:hAnsi="宋体" w:eastAsia="宋体" w:cs="宋体"/>
          <w:spacing w:val="-6"/>
          <w:sz w:val="18"/>
          <w:szCs w:val="18"/>
        </w:rPr>
        <w:t>(7)农、林、牧、渔业(26)=27</w:t>
      </w:r>
    </w:p>
    <w:p w14:paraId="5B46CA59">
      <w:pPr>
        <w:spacing w:before="37" w:line="220" w:lineRule="auto"/>
        <w:ind w:left="1809"/>
        <w:rPr>
          <w:rFonts w:ascii="宋体" w:hAnsi="宋体" w:eastAsia="宋体" w:cs="宋体"/>
          <w:sz w:val="18"/>
          <w:szCs w:val="18"/>
        </w:rPr>
      </w:pPr>
      <w:r>
        <w:rPr>
          <w:rFonts w:ascii="宋体" w:hAnsi="宋体" w:eastAsia="宋体" w:cs="宋体"/>
          <w:spacing w:val="-6"/>
          <w:sz w:val="18"/>
          <w:szCs w:val="18"/>
        </w:rPr>
        <w:t>(8)工业和建筑业(28)=29+31</w:t>
      </w:r>
    </w:p>
    <w:p w14:paraId="64C8C4FC">
      <w:pPr>
        <w:spacing w:before="18" w:line="222" w:lineRule="auto"/>
        <w:ind w:left="1809"/>
        <w:rPr>
          <w:rFonts w:ascii="宋体" w:hAnsi="宋体" w:eastAsia="宋体" w:cs="宋体"/>
          <w:sz w:val="18"/>
          <w:szCs w:val="18"/>
        </w:rPr>
      </w:pPr>
      <w:r>
        <w:rPr>
          <w:rFonts w:ascii="宋体" w:hAnsi="宋体" w:eastAsia="宋体" w:cs="宋体"/>
          <w:spacing w:val="-17"/>
          <w:sz w:val="18"/>
          <w:szCs w:val="18"/>
        </w:rPr>
        <w:t>(9)工业(29)≥30</w:t>
      </w:r>
    </w:p>
    <w:p w14:paraId="148B6D1F">
      <w:pPr>
        <w:spacing w:before="10" w:line="219" w:lineRule="auto"/>
        <w:ind w:left="1809"/>
        <w:rPr>
          <w:rFonts w:ascii="宋体" w:hAnsi="宋体" w:eastAsia="宋体" w:cs="宋体"/>
          <w:sz w:val="18"/>
          <w:szCs w:val="18"/>
        </w:rPr>
      </w:pPr>
      <w:r>
        <w:rPr>
          <w:rFonts w:ascii="宋体" w:hAnsi="宋体" w:eastAsia="宋体" w:cs="宋体"/>
          <w:spacing w:val="-4"/>
          <w:sz w:val="18"/>
          <w:szCs w:val="18"/>
        </w:rPr>
        <w:t>(10)服务业*(32)=33+34+35</w:t>
      </w:r>
    </w:p>
    <w:p w14:paraId="42AFAD80">
      <w:pPr>
        <w:spacing w:before="27" w:line="250" w:lineRule="exact"/>
        <w:ind w:left="1809"/>
        <w:rPr>
          <w:rFonts w:ascii="宋体" w:hAnsi="宋体" w:eastAsia="宋体" w:cs="宋体"/>
          <w:sz w:val="18"/>
          <w:szCs w:val="18"/>
        </w:rPr>
      </w:pPr>
      <w:r>
        <w:rPr>
          <w:rFonts w:ascii="宋体" w:hAnsi="宋体" w:eastAsia="宋体" w:cs="宋体"/>
          <w:spacing w:val="-6"/>
          <w:position w:val="4"/>
          <w:sz w:val="18"/>
          <w:szCs w:val="18"/>
        </w:rPr>
        <w:t>(11)居民生活(36)=37+38</w:t>
      </w:r>
    </w:p>
    <w:p w14:paraId="211B0B2F">
      <w:pPr>
        <w:spacing w:line="219" w:lineRule="auto"/>
        <w:ind w:left="589"/>
        <w:rPr>
          <w:rFonts w:ascii="宋体" w:hAnsi="宋体" w:eastAsia="宋体" w:cs="宋体"/>
          <w:sz w:val="18"/>
          <w:szCs w:val="18"/>
        </w:rPr>
      </w:pPr>
      <w:r>
        <w:rPr>
          <w:rFonts w:ascii="宋体" w:hAnsi="宋体" w:eastAsia="宋体" w:cs="宋体"/>
          <w:spacing w:val="-1"/>
          <w:sz w:val="18"/>
          <w:szCs w:val="18"/>
        </w:rPr>
        <w:t>4.电力产量：合计(1)=2+3+4+5+6+7+8</w:t>
      </w:r>
    </w:p>
    <w:p w14:paraId="136186C4">
      <w:pPr>
        <w:spacing w:before="6" w:line="184" w:lineRule="auto"/>
        <w:ind w:left="589"/>
        <w:rPr>
          <w:rFonts w:ascii="宋体" w:hAnsi="宋体" w:eastAsia="宋体" w:cs="宋体"/>
          <w:sz w:val="18"/>
          <w:szCs w:val="18"/>
        </w:rPr>
      </w:pPr>
      <w:r>
        <w:rPr>
          <w:rFonts w:ascii="宋体" w:hAnsi="宋体" w:eastAsia="宋体" w:cs="宋体"/>
          <w:spacing w:val="-3"/>
          <w:sz w:val="18"/>
          <w:szCs w:val="18"/>
        </w:rPr>
        <w:t>5.国际燃料舱指用于国际海运和航空航线轮船和飞机的消费量。</w:t>
      </w:r>
    </w:p>
    <w:p w14:paraId="38FE62A3">
      <w:pPr>
        <w:spacing w:line="184" w:lineRule="auto"/>
        <w:rPr>
          <w:rFonts w:ascii="宋体" w:hAnsi="宋体" w:eastAsia="宋体" w:cs="宋体"/>
          <w:sz w:val="18"/>
          <w:szCs w:val="18"/>
        </w:rPr>
        <w:sectPr>
          <w:type w:val="continuous"/>
          <w:pgSz w:w="11910" w:h="16840"/>
          <w:pgMar w:top="1065" w:right="1200" w:bottom="0" w:left="1190" w:header="877" w:footer="0" w:gutter="0"/>
          <w:cols w:equalWidth="0" w:num="1">
            <w:col w:w="9520"/>
          </w:cols>
        </w:sectPr>
      </w:pPr>
    </w:p>
    <w:p w14:paraId="3F698D19">
      <w:pPr>
        <w:pStyle w:val="2"/>
        <w:spacing w:line="297" w:lineRule="auto"/>
      </w:pPr>
      <w:r>
        <w:pict>
          <v:shape id="_x0000_s1030" o:spid="_x0000_s1030" o:spt="202" type="#_x0000_t202" style="position:absolute;left:0pt;margin-left:60.35pt;margin-top:41.6pt;height:14.1pt;width:20.7pt;mso-position-horizontal-relative:page;mso-position-vertical-relative:page;z-index:251685888;mso-width-relative:page;mso-height-relative:page;" filled="f" stroked="f" coordsize="21600,21600" o:allowincell="f">
            <v:path/>
            <v:fill on="f" focussize="0,0"/>
            <v:stroke on="f"/>
            <v:imagedata o:title=""/>
            <o:lock v:ext="edit" aspectratio="f"/>
            <v:textbox inset="0mm,0mm,0mm,0mm">
              <w:txbxContent>
                <w:p w14:paraId="28E143BE">
                  <w:pPr>
                    <w:pStyle w:val="2"/>
                    <w:tabs>
                      <w:tab w:val="left" w:pos="392"/>
                    </w:tabs>
                    <w:spacing w:before="20" w:line="241" w:lineRule="exact"/>
                    <w:ind w:left="20"/>
                  </w:pPr>
                  <w:r>
                    <w:rPr>
                      <w:u w:val="single" w:color="auto"/>
                    </w:rPr>
                    <w:tab/>
                  </w:r>
                </w:p>
              </w:txbxContent>
            </v:textbox>
          </v:shape>
        </w:pict>
      </w:r>
      <w:r>
        <w:drawing>
          <wp:anchor distT="0" distB="0" distL="0" distR="0" simplePos="0" relativeHeight="251683840" behindDoc="0" locked="0" layoutInCell="0" allowOverlap="1">
            <wp:simplePos x="0" y="0"/>
            <wp:positionH relativeFrom="page">
              <wp:posOffset>762000</wp:posOffset>
            </wp:positionH>
            <wp:positionV relativeFrom="page">
              <wp:posOffset>4457065</wp:posOffset>
            </wp:positionV>
            <wp:extent cx="6013450" cy="6350"/>
            <wp:effectExtent l="0" t="0" r="0" b="0"/>
            <wp:wrapNone/>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95"/>
                    <a:stretch>
                      <a:fillRect/>
                    </a:stretch>
                  </pic:blipFill>
                  <pic:spPr>
                    <a:xfrm>
                      <a:off x="0" y="0"/>
                      <a:ext cx="6013448" cy="6415"/>
                    </a:xfrm>
                    <a:prstGeom prst="rect">
                      <a:avLst/>
                    </a:prstGeom>
                  </pic:spPr>
                </pic:pic>
              </a:graphicData>
            </a:graphic>
          </wp:anchor>
        </w:drawing>
      </w:r>
      <w:r>
        <w:drawing>
          <wp:anchor distT="0" distB="0" distL="0" distR="0" simplePos="0" relativeHeight="251684864" behindDoc="0" locked="0" layoutInCell="0" allowOverlap="1">
            <wp:simplePos x="0" y="0"/>
            <wp:positionH relativeFrom="page">
              <wp:posOffset>768350</wp:posOffset>
            </wp:positionH>
            <wp:positionV relativeFrom="page">
              <wp:posOffset>5721350</wp:posOffset>
            </wp:positionV>
            <wp:extent cx="6019800" cy="6350"/>
            <wp:effectExtent l="0" t="0" r="0" b="0"/>
            <wp:wrapNone/>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96"/>
                    <a:stretch>
                      <a:fillRect/>
                    </a:stretch>
                  </pic:blipFill>
                  <pic:spPr>
                    <a:xfrm>
                      <a:off x="0" y="0"/>
                      <a:ext cx="6019800" cy="6350"/>
                    </a:xfrm>
                    <a:prstGeom prst="rect">
                      <a:avLst/>
                    </a:prstGeom>
                  </pic:spPr>
                </pic:pic>
              </a:graphicData>
            </a:graphic>
          </wp:anchor>
        </w:drawing>
      </w:r>
      <w:r>
        <w:drawing>
          <wp:anchor distT="0" distB="0" distL="0" distR="0" simplePos="0" relativeHeight="251682816" behindDoc="0" locked="0" layoutInCell="0" allowOverlap="1">
            <wp:simplePos x="0" y="0"/>
            <wp:positionH relativeFrom="page">
              <wp:posOffset>762000</wp:posOffset>
            </wp:positionH>
            <wp:positionV relativeFrom="page">
              <wp:posOffset>7009765</wp:posOffset>
            </wp:positionV>
            <wp:extent cx="6032500" cy="6350"/>
            <wp:effectExtent l="0" t="0" r="0" b="0"/>
            <wp:wrapNone/>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97"/>
                    <a:stretch>
                      <a:fillRect/>
                    </a:stretch>
                  </pic:blipFill>
                  <pic:spPr>
                    <a:xfrm>
                      <a:off x="0" y="0"/>
                      <a:ext cx="6032431" cy="6415"/>
                    </a:xfrm>
                    <a:prstGeom prst="rect">
                      <a:avLst/>
                    </a:prstGeom>
                  </pic:spPr>
                </pic:pic>
              </a:graphicData>
            </a:graphic>
          </wp:anchor>
        </w:drawing>
      </w:r>
    </w:p>
    <w:p w14:paraId="7C9F8DCB">
      <w:pPr>
        <w:spacing w:before="104" w:line="220" w:lineRule="auto"/>
        <w:ind w:left="3174"/>
        <w:rPr>
          <w:rFonts w:ascii="宋体" w:hAnsi="宋体" w:eastAsia="宋体" w:cs="宋体"/>
          <w:sz w:val="32"/>
          <w:szCs w:val="32"/>
        </w:rPr>
      </w:pPr>
      <w:bookmarkStart w:id="16" w:name="bookmark20"/>
      <w:bookmarkEnd w:id="16"/>
      <w:bookmarkStart w:id="17" w:name="bookmark19"/>
      <w:bookmarkEnd w:id="17"/>
      <w:r>
        <w:rPr>
          <w:rFonts w:ascii="宋体" w:hAnsi="宋体" w:eastAsia="宋体" w:cs="宋体"/>
          <w:b/>
          <w:bCs/>
          <w:spacing w:val="12"/>
          <w:sz w:val="32"/>
          <w:szCs w:val="32"/>
        </w:rPr>
        <w:t>能源平衡表(标准量)</w:t>
      </w:r>
    </w:p>
    <w:p w14:paraId="17DDF67D">
      <w:pPr>
        <w:spacing w:before="10"/>
      </w:pPr>
    </w:p>
    <w:p w14:paraId="5EAB59EB">
      <w:pPr>
        <w:sectPr>
          <w:headerReference r:id="rId19" w:type="default"/>
          <w:pgSz w:w="11910" w:h="16840"/>
          <w:pgMar w:top="1046" w:right="1210" w:bottom="0" w:left="1200" w:header="876" w:footer="0" w:gutter="0"/>
          <w:cols w:equalWidth="0" w:num="1">
            <w:col w:w="9500"/>
          </w:cols>
        </w:sectPr>
      </w:pPr>
    </w:p>
    <w:p w14:paraId="25CDB86B">
      <w:pPr>
        <w:pStyle w:val="2"/>
        <w:spacing w:line="260" w:lineRule="auto"/>
      </w:pPr>
    </w:p>
    <w:p w14:paraId="437FDDD4">
      <w:pPr>
        <w:pStyle w:val="2"/>
        <w:spacing w:line="260" w:lineRule="auto"/>
      </w:pPr>
    </w:p>
    <w:p w14:paraId="162AB71B">
      <w:pPr>
        <w:pStyle w:val="2"/>
        <w:spacing w:line="260" w:lineRule="auto"/>
      </w:pPr>
    </w:p>
    <w:p w14:paraId="7CCE9D9D">
      <w:pPr>
        <w:pStyle w:val="2"/>
        <w:spacing w:line="261" w:lineRule="auto"/>
      </w:pPr>
    </w:p>
    <w:p w14:paraId="27CBA4A0">
      <w:pPr>
        <w:spacing w:before="55" w:line="174" w:lineRule="auto"/>
        <w:ind w:left="69"/>
        <w:rPr>
          <w:rFonts w:ascii="宋体" w:hAnsi="宋体" w:eastAsia="宋体" w:cs="宋体"/>
          <w:sz w:val="17"/>
          <w:szCs w:val="17"/>
        </w:rPr>
      </w:pPr>
      <w:r>
        <w:rPr>
          <w:rFonts w:ascii="宋体" w:hAnsi="宋体" w:eastAsia="宋体" w:cs="宋体"/>
          <w:spacing w:val="-6"/>
          <w:sz w:val="17"/>
          <w:szCs w:val="17"/>
        </w:rPr>
        <w:t xml:space="preserve">综合机关名称：                            </w:t>
      </w:r>
      <w:r>
        <w:rPr>
          <w:rFonts w:ascii="宋体" w:hAnsi="宋体" w:eastAsia="宋体" w:cs="宋体"/>
          <w:spacing w:val="-7"/>
          <w:sz w:val="17"/>
          <w:szCs w:val="17"/>
        </w:rPr>
        <w:t xml:space="preserve">           </w:t>
      </w:r>
      <w:r>
        <w:rPr>
          <w:rFonts w:ascii="宋体" w:hAnsi="宋体" w:eastAsia="宋体" w:cs="宋体"/>
          <w:spacing w:val="-7"/>
          <w:position w:val="-1"/>
          <w:sz w:val="17"/>
          <w:szCs w:val="17"/>
        </w:rPr>
        <w:t>20</w:t>
      </w:r>
    </w:p>
    <w:p w14:paraId="0A990015">
      <w:pPr>
        <w:pStyle w:val="2"/>
        <w:spacing w:line="14" w:lineRule="auto"/>
        <w:rPr>
          <w:sz w:val="2"/>
        </w:rPr>
      </w:pPr>
      <w:r>
        <w:rPr>
          <w:sz w:val="2"/>
          <w:szCs w:val="2"/>
        </w:rPr>
        <w:br w:type="column"/>
      </w:r>
    </w:p>
    <w:p w14:paraId="3034AF80">
      <w:pPr>
        <w:pStyle w:val="2"/>
        <w:spacing w:line="247" w:lineRule="auto"/>
      </w:pPr>
    </w:p>
    <w:p w14:paraId="7E96C56B">
      <w:pPr>
        <w:pStyle w:val="2"/>
        <w:spacing w:line="248" w:lineRule="auto"/>
      </w:pPr>
    </w:p>
    <w:p w14:paraId="182D8BD8">
      <w:pPr>
        <w:pStyle w:val="2"/>
        <w:spacing w:line="248" w:lineRule="auto"/>
      </w:pPr>
    </w:p>
    <w:p w14:paraId="59DE4D5C">
      <w:pPr>
        <w:pStyle w:val="2"/>
        <w:spacing w:line="248" w:lineRule="auto"/>
      </w:pPr>
    </w:p>
    <w:p w14:paraId="358E0BF8">
      <w:pPr>
        <w:spacing w:before="55" w:line="219" w:lineRule="auto"/>
        <w:rPr>
          <w:rFonts w:ascii="宋体" w:hAnsi="宋体" w:eastAsia="宋体" w:cs="宋体"/>
          <w:sz w:val="17"/>
          <w:szCs w:val="17"/>
        </w:rPr>
      </w:pPr>
      <w:r>
        <w:rPr>
          <w:rFonts w:ascii="宋体" w:hAnsi="宋体" w:eastAsia="宋体" w:cs="宋体"/>
          <w:sz w:val="17"/>
          <w:szCs w:val="17"/>
        </w:rPr>
        <w:t>年</w:t>
      </w:r>
    </w:p>
    <w:p w14:paraId="57003C43">
      <w:pPr>
        <w:pStyle w:val="2"/>
        <w:spacing w:line="14" w:lineRule="auto"/>
        <w:rPr>
          <w:sz w:val="2"/>
        </w:rPr>
      </w:pPr>
      <w:r>
        <w:rPr>
          <w:sz w:val="2"/>
          <w:szCs w:val="2"/>
        </w:rPr>
        <w:br w:type="column"/>
      </w:r>
    </w:p>
    <w:p w14:paraId="14E63732">
      <w:pPr>
        <w:spacing w:before="34" w:line="221" w:lineRule="auto"/>
        <w:rPr>
          <w:rFonts w:ascii="宋体" w:hAnsi="宋体" w:eastAsia="宋体" w:cs="宋体"/>
          <w:sz w:val="18"/>
          <w:szCs w:val="18"/>
        </w:rPr>
      </w:pPr>
      <w:r>
        <w:rPr>
          <w:rFonts w:ascii="宋体" w:hAnsi="宋体" w:eastAsia="宋体" w:cs="宋体"/>
          <w:spacing w:val="-7"/>
          <w:sz w:val="18"/>
          <w:szCs w:val="18"/>
        </w:rPr>
        <w:t>表    号：</w:t>
      </w:r>
      <w:r>
        <w:rPr>
          <w:rFonts w:ascii="宋体" w:hAnsi="宋体" w:eastAsia="宋体" w:cs="宋体"/>
          <w:spacing w:val="-42"/>
          <w:sz w:val="18"/>
          <w:szCs w:val="18"/>
        </w:rPr>
        <w:t xml:space="preserve"> </w:t>
      </w:r>
      <w:r>
        <w:rPr>
          <w:rFonts w:ascii="Times New Roman" w:hAnsi="Times New Roman" w:eastAsia="Times New Roman" w:cs="Times New Roman"/>
          <w:spacing w:val="-7"/>
          <w:sz w:val="18"/>
          <w:szCs w:val="18"/>
        </w:rPr>
        <w:t>P</w:t>
      </w:r>
      <w:r>
        <w:rPr>
          <w:rFonts w:ascii="Times New Roman" w:hAnsi="Times New Roman" w:eastAsia="Times New Roman" w:cs="Times New Roman"/>
          <w:spacing w:val="10"/>
          <w:sz w:val="18"/>
          <w:szCs w:val="18"/>
        </w:rPr>
        <w:t xml:space="preserve">   </w:t>
      </w:r>
      <w:r>
        <w:rPr>
          <w:rFonts w:ascii="Times New Roman" w:hAnsi="Times New Roman" w:eastAsia="Times New Roman" w:cs="Times New Roman"/>
          <w:spacing w:val="-7"/>
          <w:sz w:val="18"/>
          <w:szCs w:val="18"/>
        </w:rPr>
        <w:t xml:space="preserve">3   </w:t>
      </w:r>
      <w:r>
        <w:rPr>
          <w:rFonts w:ascii="宋体" w:hAnsi="宋体" w:eastAsia="宋体" w:cs="宋体"/>
          <w:spacing w:val="-7"/>
          <w:sz w:val="18"/>
          <w:szCs w:val="18"/>
        </w:rPr>
        <w:t>0</w:t>
      </w:r>
      <w:r>
        <w:rPr>
          <w:rFonts w:ascii="宋体" w:hAnsi="宋体" w:eastAsia="宋体" w:cs="宋体"/>
          <w:spacing w:val="49"/>
          <w:sz w:val="18"/>
          <w:szCs w:val="18"/>
        </w:rPr>
        <w:t xml:space="preserve"> </w:t>
      </w:r>
      <w:r>
        <w:rPr>
          <w:rFonts w:ascii="宋体" w:hAnsi="宋体" w:eastAsia="宋体" w:cs="宋体"/>
          <w:spacing w:val="-7"/>
          <w:sz w:val="18"/>
          <w:szCs w:val="18"/>
        </w:rPr>
        <w:t>3—4</w:t>
      </w:r>
      <w:r>
        <w:rPr>
          <w:rFonts w:ascii="宋体" w:hAnsi="宋体" w:eastAsia="宋体" w:cs="宋体"/>
          <w:spacing w:val="3"/>
          <w:sz w:val="18"/>
          <w:szCs w:val="18"/>
        </w:rPr>
        <w:t xml:space="preserve">   </w:t>
      </w:r>
      <w:r>
        <w:rPr>
          <w:rFonts w:ascii="宋体" w:hAnsi="宋体" w:eastAsia="宋体" w:cs="宋体"/>
          <w:spacing w:val="-7"/>
          <w:sz w:val="18"/>
          <w:szCs w:val="18"/>
        </w:rPr>
        <w:t>表</w:t>
      </w:r>
    </w:p>
    <w:p w14:paraId="6DA50D1E">
      <w:pPr>
        <w:spacing w:before="52" w:line="219" w:lineRule="auto"/>
        <w:rPr>
          <w:rFonts w:ascii="宋体" w:hAnsi="宋体" w:eastAsia="宋体" w:cs="宋体"/>
          <w:sz w:val="18"/>
          <w:szCs w:val="18"/>
        </w:rPr>
      </w:pPr>
      <w:r>
        <w:rPr>
          <w:rFonts w:ascii="宋体" w:hAnsi="宋体" w:eastAsia="宋体" w:cs="宋体"/>
          <w:spacing w:val="-4"/>
          <w:sz w:val="18"/>
          <w:szCs w:val="18"/>
        </w:rPr>
        <w:t>制定机关：国  家</w:t>
      </w:r>
      <w:r>
        <w:rPr>
          <w:rFonts w:ascii="宋体" w:hAnsi="宋体" w:eastAsia="宋体" w:cs="宋体"/>
          <w:spacing w:val="10"/>
          <w:sz w:val="18"/>
          <w:szCs w:val="18"/>
        </w:rPr>
        <w:t xml:space="preserve"> </w:t>
      </w:r>
      <w:r>
        <w:rPr>
          <w:rFonts w:ascii="宋体" w:hAnsi="宋体" w:eastAsia="宋体" w:cs="宋体"/>
          <w:spacing w:val="-4"/>
          <w:sz w:val="18"/>
          <w:szCs w:val="18"/>
        </w:rPr>
        <w:t>统</w:t>
      </w:r>
      <w:r>
        <w:rPr>
          <w:rFonts w:ascii="宋体" w:hAnsi="宋体" w:eastAsia="宋体" w:cs="宋体"/>
          <w:spacing w:val="2"/>
          <w:sz w:val="18"/>
          <w:szCs w:val="18"/>
        </w:rPr>
        <w:t xml:space="preserve">  </w:t>
      </w:r>
      <w:r>
        <w:rPr>
          <w:rFonts w:ascii="宋体" w:hAnsi="宋体" w:eastAsia="宋体" w:cs="宋体"/>
          <w:spacing w:val="-4"/>
          <w:sz w:val="18"/>
          <w:szCs w:val="18"/>
        </w:rPr>
        <w:t>计</w:t>
      </w:r>
      <w:r>
        <w:rPr>
          <w:rFonts w:ascii="宋体" w:hAnsi="宋体" w:eastAsia="宋体" w:cs="宋体"/>
          <w:spacing w:val="53"/>
          <w:sz w:val="18"/>
          <w:szCs w:val="18"/>
        </w:rPr>
        <w:t xml:space="preserve"> </w:t>
      </w:r>
      <w:r>
        <w:rPr>
          <w:rFonts w:ascii="宋体" w:hAnsi="宋体" w:eastAsia="宋体" w:cs="宋体"/>
          <w:spacing w:val="-4"/>
          <w:sz w:val="18"/>
          <w:szCs w:val="18"/>
        </w:rPr>
        <w:t>局</w:t>
      </w:r>
    </w:p>
    <w:p w14:paraId="6B306BA8">
      <w:pPr>
        <w:spacing w:before="47" w:line="219" w:lineRule="auto"/>
        <w:rPr>
          <w:rFonts w:ascii="宋体" w:hAnsi="宋体" w:eastAsia="宋体" w:cs="宋体"/>
          <w:sz w:val="18"/>
          <w:szCs w:val="18"/>
        </w:rPr>
      </w:pPr>
      <w:r>
        <w:rPr>
          <w:rFonts w:ascii="宋体" w:hAnsi="宋体" w:eastAsia="宋体" w:cs="宋体"/>
          <w:spacing w:val="-8"/>
          <w:sz w:val="18"/>
          <w:szCs w:val="18"/>
        </w:rPr>
        <w:t>文</w:t>
      </w:r>
      <w:r>
        <w:rPr>
          <w:rFonts w:ascii="宋体" w:hAnsi="宋体" w:eastAsia="宋体" w:cs="宋体"/>
          <w:spacing w:val="23"/>
          <w:sz w:val="18"/>
          <w:szCs w:val="18"/>
        </w:rPr>
        <w:t xml:space="preserve">   </w:t>
      </w:r>
      <w:r>
        <w:rPr>
          <w:rFonts w:ascii="宋体" w:hAnsi="宋体" w:eastAsia="宋体" w:cs="宋体"/>
          <w:spacing w:val="-8"/>
          <w:sz w:val="18"/>
          <w:szCs w:val="18"/>
        </w:rPr>
        <w:t>号：国统字〔202</w:t>
      </w:r>
      <w:r>
        <w:rPr>
          <w:rFonts w:hint="eastAsia" w:ascii="宋体" w:hAnsi="宋体" w:eastAsia="宋体" w:cs="宋体"/>
          <w:spacing w:val="-8"/>
          <w:sz w:val="18"/>
          <w:szCs w:val="18"/>
          <w:lang w:val="en-US" w:eastAsia="zh-CN"/>
        </w:rPr>
        <w:t>4</w:t>
      </w:r>
      <w:r>
        <w:rPr>
          <w:rFonts w:ascii="宋体" w:hAnsi="宋体" w:eastAsia="宋体" w:cs="宋体"/>
          <w:spacing w:val="-8"/>
          <w:sz w:val="18"/>
          <w:szCs w:val="18"/>
        </w:rPr>
        <w:t>〕</w:t>
      </w:r>
      <w:r>
        <w:rPr>
          <w:rFonts w:hint="eastAsia" w:ascii="宋体" w:hAnsi="宋体" w:eastAsia="宋体" w:cs="宋体"/>
          <w:spacing w:val="-8"/>
          <w:sz w:val="18"/>
          <w:szCs w:val="18"/>
          <w:lang w:val="en-US" w:eastAsia="zh-CN"/>
        </w:rPr>
        <w:t>77</w:t>
      </w:r>
      <w:r>
        <w:rPr>
          <w:rFonts w:ascii="宋体" w:hAnsi="宋体" w:eastAsia="宋体" w:cs="宋体"/>
          <w:spacing w:val="-8"/>
          <w:sz w:val="18"/>
          <w:szCs w:val="18"/>
        </w:rPr>
        <w:t>号</w:t>
      </w:r>
    </w:p>
    <w:p w14:paraId="7C6D2FE5">
      <w:pPr>
        <w:spacing w:before="36" w:line="219" w:lineRule="auto"/>
        <w:rPr>
          <w:rFonts w:ascii="宋体" w:hAnsi="宋体" w:eastAsia="宋体" w:cs="宋体"/>
          <w:sz w:val="18"/>
          <w:szCs w:val="18"/>
        </w:rPr>
      </w:pPr>
      <w:r>
        <w:rPr>
          <w:rFonts w:ascii="宋体" w:hAnsi="宋体" w:eastAsia="宋体" w:cs="宋体"/>
          <w:spacing w:val="-3"/>
          <w:sz w:val="18"/>
          <w:szCs w:val="18"/>
        </w:rPr>
        <w:t>有效期至：2</w:t>
      </w:r>
      <w:r>
        <w:rPr>
          <w:rFonts w:ascii="宋体" w:hAnsi="宋体" w:eastAsia="宋体" w:cs="宋体"/>
          <w:spacing w:val="44"/>
          <w:w w:val="101"/>
          <w:sz w:val="18"/>
          <w:szCs w:val="18"/>
        </w:rPr>
        <w:t xml:space="preserve"> </w:t>
      </w:r>
      <w:r>
        <w:rPr>
          <w:rFonts w:ascii="宋体" w:hAnsi="宋体" w:eastAsia="宋体" w:cs="宋体"/>
          <w:spacing w:val="-3"/>
          <w:sz w:val="18"/>
          <w:szCs w:val="18"/>
        </w:rPr>
        <w:t>0</w:t>
      </w:r>
      <w:r>
        <w:rPr>
          <w:rFonts w:ascii="宋体" w:hAnsi="宋体" w:eastAsia="宋体" w:cs="宋体"/>
          <w:spacing w:val="48"/>
          <w:sz w:val="18"/>
          <w:szCs w:val="18"/>
        </w:rPr>
        <w:t xml:space="preserve"> </w:t>
      </w:r>
      <w:r>
        <w:rPr>
          <w:rFonts w:ascii="宋体" w:hAnsi="宋体" w:eastAsia="宋体" w:cs="宋体"/>
          <w:spacing w:val="-3"/>
          <w:sz w:val="18"/>
          <w:szCs w:val="18"/>
        </w:rPr>
        <w:t>2</w:t>
      </w:r>
      <w:r>
        <w:rPr>
          <w:rFonts w:hint="eastAsia" w:ascii="宋体" w:hAnsi="宋体" w:eastAsia="宋体" w:cs="宋体"/>
          <w:spacing w:val="-3"/>
          <w:sz w:val="18"/>
          <w:szCs w:val="18"/>
          <w:lang w:val="en-US" w:eastAsia="zh-CN"/>
        </w:rPr>
        <w:t xml:space="preserve">  5</w:t>
      </w:r>
      <w:r>
        <w:rPr>
          <w:rFonts w:ascii="宋体" w:hAnsi="宋体" w:eastAsia="宋体" w:cs="宋体"/>
          <w:spacing w:val="-3"/>
          <w:sz w:val="18"/>
          <w:szCs w:val="18"/>
        </w:rPr>
        <w:t>年</w:t>
      </w:r>
      <w:r>
        <w:rPr>
          <w:rFonts w:ascii="宋体" w:hAnsi="宋体" w:eastAsia="宋体" w:cs="宋体"/>
          <w:spacing w:val="17"/>
          <w:sz w:val="18"/>
          <w:szCs w:val="18"/>
        </w:rPr>
        <w:t xml:space="preserve"> </w:t>
      </w:r>
      <w:r>
        <w:rPr>
          <w:rFonts w:ascii="宋体" w:hAnsi="宋体" w:eastAsia="宋体" w:cs="宋体"/>
          <w:spacing w:val="-3"/>
          <w:sz w:val="18"/>
          <w:szCs w:val="18"/>
        </w:rPr>
        <w:t>6 月</w:t>
      </w:r>
    </w:p>
    <w:p w14:paraId="548C4404">
      <w:pPr>
        <w:spacing w:before="66" w:line="194" w:lineRule="auto"/>
        <w:ind w:left="10"/>
        <w:rPr>
          <w:rFonts w:ascii="宋体" w:hAnsi="宋体" w:eastAsia="宋体" w:cs="宋体"/>
          <w:sz w:val="17"/>
          <w:szCs w:val="17"/>
        </w:rPr>
      </w:pPr>
      <w:r>
        <w:rPr>
          <w:rFonts w:ascii="宋体" w:hAnsi="宋体" w:eastAsia="宋体" w:cs="宋体"/>
          <w:spacing w:val="-3"/>
          <w:sz w:val="17"/>
          <w:szCs w:val="17"/>
        </w:rPr>
        <w:t>计量单位：万</w:t>
      </w:r>
      <w:r>
        <w:rPr>
          <w:rFonts w:ascii="宋体" w:hAnsi="宋体" w:eastAsia="宋体" w:cs="宋体"/>
          <w:spacing w:val="10"/>
          <w:sz w:val="17"/>
          <w:szCs w:val="17"/>
        </w:rPr>
        <w:t xml:space="preserve">  </w:t>
      </w:r>
      <w:r>
        <w:rPr>
          <w:rFonts w:ascii="宋体" w:hAnsi="宋体" w:eastAsia="宋体" w:cs="宋体"/>
          <w:spacing w:val="-3"/>
          <w:sz w:val="17"/>
          <w:szCs w:val="17"/>
        </w:rPr>
        <w:t>吨  标</w:t>
      </w:r>
      <w:r>
        <w:rPr>
          <w:rFonts w:ascii="宋体" w:hAnsi="宋体" w:eastAsia="宋体" w:cs="宋体"/>
          <w:spacing w:val="4"/>
          <w:sz w:val="17"/>
          <w:szCs w:val="17"/>
        </w:rPr>
        <w:t xml:space="preserve">  </w:t>
      </w:r>
      <w:r>
        <w:rPr>
          <w:rFonts w:ascii="宋体" w:hAnsi="宋体" w:eastAsia="宋体" w:cs="宋体"/>
          <w:spacing w:val="-3"/>
          <w:sz w:val="17"/>
          <w:szCs w:val="17"/>
        </w:rPr>
        <w:t>准</w:t>
      </w:r>
      <w:r>
        <w:rPr>
          <w:rFonts w:ascii="宋体" w:hAnsi="宋体" w:eastAsia="宋体" w:cs="宋体"/>
          <w:spacing w:val="3"/>
          <w:sz w:val="17"/>
          <w:szCs w:val="17"/>
        </w:rPr>
        <w:t xml:space="preserve">  </w:t>
      </w:r>
      <w:r>
        <w:rPr>
          <w:rFonts w:ascii="宋体" w:hAnsi="宋体" w:eastAsia="宋体" w:cs="宋体"/>
          <w:spacing w:val="-3"/>
          <w:sz w:val="17"/>
          <w:szCs w:val="17"/>
        </w:rPr>
        <w:t>煤</w:t>
      </w:r>
    </w:p>
    <w:p w14:paraId="3DB278AF">
      <w:pPr>
        <w:spacing w:line="194" w:lineRule="auto"/>
        <w:rPr>
          <w:rFonts w:ascii="宋体" w:hAnsi="宋体" w:eastAsia="宋体" w:cs="宋体"/>
          <w:sz w:val="17"/>
          <w:szCs w:val="17"/>
        </w:rPr>
        <w:sectPr>
          <w:type w:val="continuous"/>
          <w:pgSz w:w="11910" w:h="16840"/>
          <w:pgMar w:top="1046" w:right="1210" w:bottom="0" w:left="1200" w:header="876" w:footer="0" w:gutter="0"/>
          <w:cols w:equalWidth="0" w:num="3">
            <w:col w:w="4781" w:space="100"/>
            <w:col w:w="2090" w:space="100"/>
            <w:col w:w="2430"/>
          </w:cols>
        </w:sectPr>
      </w:pPr>
    </w:p>
    <w:p w14:paraId="3D6D31DE">
      <w:pPr>
        <w:spacing w:line="28" w:lineRule="exact"/>
      </w:pPr>
    </w:p>
    <w:tbl>
      <w:tblPr>
        <w:tblStyle w:val="5"/>
        <w:tblW w:w="9370" w:type="dxa"/>
        <w:tblInd w:w="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90"/>
        <w:gridCol w:w="660"/>
        <w:gridCol w:w="660"/>
        <w:gridCol w:w="660"/>
        <w:gridCol w:w="840"/>
        <w:gridCol w:w="900"/>
        <w:gridCol w:w="910"/>
        <w:gridCol w:w="710"/>
        <w:gridCol w:w="630"/>
        <w:gridCol w:w="600"/>
        <w:gridCol w:w="610"/>
      </w:tblGrid>
      <w:tr w14:paraId="54A7F1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4" w:hRule="atLeast"/>
        </w:trPr>
        <w:tc>
          <w:tcPr>
            <w:tcW w:w="2190" w:type="dxa"/>
            <w:vMerge w:val="restart"/>
            <w:tcBorders>
              <w:left w:val="nil"/>
              <w:bottom w:val="nil"/>
            </w:tcBorders>
            <w:vAlign w:val="top"/>
          </w:tcPr>
          <w:p w14:paraId="1D264CBC">
            <w:pPr>
              <w:spacing w:line="292" w:lineRule="auto"/>
              <w:rPr>
                <w:rFonts w:ascii="Arial"/>
                <w:sz w:val="21"/>
              </w:rPr>
            </w:pPr>
          </w:p>
          <w:p w14:paraId="4F063956">
            <w:pPr>
              <w:pStyle w:val="6"/>
              <w:spacing w:before="59" w:line="220" w:lineRule="auto"/>
              <w:ind w:left="730"/>
            </w:pPr>
            <w:r>
              <w:rPr>
                <w:spacing w:val="-2"/>
              </w:rPr>
              <w:t>指标名称</w:t>
            </w:r>
          </w:p>
        </w:tc>
        <w:tc>
          <w:tcPr>
            <w:tcW w:w="660" w:type="dxa"/>
            <w:vMerge w:val="restart"/>
            <w:tcBorders>
              <w:bottom w:val="nil"/>
            </w:tcBorders>
            <w:vAlign w:val="top"/>
          </w:tcPr>
          <w:p w14:paraId="1E71C4D0">
            <w:pPr>
              <w:spacing w:line="292" w:lineRule="auto"/>
              <w:rPr>
                <w:rFonts w:ascii="Arial"/>
                <w:sz w:val="21"/>
              </w:rPr>
            </w:pPr>
          </w:p>
          <w:p w14:paraId="603F8952">
            <w:pPr>
              <w:pStyle w:val="6"/>
              <w:spacing w:before="58" w:line="219" w:lineRule="auto"/>
              <w:ind w:left="145"/>
            </w:pPr>
            <w:r>
              <w:rPr>
                <w:spacing w:val="-2"/>
              </w:rPr>
              <w:t>代码</w:t>
            </w:r>
          </w:p>
        </w:tc>
        <w:tc>
          <w:tcPr>
            <w:tcW w:w="660" w:type="dxa"/>
            <w:vMerge w:val="restart"/>
            <w:tcBorders>
              <w:bottom w:val="nil"/>
            </w:tcBorders>
            <w:vAlign w:val="top"/>
          </w:tcPr>
          <w:p w14:paraId="1B1295DC">
            <w:pPr>
              <w:spacing w:line="292" w:lineRule="auto"/>
              <w:rPr>
                <w:rFonts w:ascii="Arial"/>
                <w:sz w:val="21"/>
              </w:rPr>
            </w:pPr>
          </w:p>
          <w:p w14:paraId="584602EF">
            <w:pPr>
              <w:pStyle w:val="6"/>
              <w:spacing w:before="59" w:line="220" w:lineRule="auto"/>
              <w:ind w:left="55"/>
            </w:pPr>
            <w:r>
              <w:rPr>
                <w:spacing w:val="-2"/>
              </w:rPr>
              <w:t>煤合计</w:t>
            </w:r>
          </w:p>
        </w:tc>
        <w:tc>
          <w:tcPr>
            <w:tcW w:w="4020" w:type="dxa"/>
            <w:gridSpan w:val="5"/>
            <w:vAlign w:val="top"/>
          </w:tcPr>
          <w:p w14:paraId="6C5887BE">
            <w:pPr>
              <w:spacing w:line="204" w:lineRule="exact"/>
              <w:rPr>
                <w:rFonts w:ascii="Arial"/>
                <w:sz w:val="17"/>
              </w:rPr>
            </w:pPr>
          </w:p>
        </w:tc>
        <w:tc>
          <w:tcPr>
            <w:tcW w:w="630" w:type="dxa"/>
            <w:vMerge w:val="restart"/>
            <w:tcBorders>
              <w:bottom w:val="nil"/>
            </w:tcBorders>
            <w:vAlign w:val="top"/>
          </w:tcPr>
          <w:p w14:paraId="4AD77369">
            <w:pPr>
              <w:spacing w:line="290" w:lineRule="auto"/>
              <w:rPr>
                <w:rFonts w:ascii="Arial"/>
                <w:sz w:val="21"/>
              </w:rPr>
            </w:pPr>
          </w:p>
          <w:p w14:paraId="6B26E859">
            <w:pPr>
              <w:pStyle w:val="6"/>
              <w:spacing w:before="59" w:line="219" w:lineRule="auto"/>
              <w:ind w:left="34"/>
            </w:pPr>
            <w:r>
              <w:rPr>
                <w:spacing w:val="-2"/>
              </w:rPr>
              <w:t>洗精煤</w:t>
            </w:r>
          </w:p>
        </w:tc>
        <w:tc>
          <w:tcPr>
            <w:tcW w:w="600" w:type="dxa"/>
            <w:vMerge w:val="restart"/>
            <w:tcBorders>
              <w:bottom w:val="nil"/>
            </w:tcBorders>
            <w:vAlign w:val="top"/>
          </w:tcPr>
          <w:p w14:paraId="3AC857C5">
            <w:pPr>
              <w:pStyle w:val="6"/>
              <w:spacing w:before="252" w:line="226" w:lineRule="auto"/>
              <w:ind w:left="115"/>
            </w:pPr>
            <w:r>
              <w:rPr>
                <w:spacing w:val="-2"/>
              </w:rPr>
              <w:t>其他</w:t>
            </w:r>
          </w:p>
          <w:p w14:paraId="6286BE15">
            <w:pPr>
              <w:pStyle w:val="6"/>
              <w:spacing w:line="220" w:lineRule="auto"/>
              <w:ind w:left="115"/>
            </w:pPr>
            <w:r>
              <w:rPr>
                <w:spacing w:val="-2"/>
              </w:rPr>
              <w:t>洗煤</w:t>
            </w:r>
          </w:p>
        </w:tc>
        <w:tc>
          <w:tcPr>
            <w:tcW w:w="610" w:type="dxa"/>
            <w:vMerge w:val="restart"/>
            <w:tcBorders>
              <w:bottom w:val="nil"/>
              <w:right w:val="nil"/>
            </w:tcBorders>
            <w:vAlign w:val="top"/>
          </w:tcPr>
          <w:p w14:paraId="3DBFB57C">
            <w:pPr>
              <w:spacing w:line="292" w:lineRule="auto"/>
              <w:rPr>
                <w:rFonts w:ascii="Arial"/>
                <w:sz w:val="21"/>
              </w:rPr>
            </w:pPr>
          </w:p>
          <w:p w14:paraId="40238F28">
            <w:pPr>
              <w:pStyle w:val="6"/>
              <w:spacing w:before="59" w:line="220" w:lineRule="auto"/>
              <w:ind w:left="25"/>
            </w:pPr>
            <w:r>
              <w:rPr>
                <w:spacing w:val="6"/>
              </w:rPr>
              <w:t>煤制品</w:t>
            </w:r>
          </w:p>
        </w:tc>
      </w:tr>
      <w:tr w14:paraId="038197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8" w:hRule="atLeast"/>
        </w:trPr>
        <w:tc>
          <w:tcPr>
            <w:tcW w:w="2190" w:type="dxa"/>
            <w:vMerge w:val="continue"/>
            <w:tcBorders>
              <w:top w:val="nil"/>
              <w:left w:val="nil"/>
              <w:bottom w:val="nil"/>
            </w:tcBorders>
            <w:vAlign w:val="top"/>
          </w:tcPr>
          <w:p w14:paraId="13D2D32E">
            <w:pPr>
              <w:rPr>
                <w:rFonts w:ascii="Arial"/>
                <w:sz w:val="21"/>
              </w:rPr>
            </w:pPr>
          </w:p>
        </w:tc>
        <w:tc>
          <w:tcPr>
            <w:tcW w:w="660" w:type="dxa"/>
            <w:vMerge w:val="continue"/>
            <w:tcBorders>
              <w:top w:val="nil"/>
              <w:bottom w:val="nil"/>
            </w:tcBorders>
            <w:vAlign w:val="top"/>
          </w:tcPr>
          <w:p w14:paraId="43ECDC18">
            <w:pPr>
              <w:rPr>
                <w:rFonts w:ascii="Arial"/>
                <w:sz w:val="21"/>
              </w:rPr>
            </w:pPr>
          </w:p>
        </w:tc>
        <w:tc>
          <w:tcPr>
            <w:tcW w:w="660" w:type="dxa"/>
            <w:vMerge w:val="continue"/>
            <w:tcBorders>
              <w:top w:val="nil"/>
              <w:bottom w:val="nil"/>
            </w:tcBorders>
            <w:vAlign w:val="top"/>
          </w:tcPr>
          <w:p w14:paraId="54771B7C">
            <w:pPr>
              <w:rPr>
                <w:rFonts w:ascii="Arial"/>
                <w:sz w:val="21"/>
              </w:rPr>
            </w:pPr>
          </w:p>
        </w:tc>
        <w:tc>
          <w:tcPr>
            <w:tcW w:w="660" w:type="dxa"/>
            <w:vMerge w:val="restart"/>
            <w:tcBorders>
              <w:bottom w:val="nil"/>
            </w:tcBorders>
            <w:vAlign w:val="top"/>
          </w:tcPr>
          <w:p w14:paraId="1513E750">
            <w:pPr>
              <w:pStyle w:val="6"/>
              <w:spacing w:before="148" w:line="220" w:lineRule="auto"/>
              <w:ind w:left="145"/>
            </w:pPr>
            <w:r>
              <w:rPr>
                <w:spacing w:val="-3"/>
              </w:rPr>
              <w:t>原煤</w:t>
            </w:r>
          </w:p>
        </w:tc>
        <w:tc>
          <w:tcPr>
            <w:tcW w:w="840" w:type="dxa"/>
            <w:vMerge w:val="restart"/>
            <w:tcBorders>
              <w:bottom w:val="nil"/>
            </w:tcBorders>
            <w:vAlign w:val="top"/>
          </w:tcPr>
          <w:p w14:paraId="0E4B7C27">
            <w:pPr>
              <w:pStyle w:val="6"/>
              <w:spacing w:before="238" w:line="220" w:lineRule="auto"/>
              <w:ind w:left="144"/>
            </w:pPr>
            <w:r>
              <w:rPr>
                <w:spacing w:val="-2"/>
              </w:rPr>
              <w:t>无烟煤</w:t>
            </w:r>
          </w:p>
        </w:tc>
        <w:tc>
          <w:tcPr>
            <w:tcW w:w="1810" w:type="dxa"/>
            <w:gridSpan w:val="2"/>
            <w:vAlign w:val="top"/>
          </w:tcPr>
          <w:p w14:paraId="4BD42E8E">
            <w:pPr>
              <w:pStyle w:val="6"/>
              <w:spacing w:before="68" w:line="220" w:lineRule="auto"/>
              <w:ind w:left="644"/>
            </w:pPr>
            <w:r>
              <w:rPr>
                <w:spacing w:val="-4"/>
              </w:rPr>
              <w:t>烟</w:t>
            </w:r>
            <w:r>
              <w:rPr>
                <w:spacing w:val="3"/>
              </w:rPr>
              <w:t xml:space="preserve">  </w:t>
            </w:r>
            <w:r>
              <w:rPr>
                <w:spacing w:val="-4"/>
              </w:rPr>
              <w:t>煤</w:t>
            </w:r>
          </w:p>
        </w:tc>
        <w:tc>
          <w:tcPr>
            <w:tcW w:w="710" w:type="dxa"/>
            <w:vMerge w:val="restart"/>
            <w:tcBorders>
              <w:bottom w:val="nil"/>
            </w:tcBorders>
            <w:vAlign w:val="top"/>
          </w:tcPr>
          <w:p w14:paraId="5E6C9015">
            <w:pPr>
              <w:pStyle w:val="6"/>
              <w:spacing w:before="238" w:line="219" w:lineRule="auto"/>
              <w:ind w:left="165"/>
            </w:pPr>
            <w:r>
              <w:rPr>
                <w:spacing w:val="-2"/>
              </w:rPr>
              <w:t>褐煤</w:t>
            </w:r>
          </w:p>
        </w:tc>
        <w:tc>
          <w:tcPr>
            <w:tcW w:w="630" w:type="dxa"/>
            <w:vMerge w:val="continue"/>
            <w:tcBorders>
              <w:top w:val="nil"/>
              <w:bottom w:val="nil"/>
            </w:tcBorders>
            <w:vAlign w:val="top"/>
          </w:tcPr>
          <w:p w14:paraId="64B2B11E">
            <w:pPr>
              <w:rPr>
                <w:rFonts w:ascii="Arial"/>
                <w:sz w:val="21"/>
              </w:rPr>
            </w:pPr>
          </w:p>
        </w:tc>
        <w:tc>
          <w:tcPr>
            <w:tcW w:w="600" w:type="dxa"/>
            <w:vMerge w:val="continue"/>
            <w:tcBorders>
              <w:top w:val="nil"/>
              <w:bottom w:val="nil"/>
            </w:tcBorders>
            <w:vAlign w:val="top"/>
          </w:tcPr>
          <w:p w14:paraId="23A311F1">
            <w:pPr>
              <w:rPr>
                <w:rFonts w:ascii="Arial"/>
                <w:sz w:val="21"/>
              </w:rPr>
            </w:pPr>
          </w:p>
        </w:tc>
        <w:tc>
          <w:tcPr>
            <w:tcW w:w="610" w:type="dxa"/>
            <w:vMerge w:val="continue"/>
            <w:tcBorders>
              <w:top w:val="nil"/>
              <w:bottom w:val="nil"/>
              <w:right w:val="nil"/>
            </w:tcBorders>
            <w:vAlign w:val="top"/>
          </w:tcPr>
          <w:p w14:paraId="44131D3A">
            <w:pPr>
              <w:rPr>
                <w:rFonts w:ascii="Arial"/>
                <w:sz w:val="21"/>
              </w:rPr>
            </w:pPr>
          </w:p>
        </w:tc>
      </w:tr>
      <w:tr w14:paraId="038507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2190" w:type="dxa"/>
            <w:vMerge w:val="continue"/>
            <w:tcBorders>
              <w:top w:val="nil"/>
              <w:left w:val="nil"/>
            </w:tcBorders>
            <w:vAlign w:val="top"/>
          </w:tcPr>
          <w:p w14:paraId="035F55FB">
            <w:pPr>
              <w:rPr>
                <w:rFonts w:ascii="Arial"/>
                <w:sz w:val="21"/>
              </w:rPr>
            </w:pPr>
          </w:p>
        </w:tc>
        <w:tc>
          <w:tcPr>
            <w:tcW w:w="660" w:type="dxa"/>
            <w:vMerge w:val="continue"/>
            <w:tcBorders>
              <w:top w:val="nil"/>
            </w:tcBorders>
            <w:vAlign w:val="top"/>
          </w:tcPr>
          <w:p w14:paraId="371BC068">
            <w:pPr>
              <w:rPr>
                <w:rFonts w:ascii="Arial"/>
                <w:sz w:val="21"/>
              </w:rPr>
            </w:pPr>
          </w:p>
        </w:tc>
        <w:tc>
          <w:tcPr>
            <w:tcW w:w="660" w:type="dxa"/>
            <w:vMerge w:val="continue"/>
            <w:tcBorders>
              <w:top w:val="nil"/>
            </w:tcBorders>
            <w:vAlign w:val="top"/>
          </w:tcPr>
          <w:p w14:paraId="3E907C2A">
            <w:pPr>
              <w:rPr>
                <w:rFonts w:ascii="Arial"/>
                <w:sz w:val="21"/>
              </w:rPr>
            </w:pPr>
          </w:p>
        </w:tc>
        <w:tc>
          <w:tcPr>
            <w:tcW w:w="660" w:type="dxa"/>
            <w:vMerge w:val="continue"/>
            <w:tcBorders>
              <w:top w:val="nil"/>
            </w:tcBorders>
            <w:vAlign w:val="top"/>
          </w:tcPr>
          <w:p w14:paraId="0E89E78D">
            <w:pPr>
              <w:rPr>
                <w:rFonts w:ascii="Arial"/>
                <w:sz w:val="21"/>
              </w:rPr>
            </w:pPr>
          </w:p>
        </w:tc>
        <w:tc>
          <w:tcPr>
            <w:tcW w:w="840" w:type="dxa"/>
            <w:vMerge w:val="continue"/>
            <w:tcBorders>
              <w:top w:val="nil"/>
            </w:tcBorders>
            <w:vAlign w:val="top"/>
          </w:tcPr>
          <w:p w14:paraId="0552AC27">
            <w:pPr>
              <w:rPr>
                <w:rFonts w:ascii="Arial"/>
                <w:sz w:val="21"/>
              </w:rPr>
            </w:pPr>
          </w:p>
        </w:tc>
        <w:tc>
          <w:tcPr>
            <w:tcW w:w="900" w:type="dxa"/>
            <w:vAlign w:val="top"/>
          </w:tcPr>
          <w:p w14:paraId="4205D239">
            <w:pPr>
              <w:pStyle w:val="6"/>
              <w:spacing w:before="80" w:line="220" w:lineRule="auto"/>
              <w:ind w:left="85"/>
            </w:pPr>
            <w:r>
              <w:rPr>
                <w:spacing w:val="-2"/>
              </w:rPr>
              <w:t>炼焦烟煤</w:t>
            </w:r>
          </w:p>
        </w:tc>
        <w:tc>
          <w:tcPr>
            <w:tcW w:w="910" w:type="dxa"/>
            <w:vAlign w:val="top"/>
          </w:tcPr>
          <w:p w14:paraId="73929EB2">
            <w:pPr>
              <w:pStyle w:val="6"/>
              <w:spacing w:before="80" w:line="220" w:lineRule="auto"/>
              <w:ind w:left="85"/>
            </w:pPr>
            <w:r>
              <w:rPr>
                <w:spacing w:val="-3"/>
              </w:rPr>
              <w:t>一般烟煤</w:t>
            </w:r>
          </w:p>
        </w:tc>
        <w:tc>
          <w:tcPr>
            <w:tcW w:w="710" w:type="dxa"/>
            <w:vMerge w:val="continue"/>
            <w:tcBorders>
              <w:top w:val="nil"/>
            </w:tcBorders>
            <w:vAlign w:val="top"/>
          </w:tcPr>
          <w:p w14:paraId="297B45AB">
            <w:pPr>
              <w:rPr>
                <w:rFonts w:ascii="Arial"/>
                <w:sz w:val="21"/>
              </w:rPr>
            </w:pPr>
          </w:p>
        </w:tc>
        <w:tc>
          <w:tcPr>
            <w:tcW w:w="630" w:type="dxa"/>
            <w:vMerge w:val="continue"/>
            <w:tcBorders>
              <w:top w:val="nil"/>
            </w:tcBorders>
            <w:vAlign w:val="top"/>
          </w:tcPr>
          <w:p w14:paraId="09A917A7">
            <w:pPr>
              <w:rPr>
                <w:rFonts w:ascii="Arial"/>
                <w:sz w:val="21"/>
              </w:rPr>
            </w:pPr>
          </w:p>
        </w:tc>
        <w:tc>
          <w:tcPr>
            <w:tcW w:w="600" w:type="dxa"/>
            <w:vMerge w:val="continue"/>
            <w:tcBorders>
              <w:top w:val="nil"/>
            </w:tcBorders>
            <w:vAlign w:val="top"/>
          </w:tcPr>
          <w:p w14:paraId="461941A4">
            <w:pPr>
              <w:rPr>
                <w:rFonts w:ascii="Arial"/>
                <w:sz w:val="21"/>
              </w:rPr>
            </w:pPr>
          </w:p>
        </w:tc>
        <w:tc>
          <w:tcPr>
            <w:tcW w:w="610" w:type="dxa"/>
            <w:vMerge w:val="continue"/>
            <w:tcBorders>
              <w:top w:val="nil"/>
              <w:right w:val="nil"/>
            </w:tcBorders>
            <w:vAlign w:val="top"/>
          </w:tcPr>
          <w:p w14:paraId="30DFCEE3">
            <w:pPr>
              <w:rPr>
                <w:rFonts w:ascii="Arial"/>
                <w:sz w:val="21"/>
              </w:rPr>
            </w:pPr>
          </w:p>
        </w:tc>
      </w:tr>
      <w:tr w14:paraId="090784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8" w:hRule="atLeast"/>
        </w:trPr>
        <w:tc>
          <w:tcPr>
            <w:tcW w:w="2190" w:type="dxa"/>
            <w:tcBorders>
              <w:left w:val="nil"/>
            </w:tcBorders>
            <w:vAlign w:val="top"/>
          </w:tcPr>
          <w:p w14:paraId="7C17C89D">
            <w:pPr>
              <w:pStyle w:val="6"/>
              <w:spacing w:before="75" w:line="222" w:lineRule="auto"/>
              <w:ind w:left="1000"/>
            </w:pPr>
            <w:r>
              <w:t>甲</w:t>
            </w:r>
          </w:p>
        </w:tc>
        <w:tc>
          <w:tcPr>
            <w:tcW w:w="660" w:type="dxa"/>
            <w:vAlign w:val="top"/>
          </w:tcPr>
          <w:p w14:paraId="5B1DDE37">
            <w:pPr>
              <w:pStyle w:val="6"/>
              <w:spacing w:before="87" w:line="216" w:lineRule="auto"/>
              <w:ind w:left="234"/>
            </w:pPr>
            <w:r>
              <w:t>乙</w:t>
            </w:r>
          </w:p>
        </w:tc>
        <w:tc>
          <w:tcPr>
            <w:tcW w:w="660" w:type="dxa"/>
            <w:vAlign w:val="top"/>
          </w:tcPr>
          <w:p w14:paraId="0802A5AC">
            <w:pPr>
              <w:rPr>
                <w:rFonts w:ascii="Arial"/>
                <w:sz w:val="21"/>
              </w:rPr>
            </w:pPr>
          </w:p>
        </w:tc>
        <w:tc>
          <w:tcPr>
            <w:tcW w:w="660" w:type="dxa"/>
            <w:vAlign w:val="top"/>
          </w:tcPr>
          <w:p w14:paraId="5ABAB6E3">
            <w:pPr>
              <w:pStyle w:val="6"/>
              <w:spacing w:before="158" w:line="140" w:lineRule="exact"/>
              <w:ind w:left="275"/>
            </w:pPr>
            <w:r>
              <w:rPr>
                <w:position w:val="-2"/>
              </w:rPr>
              <w:t>2</w:t>
            </w:r>
          </w:p>
        </w:tc>
        <w:tc>
          <w:tcPr>
            <w:tcW w:w="840" w:type="dxa"/>
            <w:vAlign w:val="top"/>
          </w:tcPr>
          <w:p w14:paraId="2FC2E9C0">
            <w:pPr>
              <w:pStyle w:val="6"/>
              <w:spacing w:before="158" w:line="140" w:lineRule="exact"/>
              <w:ind w:left="365"/>
            </w:pPr>
            <w:r>
              <w:rPr>
                <w:position w:val="-2"/>
              </w:rPr>
              <w:t>3</w:t>
            </w:r>
          </w:p>
        </w:tc>
        <w:tc>
          <w:tcPr>
            <w:tcW w:w="900" w:type="dxa"/>
            <w:vAlign w:val="top"/>
          </w:tcPr>
          <w:p w14:paraId="5F454CAC">
            <w:pPr>
              <w:pStyle w:val="6"/>
              <w:spacing w:before="168" w:line="130" w:lineRule="exact"/>
              <w:ind w:left="394"/>
            </w:pPr>
            <w:r>
              <w:rPr>
                <w:position w:val="-2"/>
              </w:rPr>
              <w:t>4</w:t>
            </w:r>
          </w:p>
        </w:tc>
        <w:tc>
          <w:tcPr>
            <w:tcW w:w="910" w:type="dxa"/>
            <w:vAlign w:val="top"/>
          </w:tcPr>
          <w:p w14:paraId="4A669DFC">
            <w:pPr>
              <w:pStyle w:val="6"/>
              <w:spacing w:before="159" w:line="139" w:lineRule="exact"/>
              <w:ind w:left="405"/>
            </w:pPr>
            <w:r>
              <w:rPr>
                <w:position w:val="-2"/>
              </w:rPr>
              <w:t>5</w:t>
            </w:r>
          </w:p>
        </w:tc>
        <w:tc>
          <w:tcPr>
            <w:tcW w:w="710" w:type="dxa"/>
            <w:vAlign w:val="top"/>
          </w:tcPr>
          <w:p w14:paraId="23B7E68E">
            <w:pPr>
              <w:pStyle w:val="6"/>
              <w:spacing w:before="168" w:line="130" w:lineRule="exact"/>
              <w:ind w:left="305"/>
            </w:pPr>
            <w:r>
              <w:rPr>
                <w:position w:val="-2"/>
              </w:rPr>
              <w:t>6</w:t>
            </w:r>
          </w:p>
        </w:tc>
        <w:tc>
          <w:tcPr>
            <w:tcW w:w="630" w:type="dxa"/>
            <w:vAlign w:val="top"/>
          </w:tcPr>
          <w:p w14:paraId="76D65368">
            <w:pPr>
              <w:pStyle w:val="6"/>
              <w:spacing w:before="119" w:line="182" w:lineRule="auto"/>
              <w:ind w:left="265"/>
            </w:pPr>
            <w:r>
              <w:t>7</w:t>
            </w:r>
          </w:p>
        </w:tc>
        <w:tc>
          <w:tcPr>
            <w:tcW w:w="600" w:type="dxa"/>
            <w:vAlign w:val="top"/>
          </w:tcPr>
          <w:p w14:paraId="09ADBF27">
            <w:pPr>
              <w:pStyle w:val="6"/>
              <w:spacing w:before="158" w:line="140" w:lineRule="exact"/>
              <w:ind w:left="245"/>
            </w:pPr>
            <w:r>
              <w:rPr>
                <w:position w:val="-2"/>
              </w:rPr>
              <w:t>8</w:t>
            </w:r>
          </w:p>
        </w:tc>
        <w:tc>
          <w:tcPr>
            <w:tcW w:w="610" w:type="dxa"/>
            <w:tcBorders>
              <w:right w:val="nil"/>
            </w:tcBorders>
            <w:vAlign w:val="top"/>
          </w:tcPr>
          <w:p w14:paraId="309311D0">
            <w:pPr>
              <w:pStyle w:val="6"/>
              <w:spacing w:before="168" w:line="130" w:lineRule="exact"/>
              <w:ind w:left="255"/>
            </w:pPr>
            <w:r>
              <w:rPr>
                <w:position w:val="-2"/>
              </w:rPr>
              <w:t>9</w:t>
            </w:r>
          </w:p>
        </w:tc>
      </w:tr>
      <w:tr w14:paraId="386A3F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2190" w:type="dxa"/>
            <w:tcBorders>
              <w:left w:val="nil"/>
            </w:tcBorders>
            <w:vAlign w:val="top"/>
          </w:tcPr>
          <w:p w14:paraId="3EB2BFF3">
            <w:pPr>
              <w:pStyle w:val="6"/>
              <w:spacing w:before="184" w:line="219" w:lineRule="auto"/>
              <w:ind w:left="100"/>
            </w:pPr>
            <w:r>
              <w:rPr>
                <w:spacing w:val="1"/>
              </w:rPr>
              <w:t>填报目录与P303-1表相同</w:t>
            </w:r>
          </w:p>
        </w:tc>
        <w:tc>
          <w:tcPr>
            <w:tcW w:w="660" w:type="dxa"/>
            <w:vAlign w:val="top"/>
          </w:tcPr>
          <w:p w14:paraId="3B555726">
            <w:pPr>
              <w:rPr>
                <w:rFonts w:ascii="Arial"/>
                <w:sz w:val="21"/>
              </w:rPr>
            </w:pPr>
          </w:p>
        </w:tc>
        <w:tc>
          <w:tcPr>
            <w:tcW w:w="6520" w:type="dxa"/>
            <w:gridSpan w:val="9"/>
            <w:tcBorders>
              <w:right w:val="nil"/>
            </w:tcBorders>
            <w:vAlign w:val="top"/>
          </w:tcPr>
          <w:p w14:paraId="70C26859">
            <w:pPr>
              <w:rPr>
                <w:rFonts w:ascii="Arial"/>
                <w:sz w:val="21"/>
              </w:rPr>
            </w:pPr>
          </w:p>
        </w:tc>
      </w:tr>
    </w:tbl>
    <w:p w14:paraId="48E4819A">
      <w:pPr>
        <w:spacing w:before="193" w:line="220" w:lineRule="auto"/>
        <w:ind w:left="29"/>
        <w:rPr>
          <w:rFonts w:ascii="宋体" w:hAnsi="宋体" w:eastAsia="宋体" w:cs="宋体"/>
          <w:sz w:val="18"/>
          <w:szCs w:val="18"/>
        </w:rPr>
      </w:pPr>
      <w:r>
        <w:rPr>
          <w:rFonts w:ascii="宋体" w:hAnsi="宋体" w:eastAsia="宋体" w:cs="宋体"/>
          <w:sz w:val="18"/>
          <w:szCs w:val="18"/>
        </w:rPr>
        <w:t>续表一</w:t>
      </w:r>
    </w:p>
    <w:p w14:paraId="1BE72784">
      <w:pPr>
        <w:spacing w:line="32" w:lineRule="exact"/>
      </w:pPr>
    </w:p>
    <w:tbl>
      <w:tblPr>
        <w:tblStyle w:val="5"/>
        <w:tblW w:w="9400" w:type="dxa"/>
        <w:tblInd w:w="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30"/>
        <w:gridCol w:w="850"/>
        <w:gridCol w:w="870"/>
        <w:gridCol w:w="850"/>
        <w:gridCol w:w="850"/>
        <w:gridCol w:w="870"/>
        <w:gridCol w:w="850"/>
        <w:gridCol w:w="850"/>
        <w:gridCol w:w="850"/>
        <w:gridCol w:w="870"/>
        <w:gridCol w:w="860"/>
      </w:tblGrid>
      <w:tr w14:paraId="4CD6DD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7" w:hRule="atLeast"/>
        </w:trPr>
        <w:tc>
          <w:tcPr>
            <w:tcW w:w="830" w:type="dxa"/>
            <w:tcBorders>
              <w:left w:val="nil"/>
            </w:tcBorders>
            <w:vAlign w:val="top"/>
          </w:tcPr>
          <w:p w14:paraId="17145C1C">
            <w:pPr>
              <w:pStyle w:val="6"/>
              <w:spacing w:before="282" w:line="220" w:lineRule="auto"/>
              <w:ind w:left="140"/>
            </w:pPr>
            <w:r>
              <w:rPr>
                <w:spacing w:val="-2"/>
              </w:rPr>
              <w:t>煤矸石</w:t>
            </w:r>
          </w:p>
        </w:tc>
        <w:tc>
          <w:tcPr>
            <w:tcW w:w="850" w:type="dxa"/>
            <w:vAlign w:val="top"/>
          </w:tcPr>
          <w:p w14:paraId="29E6E063">
            <w:pPr>
              <w:pStyle w:val="6"/>
              <w:spacing w:before="283" w:line="221" w:lineRule="auto"/>
              <w:ind w:left="155"/>
            </w:pPr>
            <w:r>
              <w:rPr>
                <w:spacing w:val="-4"/>
              </w:rPr>
              <w:t>焦</w:t>
            </w:r>
            <w:r>
              <w:rPr>
                <w:spacing w:val="4"/>
              </w:rPr>
              <w:t xml:space="preserve">  </w:t>
            </w:r>
            <w:r>
              <w:rPr>
                <w:spacing w:val="-4"/>
              </w:rPr>
              <w:t>炭</w:t>
            </w:r>
          </w:p>
        </w:tc>
        <w:tc>
          <w:tcPr>
            <w:tcW w:w="870" w:type="dxa"/>
            <w:vAlign w:val="top"/>
          </w:tcPr>
          <w:p w14:paraId="500F7594">
            <w:pPr>
              <w:pStyle w:val="6"/>
              <w:spacing w:before="172" w:line="236" w:lineRule="auto"/>
              <w:ind w:left="245"/>
            </w:pPr>
            <w:r>
              <w:rPr>
                <w:spacing w:val="6"/>
              </w:rPr>
              <w:t>焦炉</w:t>
            </w:r>
          </w:p>
          <w:p w14:paraId="634A104C">
            <w:pPr>
              <w:pStyle w:val="6"/>
              <w:spacing w:line="220" w:lineRule="auto"/>
              <w:ind w:left="245"/>
            </w:pPr>
            <w:r>
              <w:rPr>
                <w:spacing w:val="-2"/>
              </w:rPr>
              <w:t>煤气</w:t>
            </w:r>
          </w:p>
        </w:tc>
        <w:tc>
          <w:tcPr>
            <w:tcW w:w="850" w:type="dxa"/>
            <w:vAlign w:val="top"/>
          </w:tcPr>
          <w:p w14:paraId="6B48E09C">
            <w:pPr>
              <w:pStyle w:val="6"/>
              <w:spacing w:before="172" w:line="226" w:lineRule="auto"/>
              <w:ind w:left="235"/>
            </w:pPr>
            <w:r>
              <w:rPr>
                <w:spacing w:val="6"/>
              </w:rPr>
              <w:t>高炉</w:t>
            </w:r>
          </w:p>
          <w:p w14:paraId="680CAE1D">
            <w:pPr>
              <w:pStyle w:val="6"/>
              <w:spacing w:line="220" w:lineRule="auto"/>
              <w:ind w:left="185"/>
            </w:pPr>
            <w:r>
              <w:rPr>
                <w:spacing w:val="-4"/>
              </w:rPr>
              <w:t>煤</w:t>
            </w:r>
            <w:r>
              <w:rPr>
                <w:spacing w:val="37"/>
              </w:rPr>
              <w:t xml:space="preserve"> </w:t>
            </w:r>
            <w:r>
              <w:rPr>
                <w:spacing w:val="-4"/>
              </w:rPr>
              <w:t>气</w:t>
            </w:r>
          </w:p>
        </w:tc>
        <w:tc>
          <w:tcPr>
            <w:tcW w:w="850" w:type="dxa"/>
            <w:vAlign w:val="top"/>
          </w:tcPr>
          <w:p w14:paraId="12A37F14">
            <w:pPr>
              <w:pStyle w:val="6"/>
              <w:spacing w:before="182" w:line="226" w:lineRule="auto"/>
              <w:ind w:left="235"/>
            </w:pPr>
            <w:r>
              <w:rPr>
                <w:spacing w:val="6"/>
              </w:rPr>
              <w:t>转炉</w:t>
            </w:r>
          </w:p>
          <w:p w14:paraId="60471614">
            <w:pPr>
              <w:pStyle w:val="6"/>
              <w:spacing w:line="220" w:lineRule="auto"/>
              <w:ind w:left="235"/>
            </w:pPr>
            <w:r>
              <w:rPr>
                <w:spacing w:val="-2"/>
              </w:rPr>
              <w:t>煤气</w:t>
            </w:r>
          </w:p>
        </w:tc>
        <w:tc>
          <w:tcPr>
            <w:tcW w:w="870" w:type="dxa"/>
            <w:vAlign w:val="top"/>
          </w:tcPr>
          <w:p w14:paraId="7F8B7D0D">
            <w:pPr>
              <w:pStyle w:val="6"/>
              <w:spacing w:before="182" w:line="226" w:lineRule="auto"/>
              <w:ind w:left="245"/>
            </w:pPr>
            <w:r>
              <w:rPr>
                <w:spacing w:val="-2"/>
              </w:rPr>
              <w:t>其他</w:t>
            </w:r>
          </w:p>
          <w:p w14:paraId="4C8071E3">
            <w:pPr>
              <w:pStyle w:val="6"/>
              <w:spacing w:line="220" w:lineRule="auto"/>
              <w:ind w:left="195"/>
            </w:pPr>
            <w:r>
              <w:rPr>
                <w:spacing w:val="-4"/>
              </w:rPr>
              <w:t>煤</w:t>
            </w:r>
            <w:r>
              <w:rPr>
                <w:spacing w:val="37"/>
              </w:rPr>
              <w:t xml:space="preserve"> </w:t>
            </w:r>
            <w:r>
              <w:rPr>
                <w:spacing w:val="-4"/>
              </w:rPr>
              <w:t>气</w:t>
            </w:r>
          </w:p>
        </w:tc>
        <w:tc>
          <w:tcPr>
            <w:tcW w:w="850" w:type="dxa"/>
            <w:vAlign w:val="top"/>
          </w:tcPr>
          <w:p w14:paraId="2227455E">
            <w:pPr>
              <w:pStyle w:val="6"/>
              <w:spacing w:before="183" w:line="222" w:lineRule="auto"/>
              <w:ind w:left="55" w:right="46" w:firstLine="50"/>
            </w:pPr>
            <w:r>
              <w:rPr>
                <w:spacing w:val="-7"/>
              </w:rPr>
              <w:t>其</w:t>
            </w:r>
            <w:r>
              <w:rPr>
                <w:spacing w:val="2"/>
              </w:rPr>
              <w:t xml:space="preserve">   </w:t>
            </w:r>
            <w:r>
              <w:rPr>
                <w:spacing w:val="-7"/>
              </w:rPr>
              <w:t xml:space="preserve">他 </w:t>
            </w:r>
            <w:r>
              <w:rPr>
                <w:spacing w:val="4"/>
              </w:rPr>
              <w:t>焦化产品</w:t>
            </w:r>
          </w:p>
        </w:tc>
        <w:tc>
          <w:tcPr>
            <w:tcW w:w="850" w:type="dxa"/>
            <w:vAlign w:val="top"/>
          </w:tcPr>
          <w:p w14:paraId="3CB5AF85">
            <w:pPr>
              <w:pStyle w:val="6"/>
              <w:spacing w:before="186" w:line="223" w:lineRule="auto"/>
              <w:ind w:left="234"/>
            </w:pPr>
            <w:r>
              <w:rPr>
                <w:spacing w:val="9"/>
              </w:rPr>
              <w:t>油品</w:t>
            </w:r>
          </w:p>
          <w:p w14:paraId="7E156DE0">
            <w:pPr>
              <w:pStyle w:val="6"/>
              <w:spacing w:line="220" w:lineRule="auto"/>
              <w:ind w:left="234"/>
            </w:pPr>
            <w:r>
              <w:rPr>
                <w:spacing w:val="-2"/>
              </w:rPr>
              <w:t>合计</w:t>
            </w:r>
          </w:p>
        </w:tc>
        <w:tc>
          <w:tcPr>
            <w:tcW w:w="850" w:type="dxa"/>
            <w:vAlign w:val="top"/>
          </w:tcPr>
          <w:p w14:paraId="39C99E3D">
            <w:pPr>
              <w:pStyle w:val="6"/>
              <w:spacing w:before="286" w:line="224" w:lineRule="auto"/>
              <w:ind w:left="145"/>
            </w:pPr>
            <w:r>
              <w:rPr>
                <w:spacing w:val="-6"/>
              </w:rPr>
              <w:t>原</w:t>
            </w:r>
            <w:r>
              <w:rPr>
                <w:spacing w:val="20"/>
              </w:rPr>
              <w:t xml:space="preserve">  </w:t>
            </w:r>
            <w:r>
              <w:rPr>
                <w:spacing w:val="-6"/>
              </w:rPr>
              <w:t>油</w:t>
            </w:r>
          </w:p>
        </w:tc>
        <w:tc>
          <w:tcPr>
            <w:tcW w:w="870" w:type="dxa"/>
            <w:vAlign w:val="top"/>
          </w:tcPr>
          <w:p w14:paraId="22133D0F">
            <w:pPr>
              <w:pStyle w:val="6"/>
              <w:spacing w:before="285" w:line="223" w:lineRule="auto"/>
              <w:ind w:left="154"/>
            </w:pPr>
            <w:r>
              <w:rPr>
                <w:spacing w:val="-4"/>
              </w:rPr>
              <w:t>汽</w:t>
            </w:r>
            <w:r>
              <w:rPr>
                <w:spacing w:val="17"/>
              </w:rPr>
              <w:t xml:space="preserve">  </w:t>
            </w:r>
            <w:r>
              <w:rPr>
                <w:spacing w:val="-4"/>
              </w:rPr>
              <w:t>油</w:t>
            </w:r>
          </w:p>
        </w:tc>
        <w:tc>
          <w:tcPr>
            <w:tcW w:w="860" w:type="dxa"/>
            <w:tcBorders>
              <w:right w:val="nil"/>
            </w:tcBorders>
            <w:vAlign w:val="top"/>
          </w:tcPr>
          <w:p w14:paraId="2FC3BF8B">
            <w:pPr>
              <w:pStyle w:val="6"/>
              <w:spacing w:before="282" w:line="220" w:lineRule="auto"/>
              <w:ind w:left="155"/>
            </w:pPr>
            <w:r>
              <w:rPr>
                <w:spacing w:val="-4"/>
              </w:rPr>
              <w:t>煤</w:t>
            </w:r>
            <w:r>
              <w:rPr>
                <w:spacing w:val="18"/>
              </w:rPr>
              <w:t xml:space="preserve">  </w:t>
            </w:r>
            <w:r>
              <w:rPr>
                <w:spacing w:val="-4"/>
              </w:rPr>
              <w:t>油</w:t>
            </w:r>
          </w:p>
        </w:tc>
      </w:tr>
      <w:tr w14:paraId="5760CD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830" w:type="dxa"/>
            <w:tcBorders>
              <w:left w:val="nil"/>
            </w:tcBorders>
            <w:vAlign w:val="top"/>
          </w:tcPr>
          <w:p w14:paraId="4C9A13DE">
            <w:pPr>
              <w:pStyle w:val="6"/>
              <w:spacing w:before="161" w:line="131" w:lineRule="exact"/>
              <w:ind w:left="320"/>
            </w:pPr>
            <w:r>
              <w:rPr>
                <w:spacing w:val="-6"/>
                <w:position w:val="-2"/>
              </w:rPr>
              <w:t>10</w:t>
            </w:r>
          </w:p>
        </w:tc>
        <w:tc>
          <w:tcPr>
            <w:tcW w:w="850" w:type="dxa"/>
            <w:vAlign w:val="top"/>
          </w:tcPr>
          <w:p w14:paraId="3701098F">
            <w:pPr>
              <w:pStyle w:val="6"/>
              <w:spacing w:before="161" w:line="131" w:lineRule="exact"/>
              <w:ind w:left="325"/>
            </w:pPr>
            <w:r>
              <w:rPr>
                <w:spacing w:val="-6"/>
                <w:position w:val="-2"/>
              </w:rPr>
              <w:t>11</w:t>
            </w:r>
          </w:p>
        </w:tc>
        <w:tc>
          <w:tcPr>
            <w:tcW w:w="870" w:type="dxa"/>
            <w:vAlign w:val="top"/>
          </w:tcPr>
          <w:p w14:paraId="6E9E7DAC">
            <w:pPr>
              <w:pStyle w:val="6"/>
              <w:spacing w:before="161" w:line="131" w:lineRule="exact"/>
              <w:ind w:left="335"/>
            </w:pPr>
            <w:r>
              <w:rPr>
                <w:spacing w:val="-6"/>
                <w:position w:val="-2"/>
              </w:rPr>
              <w:t>12</w:t>
            </w:r>
          </w:p>
        </w:tc>
        <w:tc>
          <w:tcPr>
            <w:tcW w:w="850" w:type="dxa"/>
            <w:vAlign w:val="top"/>
          </w:tcPr>
          <w:p w14:paraId="39B1BCCC">
            <w:pPr>
              <w:pStyle w:val="6"/>
              <w:spacing w:before="151" w:line="141" w:lineRule="exact"/>
              <w:ind w:left="325"/>
            </w:pPr>
            <w:r>
              <w:rPr>
                <w:spacing w:val="-6"/>
                <w:position w:val="-2"/>
              </w:rPr>
              <w:t>13</w:t>
            </w:r>
          </w:p>
        </w:tc>
        <w:tc>
          <w:tcPr>
            <w:tcW w:w="850" w:type="dxa"/>
            <w:vAlign w:val="top"/>
          </w:tcPr>
          <w:p w14:paraId="67DA6D4D">
            <w:pPr>
              <w:pStyle w:val="6"/>
              <w:spacing w:before="161" w:line="131" w:lineRule="exact"/>
              <w:ind w:left="325"/>
            </w:pPr>
            <w:r>
              <w:rPr>
                <w:spacing w:val="-6"/>
                <w:position w:val="-2"/>
              </w:rPr>
              <w:t>14</w:t>
            </w:r>
          </w:p>
        </w:tc>
        <w:tc>
          <w:tcPr>
            <w:tcW w:w="870" w:type="dxa"/>
            <w:vAlign w:val="top"/>
          </w:tcPr>
          <w:p w14:paraId="49F7FCD0">
            <w:pPr>
              <w:pStyle w:val="6"/>
              <w:spacing w:before="161" w:line="131" w:lineRule="exact"/>
              <w:ind w:left="334"/>
            </w:pPr>
            <w:r>
              <w:rPr>
                <w:spacing w:val="-6"/>
                <w:position w:val="-2"/>
              </w:rPr>
              <w:t>15</w:t>
            </w:r>
          </w:p>
        </w:tc>
        <w:tc>
          <w:tcPr>
            <w:tcW w:w="850" w:type="dxa"/>
            <w:vAlign w:val="top"/>
          </w:tcPr>
          <w:p w14:paraId="14C7CE6F">
            <w:pPr>
              <w:pStyle w:val="6"/>
              <w:spacing w:before="161" w:line="131" w:lineRule="exact"/>
              <w:ind w:left="325"/>
            </w:pPr>
            <w:r>
              <w:rPr>
                <w:spacing w:val="-6"/>
                <w:position w:val="-2"/>
              </w:rPr>
              <w:t>16</w:t>
            </w:r>
          </w:p>
        </w:tc>
        <w:tc>
          <w:tcPr>
            <w:tcW w:w="850" w:type="dxa"/>
            <w:vAlign w:val="top"/>
          </w:tcPr>
          <w:p w14:paraId="58864C31">
            <w:pPr>
              <w:pStyle w:val="6"/>
              <w:spacing w:before="161" w:line="131" w:lineRule="exact"/>
              <w:ind w:left="325"/>
            </w:pPr>
            <w:r>
              <w:rPr>
                <w:spacing w:val="-6"/>
                <w:position w:val="-2"/>
              </w:rPr>
              <w:t>17</w:t>
            </w:r>
          </w:p>
        </w:tc>
        <w:tc>
          <w:tcPr>
            <w:tcW w:w="850" w:type="dxa"/>
            <w:vAlign w:val="top"/>
          </w:tcPr>
          <w:p w14:paraId="61BACE07">
            <w:pPr>
              <w:pStyle w:val="6"/>
              <w:spacing w:before="161" w:line="131" w:lineRule="exact"/>
              <w:ind w:left="325"/>
            </w:pPr>
            <w:r>
              <w:rPr>
                <w:spacing w:val="-6"/>
                <w:position w:val="-2"/>
              </w:rPr>
              <w:t>18</w:t>
            </w:r>
          </w:p>
        </w:tc>
        <w:tc>
          <w:tcPr>
            <w:tcW w:w="870" w:type="dxa"/>
            <w:vAlign w:val="top"/>
          </w:tcPr>
          <w:p w14:paraId="4675DF6F">
            <w:pPr>
              <w:pStyle w:val="6"/>
              <w:spacing w:before="161" w:line="131" w:lineRule="exact"/>
              <w:ind w:left="335"/>
            </w:pPr>
            <w:r>
              <w:rPr>
                <w:spacing w:val="-6"/>
                <w:position w:val="-2"/>
              </w:rPr>
              <w:t>19</w:t>
            </w:r>
          </w:p>
        </w:tc>
        <w:tc>
          <w:tcPr>
            <w:tcW w:w="860" w:type="dxa"/>
            <w:tcBorders>
              <w:right w:val="nil"/>
            </w:tcBorders>
            <w:vAlign w:val="top"/>
          </w:tcPr>
          <w:p w14:paraId="484B3311">
            <w:pPr>
              <w:pStyle w:val="6"/>
              <w:spacing w:before="161" w:line="131" w:lineRule="exact"/>
              <w:ind w:left="335"/>
            </w:pPr>
            <w:r>
              <w:rPr>
                <w:spacing w:val="-3"/>
                <w:position w:val="-2"/>
              </w:rPr>
              <w:t>20</w:t>
            </w:r>
          </w:p>
        </w:tc>
      </w:tr>
    </w:tbl>
    <w:p w14:paraId="279D68F8">
      <w:pPr>
        <w:pStyle w:val="2"/>
        <w:spacing w:line="250" w:lineRule="auto"/>
      </w:pPr>
    </w:p>
    <w:p w14:paraId="7C7E9C47">
      <w:pPr>
        <w:pStyle w:val="2"/>
        <w:spacing w:line="251" w:lineRule="auto"/>
      </w:pPr>
    </w:p>
    <w:p w14:paraId="60A84357">
      <w:pPr>
        <w:spacing w:before="59" w:line="220" w:lineRule="auto"/>
        <w:ind w:left="29"/>
        <w:rPr>
          <w:rFonts w:ascii="宋体" w:hAnsi="宋体" w:eastAsia="宋体" w:cs="宋体"/>
          <w:sz w:val="18"/>
          <w:szCs w:val="18"/>
        </w:rPr>
      </w:pPr>
      <w:r>
        <w:rPr>
          <w:rFonts w:ascii="宋体" w:hAnsi="宋体" w:eastAsia="宋体" w:cs="宋体"/>
          <w:spacing w:val="-3"/>
          <w:sz w:val="18"/>
          <w:szCs w:val="18"/>
        </w:rPr>
        <w:t>续表二</w:t>
      </w:r>
    </w:p>
    <w:p w14:paraId="504063D6">
      <w:pPr>
        <w:spacing w:line="22" w:lineRule="exact"/>
      </w:pPr>
    </w:p>
    <w:tbl>
      <w:tblPr>
        <w:tblStyle w:val="5"/>
        <w:tblW w:w="9410" w:type="dxa"/>
        <w:tblInd w:w="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30"/>
        <w:gridCol w:w="850"/>
        <w:gridCol w:w="870"/>
        <w:gridCol w:w="850"/>
        <w:gridCol w:w="850"/>
        <w:gridCol w:w="860"/>
        <w:gridCol w:w="850"/>
        <w:gridCol w:w="870"/>
        <w:gridCol w:w="850"/>
        <w:gridCol w:w="850"/>
        <w:gridCol w:w="880"/>
      </w:tblGrid>
      <w:tr w14:paraId="270FBD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7" w:hRule="atLeast"/>
        </w:trPr>
        <w:tc>
          <w:tcPr>
            <w:tcW w:w="830" w:type="dxa"/>
            <w:tcBorders>
              <w:left w:val="nil"/>
            </w:tcBorders>
            <w:vAlign w:val="top"/>
          </w:tcPr>
          <w:p w14:paraId="0CE392C8">
            <w:pPr>
              <w:pStyle w:val="6"/>
              <w:spacing w:before="282" w:line="220" w:lineRule="auto"/>
              <w:ind w:left="140"/>
            </w:pPr>
            <w:r>
              <w:rPr>
                <w:spacing w:val="-4"/>
              </w:rPr>
              <w:t>柴</w:t>
            </w:r>
            <w:r>
              <w:rPr>
                <w:spacing w:val="17"/>
              </w:rPr>
              <w:t xml:space="preserve">  </w:t>
            </w:r>
            <w:r>
              <w:rPr>
                <w:spacing w:val="-4"/>
              </w:rPr>
              <w:t>油</w:t>
            </w:r>
          </w:p>
        </w:tc>
        <w:tc>
          <w:tcPr>
            <w:tcW w:w="850" w:type="dxa"/>
            <w:vAlign w:val="top"/>
          </w:tcPr>
          <w:p w14:paraId="642F3A4C">
            <w:pPr>
              <w:pStyle w:val="6"/>
              <w:spacing w:before="282" w:line="220" w:lineRule="auto"/>
              <w:ind w:left="145"/>
            </w:pPr>
            <w:r>
              <w:rPr>
                <w:spacing w:val="6"/>
              </w:rPr>
              <w:t>燃料油</w:t>
            </w:r>
          </w:p>
        </w:tc>
        <w:tc>
          <w:tcPr>
            <w:tcW w:w="870" w:type="dxa"/>
            <w:vAlign w:val="top"/>
          </w:tcPr>
          <w:p w14:paraId="3C114C72">
            <w:pPr>
              <w:pStyle w:val="6"/>
              <w:spacing w:before="283" w:line="221" w:lineRule="auto"/>
              <w:ind w:left="155"/>
            </w:pPr>
            <w:r>
              <w:rPr>
                <w:spacing w:val="6"/>
              </w:rPr>
              <w:t>石脑油</w:t>
            </w:r>
          </w:p>
        </w:tc>
        <w:tc>
          <w:tcPr>
            <w:tcW w:w="850" w:type="dxa"/>
            <w:vAlign w:val="top"/>
          </w:tcPr>
          <w:p w14:paraId="39F6CE82">
            <w:pPr>
              <w:pStyle w:val="6"/>
              <w:spacing w:before="282" w:line="220" w:lineRule="auto"/>
              <w:ind w:left="144"/>
            </w:pPr>
            <w:r>
              <w:rPr>
                <w:spacing w:val="6"/>
              </w:rPr>
              <w:t>润滑油</w:t>
            </w:r>
          </w:p>
        </w:tc>
        <w:tc>
          <w:tcPr>
            <w:tcW w:w="850" w:type="dxa"/>
            <w:vAlign w:val="top"/>
          </w:tcPr>
          <w:p w14:paraId="78E9B30B">
            <w:pPr>
              <w:pStyle w:val="6"/>
              <w:spacing w:before="282" w:line="220" w:lineRule="auto"/>
              <w:ind w:left="145"/>
            </w:pPr>
            <w:r>
              <w:rPr>
                <w:spacing w:val="-4"/>
              </w:rPr>
              <w:t>石</w:t>
            </w:r>
            <w:r>
              <w:rPr>
                <w:spacing w:val="3"/>
              </w:rPr>
              <w:t xml:space="preserve">  </w:t>
            </w:r>
            <w:r>
              <w:rPr>
                <w:spacing w:val="-4"/>
              </w:rPr>
              <w:t>蜡</w:t>
            </w:r>
          </w:p>
        </w:tc>
        <w:tc>
          <w:tcPr>
            <w:tcW w:w="860" w:type="dxa"/>
            <w:vAlign w:val="top"/>
          </w:tcPr>
          <w:p w14:paraId="72C77E94">
            <w:pPr>
              <w:pStyle w:val="6"/>
              <w:spacing w:before="281" w:line="219" w:lineRule="auto"/>
              <w:ind w:left="155"/>
            </w:pPr>
            <w:r>
              <w:rPr>
                <w:spacing w:val="6"/>
              </w:rPr>
              <w:t>溶剂油</w:t>
            </w:r>
          </w:p>
        </w:tc>
        <w:tc>
          <w:tcPr>
            <w:tcW w:w="850" w:type="dxa"/>
            <w:vAlign w:val="top"/>
          </w:tcPr>
          <w:p w14:paraId="2DFD306D">
            <w:pPr>
              <w:pStyle w:val="6"/>
              <w:spacing w:before="175" w:line="222" w:lineRule="auto"/>
              <w:ind w:left="235"/>
            </w:pPr>
            <w:r>
              <w:rPr>
                <w:spacing w:val="9"/>
              </w:rPr>
              <w:t>石油</w:t>
            </w:r>
          </w:p>
          <w:p w14:paraId="4D2CD1E1">
            <w:pPr>
              <w:pStyle w:val="6"/>
              <w:spacing w:line="218" w:lineRule="auto"/>
              <w:ind w:left="235"/>
            </w:pPr>
            <w:r>
              <w:rPr>
                <w:spacing w:val="-2"/>
              </w:rPr>
              <w:t>沥青</w:t>
            </w:r>
          </w:p>
        </w:tc>
        <w:tc>
          <w:tcPr>
            <w:tcW w:w="870" w:type="dxa"/>
            <w:vAlign w:val="top"/>
          </w:tcPr>
          <w:p w14:paraId="65675055">
            <w:pPr>
              <w:pStyle w:val="6"/>
              <w:spacing w:before="283" w:line="221" w:lineRule="auto"/>
              <w:ind w:left="155"/>
            </w:pPr>
            <w:r>
              <w:rPr>
                <w:spacing w:val="-2"/>
              </w:rPr>
              <w:t>石油焦</w:t>
            </w:r>
          </w:p>
        </w:tc>
        <w:tc>
          <w:tcPr>
            <w:tcW w:w="850" w:type="dxa"/>
            <w:vAlign w:val="top"/>
          </w:tcPr>
          <w:p w14:paraId="3472A176">
            <w:pPr>
              <w:pStyle w:val="6"/>
              <w:spacing w:before="152" w:line="234" w:lineRule="auto"/>
              <w:ind w:left="145" w:right="162"/>
            </w:pPr>
            <w:r>
              <w:rPr>
                <w:spacing w:val="-9"/>
              </w:rPr>
              <w:t>液</w:t>
            </w:r>
            <w:r>
              <w:rPr>
                <w:spacing w:val="4"/>
              </w:rPr>
              <w:t xml:space="preserve">  </w:t>
            </w:r>
            <w:r>
              <w:rPr>
                <w:spacing w:val="-9"/>
              </w:rPr>
              <w:t>化</w:t>
            </w:r>
            <w:r>
              <w:t xml:space="preserve"> </w:t>
            </w:r>
            <w:r>
              <w:rPr>
                <w:spacing w:val="-3"/>
              </w:rPr>
              <w:t>石油气</w:t>
            </w:r>
          </w:p>
        </w:tc>
        <w:tc>
          <w:tcPr>
            <w:tcW w:w="850" w:type="dxa"/>
            <w:vAlign w:val="top"/>
          </w:tcPr>
          <w:p w14:paraId="6C5E6906">
            <w:pPr>
              <w:pStyle w:val="6"/>
              <w:spacing w:before="163" w:line="224" w:lineRule="auto"/>
              <w:ind w:left="235"/>
            </w:pPr>
            <w:r>
              <w:rPr>
                <w:spacing w:val="-3"/>
              </w:rPr>
              <w:t>炼厂</w:t>
            </w:r>
          </w:p>
          <w:p w14:paraId="3E0925D3">
            <w:pPr>
              <w:pStyle w:val="6"/>
              <w:spacing w:line="218" w:lineRule="auto"/>
              <w:ind w:left="235"/>
            </w:pPr>
            <w:r>
              <w:rPr>
                <w:spacing w:val="-2"/>
              </w:rPr>
              <w:t>干气</w:t>
            </w:r>
          </w:p>
        </w:tc>
        <w:tc>
          <w:tcPr>
            <w:tcW w:w="880" w:type="dxa"/>
            <w:tcBorders>
              <w:right w:val="nil"/>
            </w:tcBorders>
            <w:vAlign w:val="top"/>
          </w:tcPr>
          <w:p w14:paraId="33B95F63">
            <w:pPr>
              <w:pStyle w:val="6"/>
              <w:spacing w:before="163" w:line="233" w:lineRule="auto"/>
              <w:ind w:left="75" w:right="61"/>
            </w:pPr>
            <w:r>
              <w:rPr>
                <w:spacing w:val="-8"/>
              </w:rPr>
              <w:t>其</w:t>
            </w:r>
            <w:r>
              <w:rPr>
                <w:spacing w:val="1"/>
              </w:rPr>
              <w:t xml:space="preserve">    </w:t>
            </w:r>
            <w:r>
              <w:rPr>
                <w:spacing w:val="-8"/>
              </w:rPr>
              <w:t>他</w:t>
            </w:r>
            <w:r>
              <w:rPr>
                <w:spacing w:val="3"/>
              </w:rPr>
              <w:t xml:space="preserve"> </w:t>
            </w:r>
            <w:r>
              <w:rPr>
                <w:spacing w:val="4"/>
              </w:rPr>
              <w:t>石油制品</w:t>
            </w:r>
          </w:p>
        </w:tc>
      </w:tr>
      <w:tr w14:paraId="6C2521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830" w:type="dxa"/>
            <w:tcBorders>
              <w:left w:val="nil"/>
            </w:tcBorders>
            <w:vAlign w:val="top"/>
          </w:tcPr>
          <w:p w14:paraId="5A298672">
            <w:pPr>
              <w:pStyle w:val="6"/>
              <w:spacing w:before="161" w:line="131" w:lineRule="exact"/>
              <w:ind w:left="320"/>
            </w:pPr>
            <w:r>
              <w:rPr>
                <w:spacing w:val="-3"/>
                <w:position w:val="-2"/>
              </w:rPr>
              <w:t>21</w:t>
            </w:r>
          </w:p>
        </w:tc>
        <w:tc>
          <w:tcPr>
            <w:tcW w:w="850" w:type="dxa"/>
            <w:vAlign w:val="top"/>
          </w:tcPr>
          <w:p w14:paraId="02BCF0BF">
            <w:pPr>
              <w:pStyle w:val="6"/>
              <w:spacing w:before="161" w:line="131" w:lineRule="exact"/>
              <w:ind w:left="325"/>
            </w:pPr>
            <w:r>
              <w:rPr>
                <w:spacing w:val="-3"/>
                <w:position w:val="-2"/>
              </w:rPr>
              <w:t>22</w:t>
            </w:r>
          </w:p>
        </w:tc>
        <w:tc>
          <w:tcPr>
            <w:tcW w:w="870" w:type="dxa"/>
            <w:vAlign w:val="top"/>
          </w:tcPr>
          <w:p w14:paraId="3D9FEAA5">
            <w:pPr>
              <w:pStyle w:val="6"/>
              <w:spacing w:before="161" w:line="131" w:lineRule="exact"/>
              <w:ind w:left="335"/>
            </w:pPr>
            <w:r>
              <w:rPr>
                <w:spacing w:val="-3"/>
                <w:position w:val="-2"/>
              </w:rPr>
              <w:t>23</w:t>
            </w:r>
          </w:p>
        </w:tc>
        <w:tc>
          <w:tcPr>
            <w:tcW w:w="850" w:type="dxa"/>
            <w:vAlign w:val="top"/>
          </w:tcPr>
          <w:p w14:paraId="1FC1B349">
            <w:pPr>
              <w:pStyle w:val="6"/>
              <w:spacing w:before="161" w:line="131" w:lineRule="exact"/>
              <w:ind w:left="325"/>
            </w:pPr>
            <w:r>
              <w:rPr>
                <w:spacing w:val="-3"/>
                <w:position w:val="-2"/>
              </w:rPr>
              <w:t>24</w:t>
            </w:r>
          </w:p>
        </w:tc>
        <w:tc>
          <w:tcPr>
            <w:tcW w:w="850" w:type="dxa"/>
            <w:vAlign w:val="top"/>
          </w:tcPr>
          <w:p w14:paraId="4D31FD03">
            <w:pPr>
              <w:pStyle w:val="6"/>
              <w:spacing w:before="161" w:line="131" w:lineRule="exact"/>
              <w:ind w:left="325"/>
            </w:pPr>
            <w:r>
              <w:rPr>
                <w:spacing w:val="-3"/>
                <w:position w:val="-2"/>
              </w:rPr>
              <w:t>25</w:t>
            </w:r>
          </w:p>
        </w:tc>
        <w:tc>
          <w:tcPr>
            <w:tcW w:w="860" w:type="dxa"/>
            <w:vAlign w:val="top"/>
          </w:tcPr>
          <w:p w14:paraId="2A9ED60D">
            <w:pPr>
              <w:pStyle w:val="6"/>
              <w:spacing w:before="161" w:line="131" w:lineRule="exact"/>
              <w:ind w:left="334"/>
            </w:pPr>
            <w:r>
              <w:rPr>
                <w:spacing w:val="-3"/>
                <w:position w:val="-2"/>
              </w:rPr>
              <w:t>26</w:t>
            </w:r>
          </w:p>
        </w:tc>
        <w:tc>
          <w:tcPr>
            <w:tcW w:w="850" w:type="dxa"/>
            <w:vAlign w:val="top"/>
          </w:tcPr>
          <w:p w14:paraId="6CB142E8">
            <w:pPr>
              <w:pStyle w:val="6"/>
              <w:spacing w:before="161" w:line="131" w:lineRule="exact"/>
              <w:ind w:left="325"/>
            </w:pPr>
            <w:r>
              <w:rPr>
                <w:spacing w:val="-3"/>
                <w:position w:val="-2"/>
              </w:rPr>
              <w:t>27</w:t>
            </w:r>
          </w:p>
        </w:tc>
        <w:tc>
          <w:tcPr>
            <w:tcW w:w="870" w:type="dxa"/>
            <w:vAlign w:val="top"/>
          </w:tcPr>
          <w:p w14:paraId="1ECFA8A9">
            <w:pPr>
              <w:pStyle w:val="6"/>
              <w:spacing w:before="161" w:line="131" w:lineRule="exact"/>
              <w:ind w:left="335"/>
            </w:pPr>
            <w:r>
              <w:rPr>
                <w:spacing w:val="-3"/>
                <w:position w:val="-2"/>
              </w:rPr>
              <w:t>28</w:t>
            </w:r>
          </w:p>
        </w:tc>
        <w:tc>
          <w:tcPr>
            <w:tcW w:w="850" w:type="dxa"/>
            <w:vAlign w:val="top"/>
          </w:tcPr>
          <w:p w14:paraId="2FC7369A">
            <w:pPr>
              <w:pStyle w:val="6"/>
              <w:spacing w:before="161" w:line="131" w:lineRule="exact"/>
              <w:ind w:left="325"/>
            </w:pPr>
            <w:r>
              <w:rPr>
                <w:spacing w:val="-3"/>
                <w:position w:val="-2"/>
              </w:rPr>
              <w:t>29</w:t>
            </w:r>
          </w:p>
        </w:tc>
        <w:tc>
          <w:tcPr>
            <w:tcW w:w="850" w:type="dxa"/>
            <w:vAlign w:val="top"/>
          </w:tcPr>
          <w:p w14:paraId="65D3E999">
            <w:pPr>
              <w:pStyle w:val="6"/>
              <w:spacing w:before="161" w:line="131" w:lineRule="exact"/>
              <w:ind w:left="325"/>
            </w:pPr>
            <w:r>
              <w:rPr>
                <w:spacing w:val="-3"/>
                <w:position w:val="-2"/>
              </w:rPr>
              <w:t>30</w:t>
            </w:r>
          </w:p>
        </w:tc>
        <w:tc>
          <w:tcPr>
            <w:tcW w:w="880" w:type="dxa"/>
            <w:tcBorders>
              <w:right w:val="nil"/>
            </w:tcBorders>
            <w:vAlign w:val="top"/>
          </w:tcPr>
          <w:p w14:paraId="57B13958">
            <w:pPr>
              <w:pStyle w:val="6"/>
              <w:spacing w:before="161" w:line="131" w:lineRule="exact"/>
              <w:ind w:left="345"/>
            </w:pPr>
            <w:r>
              <w:rPr>
                <w:spacing w:val="-3"/>
                <w:position w:val="-2"/>
              </w:rPr>
              <w:t>31</w:t>
            </w:r>
          </w:p>
        </w:tc>
      </w:tr>
    </w:tbl>
    <w:p w14:paraId="79622DAC">
      <w:pPr>
        <w:pStyle w:val="2"/>
        <w:spacing w:line="321" w:lineRule="auto"/>
      </w:pPr>
    </w:p>
    <w:p w14:paraId="560DA6BE">
      <w:pPr>
        <w:pStyle w:val="2"/>
        <w:spacing w:line="322" w:lineRule="auto"/>
      </w:pPr>
    </w:p>
    <w:p w14:paraId="07CACD77">
      <w:pPr>
        <w:spacing w:before="56" w:line="220" w:lineRule="auto"/>
        <w:ind w:left="39"/>
        <w:rPr>
          <w:rFonts w:ascii="宋体" w:hAnsi="宋体" w:eastAsia="宋体" w:cs="宋体"/>
          <w:sz w:val="17"/>
          <w:szCs w:val="17"/>
        </w:rPr>
      </w:pPr>
      <w:r>
        <w:rPr>
          <w:rFonts w:ascii="宋体" w:hAnsi="宋体" w:eastAsia="宋体" w:cs="宋体"/>
          <w:spacing w:val="-2"/>
          <w:sz w:val="17"/>
          <w:szCs w:val="17"/>
        </w:rPr>
        <w:t>续表三</w:t>
      </w:r>
    </w:p>
    <w:p w14:paraId="48775D24">
      <w:pPr>
        <w:spacing w:line="25" w:lineRule="exact"/>
      </w:pPr>
    </w:p>
    <w:tbl>
      <w:tblPr>
        <w:tblStyle w:val="5"/>
        <w:tblW w:w="9400" w:type="dxa"/>
        <w:tblInd w:w="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0"/>
        <w:gridCol w:w="840"/>
        <w:gridCol w:w="830"/>
        <w:gridCol w:w="840"/>
        <w:gridCol w:w="830"/>
        <w:gridCol w:w="840"/>
        <w:gridCol w:w="890"/>
        <w:gridCol w:w="890"/>
        <w:gridCol w:w="870"/>
        <w:gridCol w:w="900"/>
        <w:gridCol w:w="860"/>
      </w:tblGrid>
      <w:tr w14:paraId="44CE14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1" w:hRule="atLeast"/>
        </w:trPr>
        <w:tc>
          <w:tcPr>
            <w:tcW w:w="810" w:type="dxa"/>
            <w:vMerge w:val="restart"/>
            <w:tcBorders>
              <w:left w:val="nil"/>
              <w:bottom w:val="nil"/>
            </w:tcBorders>
            <w:vAlign w:val="top"/>
          </w:tcPr>
          <w:p w14:paraId="3FFF7869">
            <w:pPr>
              <w:pStyle w:val="6"/>
              <w:spacing w:before="262" w:line="220" w:lineRule="auto"/>
              <w:ind w:left="150"/>
              <w:rPr>
                <w:sz w:val="17"/>
                <w:szCs w:val="17"/>
              </w:rPr>
            </w:pPr>
            <w:r>
              <w:rPr>
                <w:spacing w:val="3"/>
                <w:sz w:val="17"/>
                <w:szCs w:val="17"/>
              </w:rPr>
              <w:t>天然气</w:t>
            </w:r>
          </w:p>
        </w:tc>
        <w:tc>
          <w:tcPr>
            <w:tcW w:w="840" w:type="dxa"/>
            <w:vMerge w:val="restart"/>
            <w:tcBorders>
              <w:bottom w:val="nil"/>
            </w:tcBorders>
            <w:vAlign w:val="top"/>
          </w:tcPr>
          <w:p w14:paraId="271F9321">
            <w:pPr>
              <w:pStyle w:val="6"/>
              <w:spacing w:before="152" w:line="224" w:lineRule="auto"/>
              <w:ind w:left="155" w:right="153"/>
              <w:rPr>
                <w:sz w:val="17"/>
                <w:szCs w:val="17"/>
              </w:rPr>
            </w:pPr>
            <w:r>
              <w:rPr>
                <w:spacing w:val="-8"/>
                <w:sz w:val="17"/>
                <w:szCs w:val="17"/>
              </w:rPr>
              <w:t>液</w:t>
            </w:r>
            <w:r>
              <w:rPr>
                <w:spacing w:val="3"/>
                <w:sz w:val="17"/>
                <w:szCs w:val="17"/>
              </w:rPr>
              <w:t xml:space="preserve">  </w:t>
            </w:r>
            <w:r>
              <w:rPr>
                <w:spacing w:val="-8"/>
                <w:sz w:val="17"/>
                <w:szCs w:val="17"/>
              </w:rPr>
              <w:t>化</w:t>
            </w:r>
            <w:r>
              <w:rPr>
                <w:spacing w:val="1"/>
                <w:sz w:val="17"/>
                <w:szCs w:val="17"/>
              </w:rPr>
              <w:t xml:space="preserve"> </w:t>
            </w:r>
            <w:r>
              <w:rPr>
                <w:spacing w:val="3"/>
                <w:sz w:val="17"/>
                <w:szCs w:val="17"/>
              </w:rPr>
              <w:t>天然气</w:t>
            </w:r>
          </w:p>
        </w:tc>
        <w:tc>
          <w:tcPr>
            <w:tcW w:w="830" w:type="dxa"/>
            <w:vMerge w:val="restart"/>
            <w:tcBorders>
              <w:bottom w:val="nil"/>
            </w:tcBorders>
            <w:vAlign w:val="top"/>
          </w:tcPr>
          <w:p w14:paraId="14CFD8A6">
            <w:pPr>
              <w:pStyle w:val="6"/>
              <w:spacing w:before="262" w:line="219" w:lineRule="auto"/>
              <w:ind w:left="145"/>
              <w:rPr>
                <w:sz w:val="17"/>
                <w:szCs w:val="17"/>
              </w:rPr>
            </w:pPr>
            <w:r>
              <w:rPr>
                <w:spacing w:val="-4"/>
                <w:sz w:val="17"/>
                <w:szCs w:val="17"/>
              </w:rPr>
              <w:t>秸</w:t>
            </w:r>
            <w:r>
              <w:rPr>
                <w:spacing w:val="15"/>
                <w:sz w:val="17"/>
                <w:szCs w:val="17"/>
              </w:rPr>
              <w:t xml:space="preserve">  </w:t>
            </w:r>
            <w:r>
              <w:rPr>
                <w:spacing w:val="-4"/>
                <w:sz w:val="17"/>
                <w:szCs w:val="17"/>
              </w:rPr>
              <w:t>秆</w:t>
            </w:r>
          </w:p>
        </w:tc>
        <w:tc>
          <w:tcPr>
            <w:tcW w:w="840" w:type="dxa"/>
            <w:vMerge w:val="restart"/>
            <w:tcBorders>
              <w:bottom w:val="nil"/>
            </w:tcBorders>
            <w:vAlign w:val="top"/>
          </w:tcPr>
          <w:p w14:paraId="5848E9D7">
            <w:pPr>
              <w:pStyle w:val="6"/>
              <w:spacing w:before="262" w:line="219" w:lineRule="auto"/>
              <w:ind w:left="155"/>
              <w:rPr>
                <w:sz w:val="17"/>
                <w:szCs w:val="17"/>
              </w:rPr>
            </w:pPr>
            <w:r>
              <w:rPr>
                <w:spacing w:val="-6"/>
                <w:sz w:val="17"/>
                <w:szCs w:val="17"/>
              </w:rPr>
              <w:t>薪</w:t>
            </w:r>
            <w:r>
              <w:rPr>
                <w:spacing w:val="3"/>
                <w:sz w:val="17"/>
                <w:szCs w:val="17"/>
              </w:rPr>
              <w:t xml:space="preserve">  </w:t>
            </w:r>
            <w:r>
              <w:rPr>
                <w:spacing w:val="-6"/>
                <w:sz w:val="17"/>
                <w:szCs w:val="17"/>
              </w:rPr>
              <w:t>柴</w:t>
            </w:r>
          </w:p>
        </w:tc>
        <w:tc>
          <w:tcPr>
            <w:tcW w:w="830" w:type="dxa"/>
            <w:vMerge w:val="restart"/>
            <w:tcBorders>
              <w:bottom w:val="nil"/>
            </w:tcBorders>
            <w:vAlign w:val="top"/>
          </w:tcPr>
          <w:p w14:paraId="0AFFC26B">
            <w:pPr>
              <w:pStyle w:val="6"/>
              <w:spacing w:before="262" w:line="221" w:lineRule="auto"/>
              <w:ind w:left="155"/>
              <w:rPr>
                <w:sz w:val="17"/>
                <w:szCs w:val="17"/>
              </w:rPr>
            </w:pPr>
            <w:r>
              <w:rPr>
                <w:spacing w:val="-6"/>
                <w:sz w:val="17"/>
                <w:szCs w:val="17"/>
              </w:rPr>
              <w:t>沼</w:t>
            </w:r>
            <w:r>
              <w:rPr>
                <w:spacing w:val="14"/>
                <w:sz w:val="17"/>
                <w:szCs w:val="17"/>
              </w:rPr>
              <w:t xml:space="preserve">  </w:t>
            </w:r>
            <w:r>
              <w:rPr>
                <w:spacing w:val="-6"/>
                <w:sz w:val="17"/>
                <w:szCs w:val="17"/>
              </w:rPr>
              <w:t>气</w:t>
            </w:r>
          </w:p>
        </w:tc>
        <w:tc>
          <w:tcPr>
            <w:tcW w:w="840" w:type="dxa"/>
            <w:vMerge w:val="restart"/>
            <w:tcBorders>
              <w:bottom w:val="nil"/>
            </w:tcBorders>
            <w:vAlign w:val="top"/>
          </w:tcPr>
          <w:p w14:paraId="25BFE8BE">
            <w:pPr>
              <w:pStyle w:val="6"/>
              <w:spacing w:before="262" w:line="219" w:lineRule="auto"/>
              <w:ind w:left="154"/>
              <w:rPr>
                <w:sz w:val="17"/>
                <w:szCs w:val="17"/>
              </w:rPr>
            </w:pPr>
            <w:r>
              <w:rPr>
                <w:spacing w:val="-6"/>
                <w:sz w:val="17"/>
                <w:szCs w:val="17"/>
              </w:rPr>
              <w:t>热</w:t>
            </w:r>
            <w:r>
              <w:rPr>
                <w:spacing w:val="17"/>
                <w:sz w:val="17"/>
                <w:szCs w:val="17"/>
              </w:rPr>
              <w:t xml:space="preserve">  </w:t>
            </w:r>
            <w:r>
              <w:rPr>
                <w:spacing w:val="-6"/>
                <w:sz w:val="17"/>
                <w:szCs w:val="17"/>
              </w:rPr>
              <w:t>力</w:t>
            </w:r>
          </w:p>
        </w:tc>
        <w:tc>
          <w:tcPr>
            <w:tcW w:w="1780" w:type="dxa"/>
            <w:gridSpan w:val="2"/>
            <w:vAlign w:val="top"/>
          </w:tcPr>
          <w:p w14:paraId="5F3B2C42">
            <w:pPr>
              <w:pStyle w:val="6"/>
              <w:spacing w:before="102" w:line="219" w:lineRule="auto"/>
              <w:ind w:left="545"/>
              <w:rPr>
                <w:sz w:val="17"/>
                <w:szCs w:val="17"/>
              </w:rPr>
            </w:pPr>
            <w:r>
              <w:rPr>
                <w:spacing w:val="1"/>
                <w:sz w:val="17"/>
                <w:szCs w:val="17"/>
              </w:rPr>
              <w:t>电力合计</w:t>
            </w:r>
          </w:p>
        </w:tc>
        <w:tc>
          <w:tcPr>
            <w:tcW w:w="870" w:type="dxa"/>
            <w:vMerge w:val="restart"/>
            <w:tcBorders>
              <w:bottom w:val="nil"/>
            </w:tcBorders>
            <w:vAlign w:val="top"/>
          </w:tcPr>
          <w:p w14:paraId="67308137">
            <w:pPr>
              <w:pStyle w:val="6"/>
              <w:spacing w:before="132" w:line="231" w:lineRule="exact"/>
              <w:ind w:left="205"/>
              <w:rPr>
                <w:sz w:val="17"/>
                <w:szCs w:val="17"/>
              </w:rPr>
            </w:pPr>
            <w:r>
              <w:rPr>
                <w:spacing w:val="-4"/>
                <w:position w:val="4"/>
                <w:sz w:val="17"/>
                <w:szCs w:val="17"/>
              </w:rPr>
              <w:t>其</w:t>
            </w:r>
            <w:r>
              <w:rPr>
                <w:spacing w:val="35"/>
                <w:position w:val="4"/>
                <w:sz w:val="17"/>
                <w:szCs w:val="17"/>
              </w:rPr>
              <w:t xml:space="preserve"> </w:t>
            </w:r>
            <w:r>
              <w:rPr>
                <w:spacing w:val="-4"/>
                <w:position w:val="4"/>
                <w:sz w:val="17"/>
                <w:szCs w:val="17"/>
              </w:rPr>
              <w:t>他</w:t>
            </w:r>
          </w:p>
          <w:p w14:paraId="0B608182">
            <w:pPr>
              <w:pStyle w:val="6"/>
              <w:spacing w:line="220" w:lineRule="auto"/>
              <w:ind w:left="205"/>
              <w:rPr>
                <w:sz w:val="17"/>
                <w:szCs w:val="17"/>
              </w:rPr>
            </w:pPr>
            <w:r>
              <w:rPr>
                <w:spacing w:val="-7"/>
                <w:sz w:val="17"/>
                <w:szCs w:val="17"/>
              </w:rPr>
              <w:t>能</w:t>
            </w:r>
            <w:r>
              <w:rPr>
                <w:spacing w:val="41"/>
                <w:sz w:val="17"/>
                <w:szCs w:val="17"/>
              </w:rPr>
              <w:t xml:space="preserve"> </w:t>
            </w:r>
            <w:r>
              <w:rPr>
                <w:spacing w:val="-7"/>
                <w:sz w:val="17"/>
                <w:szCs w:val="17"/>
              </w:rPr>
              <w:t>源</w:t>
            </w:r>
          </w:p>
        </w:tc>
        <w:tc>
          <w:tcPr>
            <w:tcW w:w="1760" w:type="dxa"/>
            <w:gridSpan w:val="2"/>
            <w:tcBorders>
              <w:right w:val="nil"/>
            </w:tcBorders>
            <w:vAlign w:val="top"/>
          </w:tcPr>
          <w:p w14:paraId="20514CE2">
            <w:pPr>
              <w:pStyle w:val="6"/>
              <w:spacing w:before="102" w:line="221" w:lineRule="auto"/>
              <w:ind w:left="625"/>
              <w:rPr>
                <w:sz w:val="17"/>
                <w:szCs w:val="17"/>
              </w:rPr>
            </w:pPr>
            <w:r>
              <w:rPr>
                <w:spacing w:val="-4"/>
                <w:sz w:val="17"/>
                <w:szCs w:val="17"/>
              </w:rPr>
              <w:t>合</w:t>
            </w:r>
            <w:r>
              <w:rPr>
                <w:spacing w:val="3"/>
                <w:sz w:val="17"/>
                <w:szCs w:val="17"/>
              </w:rPr>
              <w:t xml:space="preserve">  </w:t>
            </w:r>
            <w:r>
              <w:rPr>
                <w:spacing w:val="-4"/>
                <w:sz w:val="17"/>
                <w:szCs w:val="17"/>
              </w:rPr>
              <w:t>计</w:t>
            </w:r>
          </w:p>
        </w:tc>
      </w:tr>
      <w:tr w14:paraId="17B406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7" w:hRule="atLeast"/>
        </w:trPr>
        <w:tc>
          <w:tcPr>
            <w:tcW w:w="810" w:type="dxa"/>
            <w:vMerge w:val="continue"/>
            <w:tcBorders>
              <w:top w:val="nil"/>
              <w:left w:val="nil"/>
            </w:tcBorders>
            <w:vAlign w:val="top"/>
          </w:tcPr>
          <w:p w14:paraId="6C55F22E">
            <w:pPr>
              <w:rPr>
                <w:rFonts w:ascii="Arial"/>
                <w:sz w:val="21"/>
              </w:rPr>
            </w:pPr>
          </w:p>
        </w:tc>
        <w:tc>
          <w:tcPr>
            <w:tcW w:w="840" w:type="dxa"/>
            <w:vMerge w:val="continue"/>
            <w:tcBorders>
              <w:top w:val="nil"/>
            </w:tcBorders>
            <w:vAlign w:val="top"/>
          </w:tcPr>
          <w:p w14:paraId="08C44F0E">
            <w:pPr>
              <w:rPr>
                <w:rFonts w:ascii="Arial"/>
                <w:sz w:val="21"/>
              </w:rPr>
            </w:pPr>
          </w:p>
        </w:tc>
        <w:tc>
          <w:tcPr>
            <w:tcW w:w="830" w:type="dxa"/>
            <w:vMerge w:val="continue"/>
            <w:tcBorders>
              <w:top w:val="nil"/>
            </w:tcBorders>
            <w:vAlign w:val="top"/>
          </w:tcPr>
          <w:p w14:paraId="06E809D0">
            <w:pPr>
              <w:rPr>
                <w:rFonts w:ascii="Arial"/>
                <w:sz w:val="21"/>
              </w:rPr>
            </w:pPr>
          </w:p>
        </w:tc>
        <w:tc>
          <w:tcPr>
            <w:tcW w:w="840" w:type="dxa"/>
            <w:vMerge w:val="continue"/>
            <w:tcBorders>
              <w:top w:val="nil"/>
            </w:tcBorders>
            <w:vAlign w:val="top"/>
          </w:tcPr>
          <w:p w14:paraId="5B1E8868">
            <w:pPr>
              <w:rPr>
                <w:rFonts w:ascii="Arial"/>
                <w:sz w:val="21"/>
              </w:rPr>
            </w:pPr>
          </w:p>
        </w:tc>
        <w:tc>
          <w:tcPr>
            <w:tcW w:w="830" w:type="dxa"/>
            <w:vMerge w:val="continue"/>
            <w:tcBorders>
              <w:top w:val="nil"/>
            </w:tcBorders>
            <w:vAlign w:val="top"/>
          </w:tcPr>
          <w:p w14:paraId="7671634C">
            <w:pPr>
              <w:rPr>
                <w:rFonts w:ascii="Arial"/>
                <w:sz w:val="21"/>
              </w:rPr>
            </w:pPr>
          </w:p>
        </w:tc>
        <w:tc>
          <w:tcPr>
            <w:tcW w:w="840" w:type="dxa"/>
            <w:vMerge w:val="continue"/>
            <w:tcBorders>
              <w:top w:val="nil"/>
            </w:tcBorders>
            <w:vAlign w:val="top"/>
          </w:tcPr>
          <w:p w14:paraId="21C4A70D">
            <w:pPr>
              <w:rPr>
                <w:rFonts w:ascii="Arial"/>
                <w:sz w:val="21"/>
              </w:rPr>
            </w:pPr>
          </w:p>
        </w:tc>
        <w:tc>
          <w:tcPr>
            <w:tcW w:w="890" w:type="dxa"/>
            <w:vAlign w:val="top"/>
          </w:tcPr>
          <w:p w14:paraId="6904A997">
            <w:pPr>
              <w:pStyle w:val="6"/>
              <w:spacing w:before="71" w:line="219" w:lineRule="auto"/>
              <w:ind w:left="185"/>
              <w:rPr>
                <w:sz w:val="17"/>
                <w:szCs w:val="17"/>
              </w:rPr>
            </w:pPr>
            <w:r>
              <w:rPr>
                <w:spacing w:val="2"/>
                <w:sz w:val="17"/>
                <w:szCs w:val="17"/>
              </w:rPr>
              <w:t>当量值</w:t>
            </w:r>
          </w:p>
        </w:tc>
        <w:tc>
          <w:tcPr>
            <w:tcW w:w="890" w:type="dxa"/>
            <w:vAlign w:val="top"/>
          </w:tcPr>
          <w:p w14:paraId="6EEBEA3D">
            <w:pPr>
              <w:pStyle w:val="6"/>
              <w:spacing w:before="69" w:line="218" w:lineRule="auto"/>
              <w:ind w:left="185"/>
              <w:rPr>
                <w:sz w:val="17"/>
                <w:szCs w:val="17"/>
              </w:rPr>
            </w:pPr>
            <w:r>
              <w:rPr>
                <w:spacing w:val="-2"/>
                <w:sz w:val="17"/>
                <w:szCs w:val="17"/>
              </w:rPr>
              <w:t>等价值</w:t>
            </w:r>
          </w:p>
        </w:tc>
        <w:tc>
          <w:tcPr>
            <w:tcW w:w="870" w:type="dxa"/>
            <w:vMerge w:val="continue"/>
            <w:tcBorders>
              <w:top w:val="nil"/>
            </w:tcBorders>
            <w:vAlign w:val="top"/>
          </w:tcPr>
          <w:p w14:paraId="2FD68D84">
            <w:pPr>
              <w:rPr>
                <w:rFonts w:ascii="Arial"/>
                <w:sz w:val="21"/>
              </w:rPr>
            </w:pPr>
          </w:p>
        </w:tc>
        <w:tc>
          <w:tcPr>
            <w:tcW w:w="900" w:type="dxa"/>
            <w:vAlign w:val="top"/>
          </w:tcPr>
          <w:p w14:paraId="7B14A22C">
            <w:pPr>
              <w:pStyle w:val="6"/>
              <w:spacing w:before="71" w:line="219" w:lineRule="auto"/>
              <w:ind w:left="184"/>
              <w:rPr>
                <w:sz w:val="17"/>
                <w:szCs w:val="17"/>
              </w:rPr>
            </w:pPr>
            <w:r>
              <w:rPr>
                <w:spacing w:val="2"/>
                <w:sz w:val="17"/>
                <w:szCs w:val="17"/>
              </w:rPr>
              <w:t>当量值</w:t>
            </w:r>
          </w:p>
        </w:tc>
        <w:tc>
          <w:tcPr>
            <w:tcW w:w="860" w:type="dxa"/>
            <w:tcBorders>
              <w:right w:val="nil"/>
            </w:tcBorders>
            <w:vAlign w:val="top"/>
          </w:tcPr>
          <w:p w14:paraId="0A134514">
            <w:pPr>
              <w:pStyle w:val="6"/>
              <w:spacing w:before="69" w:line="218" w:lineRule="auto"/>
              <w:ind w:left="165"/>
              <w:rPr>
                <w:sz w:val="17"/>
                <w:szCs w:val="17"/>
              </w:rPr>
            </w:pPr>
            <w:r>
              <w:rPr>
                <w:spacing w:val="-2"/>
                <w:sz w:val="17"/>
                <w:szCs w:val="17"/>
              </w:rPr>
              <w:t>等价值</w:t>
            </w:r>
          </w:p>
        </w:tc>
      </w:tr>
      <w:tr w14:paraId="0F6220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810" w:type="dxa"/>
            <w:tcBorders>
              <w:left w:val="nil"/>
            </w:tcBorders>
            <w:vAlign w:val="top"/>
          </w:tcPr>
          <w:p w14:paraId="5CA07544">
            <w:pPr>
              <w:pStyle w:val="6"/>
              <w:spacing w:before="167" w:line="135" w:lineRule="exact"/>
              <w:ind w:left="320"/>
              <w:rPr>
                <w:sz w:val="17"/>
                <w:szCs w:val="17"/>
              </w:rPr>
            </w:pPr>
            <w:r>
              <w:rPr>
                <w:spacing w:val="-3"/>
                <w:position w:val="-2"/>
                <w:sz w:val="17"/>
                <w:szCs w:val="17"/>
              </w:rPr>
              <w:t>32</w:t>
            </w:r>
          </w:p>
        </w:tc>
        <w:tc>
          <w:tcPr>
            <w:tcW w:w="840" w:type="dxa"/>
            <w:vAlign w:val="top"/>
          </w:tcPr>
          <w:p w14:paraId="059BF456">
            <w:pPr>
              <w:pStyle w:val="6"/>
              <w:spacing w:before="167" w:line="135" w:lineRule="exact"/>
              <w:ind w:left="325"/>
              <w:rPr>
                <w:sz w:val="17"/>
                <w:szCs w:val="17"/>
              </w:rPr>
            </w:pPr>
            <w:r>
              <w:rPr>
                <w:spacing w:val="-3"/>
                <w:position w:val="-2"/>
                <w:sz w:val="17"/>
                <w:szCs w:val="17"/>
              </w:rPr>
              <w:t>33</w:t>
            </w:r>
          </w:p>
        </w:tc>
        <w:tc>
          <w:tcPr>
            <w:tcW w:w="830" w:type="dxa"/>
            <w:vAlign w:val="top"/>
          </w:tcPr>
          <w:p w14:paraId="2C71A08B">
            <w:pPr>
              <w:pStyle w:val="6"/>
              <w:spacing w:before="167" w:line="135" w:lineRule="exact"/>
              <w:ind w:left="325"/>
              <w:rPr>
                <w:sz w:val="17"/>
                <w:szCs w:val="17"/>
              </w:rPr>
            </w:pPr>
            <w:r>
              <w:rPr>
                <w:spacing w:val="-3"/>
                <w:position w:val="-2"/>
                <w:sz w:val="17"/>
                <w:szCs w:val="17"/>
              </w:rPr>
              <w:t>34</w:t>
            </w:r>
          </w:p>
        </w:tc>
        <w:tc>
          <w:tcPr>
            <w:tcW w:w="840" w:type="dxa"/>
            <w:vAlign w:val="top"/>
          </w:tcPr>
          <w:p w14:paraId="72694C33">
            <w:pPr>
              <w:pStyle w:val="6"/>
              <w:spacing w:before="167" w:line="135" w:lineRule="exact"/>
              <w:ind w:left="325"/>
              <w:rPr>
                <w:sz w:val="17"/>
                <w:szCs w:val="17"/>
              </w:rPr>
            </w:pPr>
            <w:r>
              <w:rPr>
                <w:spacing w:val="-3"/>
                <w:position w:val="-2"/>
                <w:sz w:val="17"/>
                <w:szCs w:val="17"/>
              </w:rPr>
              <w:t>35</w:t>
            </w:r>
          </w:p>
        </w:tc>
        <w:tc>
          <w:tcPr>
            <w:tcW w:w="830" w:type="dxa"/>
            <w:vAlign w:val="top"/>
          </w:tcPr>
          <w:p w14:paraId="7AEF3BF6">
            <w:pPr>
              <w:pStyle w:val="6"/>
              <w:spacing w:before="167" w:line="135" w:lineRule="exact"/>
              <w:ind w:left="325"/>
              <w:rPr>
                <w:sz w:val="17"/>
                <w:szCs w:val="17"/>
              </w:rPr>
            </w:pPr>
            <w:r>
              <w:rPr>
                <w:spacing w:val="-3"/>
                <w:position w:val="-2"/>
                <w:sz w:val="17"/>
                <w:szCs w:val="17"/>
              </w:rPr>
              <w:t>36</w:t>
            </w:r>
          </w:p>
        </w:tc>
        <w:tc>
          <w:tcPr>
            <w:tcW w:w="840" w:type="dxa"/>
            <w:vAlign w:val="top"/>
          </w:tcPr>
          <w:p w14:paraId="687B60B1">
            <w:pPr>
              <w:pStyle w:val="6"/>
              <w:spacing w:before="167" w:line="135" w:lineRule="exact"/>
              <w:ind w:left="325"/>
              <w:rPr>
                <w:sz w:val="17"/>
                <w:szCs w:val="17"/>
              </w:rPr>
            </w:pPr>
            <w:r>
              <w:rPr>
                <w:spacing w:val="-3"/>
                <w:position w:val="-2"/>
                <w:sz w:val="17"/>
                <w:szCs w:val="17"/>
              </w:rPr>
              <w:t>37</w:t>
            </w:r>
          </w:p>
        </w:tc>
        <w:tc>
          <w:tcPr>
            <w:tcW w:w="890" w:type="dxa"/>
            <w:vAlign w:val="top"/>
          </w:tcPr>
          <w:p w14:paraId="36128EB4">
            <w:pPr>
              <w:pStyle w:val="6"/>
              <w:spacing w:before="167" w:line="135" w:lineRule="exact"/>
              <w:ind w:left="355"/>
              <w:rPr>
                <w:sz w:val="17"/>
                <w:szCs w:val="17"/>
              </w:rPr>
            </w:pPr>
            <w:r>
              <w:rPr>
                <w:spacing w:val="-3"/>
                <w:position w:val="-2"/>
                <w:sz w:val="17"/>
                <w:szCs w:val="17"/>
              </w:rPr>
              <w:t>38</w:t>
            </w:r>
          </w:p>
        </w:tc>
        <w:tc>
          <w:tcPr>
            <w:tcW w:w="890" w:type="dxa"/>
            <w:vAlign w:val="top"/>
          </w:tcPr>
          <w:p w14:paraId="3D2BBA01">
            <w:pPr>
              <w:pStyle w:val="6"/>
              <w:spacing w:before="167" w:line="135" w:lineRule="exact"/>
              <w:ind w:left="355"/>
              <w:rPr>
                <w:sz w:val="17"/>
                <w:szCs w:val="17"/>
              </w:rPr>
            </w:pPr>
            <w:r>
              <w:rPr>
                <w:spacing w:val="-3"/>
                <w:position w:val="-2"/>
                <w:sz w:val="17"/>
                <w:szCs w:val="17"/>
              </w:rPr>
              <w:t>39</w:t>
            </w:r>
          </w:p>
        </w:tc>
        <w:tc>
          <w:tcPr>
            <w:tcW w:w="870" w:type="dxa"/>
            <w:vAlign w:val="top"/>
          </w:tcPr>
          <w:p w14:paraId="4F9005F0">
            <w:pPr>
              <w:pStyle w:val="6"/>
              <w:spacing w:before="167" w:line="135" w:lineRule="exact"/>
              <w:ind w:left="345"/>
              <w:rPr>
                <w:sz w:val="17"/>
                <w:szCs w:val="17"/>
              </w:rPr>
            </w:pPr>
            <w:r>
              <w:rPr>
                <w:spacing w:val="-2"/>
                <w:position w:val="-2"/>
                <w:sz w:val="17"/>
                <w:szCs w:val="17"/>
              </w:rPr>
              <w:t>40</w:t>
            </w:r>
          </w:p>
        </w:tc>
        <w:tc>
          <w:tcPr>
            <w:tcW w:w="900" w:type="dxa"/>
            <w:vAlign w:val="top"/>
          </w:tcPr>
          <w:p w14:paraId="169F134D">
            <w:pPr>
              <w:pStyle w:val="6"/>
              <w:spacing w:before="167" w:line="135" w:lineRule="exact"/>
              <w:ind w:left="355"/>
              <w:rPr>
                <w:sz w:val="17"/>
                <w:szCs w:val="17"/>
              </w:rPr>
            </w:pPr>
            <w:r>
              <w:rPr>
                <w:spacing w:val="-2"/>
                <w:position w:val="-2"/>
                <w:sz w:val="17"/>
                <w:szCs w:val="17"/>
              </w:rPr>
              <w:t>41</w:t>
            </w:r>
          </w:p>
        </w:tc>
        <w:tc>
          <w:tcPr>
            <w:tcW w:w="860" w:type="dxa"/>
            <w:tcBorders>
              <w:right w:val="nil"/>
            </w:tcBorders>
            <w:vAlign w:val="top"/>
          </w:tcPr>
          <w:p w14:paraId="3F3A44A0">
            <w:pPr>
              <w:pStyle w:val="6"/>
              <w:spacing w:before="177" w:line="125" w:lineRule="exact"/>
              <w:ind w:left="335"/>
              <w:rPr>
                <w:sz w:val="17"/>
                <w:szCs w:val="17"/>
              </w:rPr>
            </w:pPr>
            <w:r>
              <w:rPr>
                <w:spacing w:val="-2"/>
                <w:position w:val="-2"/>
                <w:sz w:val="17"/>
                <w:szCs w:val="17"/>
              </w:rPr>
              <w:t>42</w:t>
            </w:r>
          </w:p>
        </w:tc>
      </w:tr>
    </w:tbl>
    <w:p w14:paraId="22A74082">
      <w:pPr>
        <w:pStyle w:val="2"/>
        <w:spacing w:line="280" w:lineRule="auto"/>
      </w:pPr>
    </w:p>
    <w:p w14:paraId="537C2C82">
      <w:pPr>
        <w:pStyle w:val="2"/>
        <w:spacing w:line="280" w:lineRule="auto"/>
      </w:pPr>
    </w:p>
    <w:p w14:paraId="035722F9">
      <w:pPr>
        <w:spacing w:before="59" w:line="229" w:lineRule="auto"/>
        <w:ind w:left="29"/>
        <w:rPr>
          <w:rFonts w:ascii="宋体" w:hAnsi="宋体" w:eastAsia="宋体" w:cs="宋体"/>
          <w:sz w:val="18"/>
          <w:szCs w:val="18"/>
        </w:rPr>
      </w:pPr>
      <w:r>
        <w:rPr>
          <w:rFonts w:ascii="宋体" w:hAnsi="宋体" w:eastAsia="宋体" w:cs="宋体"/>
          <w:spacing w:val="-9"/>
          <w:sz w:val="18"/>
          <w:szCs w:val="18"/>
        </w:rPr>
        <w:t>单位负责人：</w:t>
      </w:r>
      <w:r>
        <w:rPr>
          <w:rFonts w:ascii="宋体" w:hAnsi="宋体" w:eastAsia="宋体" w:cs="宋体"/>
          <w:spacing w:val="6"/>
          <w:sz w:val="18"/>
          <w:szCs w:val="18"/>
        </w:rPr>
        <w:t xml:space="preserve">             </w:t>
      </w:r>
      <w:r>
        <w:rPr>
          <w:rFonts w:ascii="宋体" w:hAnsi="宋体" w:eastAsia="宋体" w:cs="宋体"/>
          <w:spacing w:val="-9"/>
          <w:position w:val="1"/>
          <w:sz w:val="18"/>
          <w:szCs w:val="18"/>
        </w:rPr>
        <w:t>填表人：</w:t>
      </w:r>
      <w:r>
        <w:rPr>
          <w:rFonts w:ascii="宋体" w:hAnsi="宋体" w:eastAsia="宋体" w:cs="宋体"/>
          <w:spacing w:val="2"/>
          <w:position w:val="1"/>
          <w:sz w:val="18"/>
          <w:szCs w:val="18"/>
        </w:rPr>
        <w:t xml:space="preserve">           </w:t>
      </w:r>
      <w:r>
        <w:rPr>
          <w:rFonts w:ascii="宋体" w:hAnsi="宋体" w:eastAsia="宋体" w:cs="宋体"/>
          <w:spacing w:val="-9"/>
          <w:sz w:val="18"/>
          <w:szCs w:val="18"/>
        </w:rPr>
        <w:t>联系电话：</w:t>
      </w:r>
      <w:r>
        <w:rPr>
          <w:rFonts w:ascii="宋体" w:hAnsi="宋体" w:eastAsia="宋体" w:cs="宋体"/>
          <w:spacing w:val="1"/>
          <w:sz w:val="18"/>
          <w:szCs w:val="18"/>
        </w:rPr>
        <w:t xml:space="preserve">                     </w:t>
      </w:r>
      <w:r>
        <w:rPr>
          <w:rFonts w:ascii="宋体" w:hAnsi="宋体" w:eastAsia="宋体" w:cs="宋体"/>
          <w:sz w:val="18"/>
          <w:szCs w:val="18"/>
        </w:rPr>
        <w:t xml:space="preserve">    </w:t>
      </w:r>
      <w:r>
        <w:rPr>
          <w:rFonts w:ascii="宋体" w:hAnsi="宋体" w:eastAsia="宋体" w:cs="宋体"/>
          <w:spacing w:val="-9"/>
          <w:sz w:val="18"/>
          <w:szCs w:val="18"/>
        </w:rPr>
        <w:t>报出日期：20  年</w:t>
      </w:r>
      <w:r>
        <w:rPr>
          <w:rFonts w:ascii="宋体" w:hAnsi="宋体" w:eastAsia="宋体" w:cs="宋体"/>
          <w:spacing w:val="3"/>
          <w:sz w:val="18"/>
          <w:szCs w:val="18"/>
        </w:rPr>
        <w:t xml:space="preserve">   </w:t>
      </w:r>
      <w:r>
        <w:rPr>
          <w:rFonts w:ascii="宋体" w:hAnsi="宋体" w:eastAsia="宋体" w:cs="宋体"/>
          <w:spacing w:val="-9"/>
          <w:sz w:val="18"/>
          <w:szCs w:val="18"/>
        </w:rPr>
        <w:t>月</w:t>
      </w:r>
      <w:r>
        <w:rPr>
          <w:rFonts w:ascii="宋体" w:hAnsi="宋体" w:eastAsia="宋体" w:cs="宋体"/>
          <w:spacing w:val="10"/>
          <w:sz w:val="18"/>
          <w:szCs w:val="18"/>
        </w:rPr>
        <w:t xml:space="preserve">   </w:t>
      </w:r>
      <w:r>
        <w:rPr>
          <w:rFonts w:ascii="宋体" w:hAnsi="宋体" w:eastAsia="宋体" w:cs="宋体"/>
          <w:spacing w:val="-9"/>
          <w:sz w:val="18"/>
          <w:szCs w:val="18"/>
        </w:rPr>
        <w:t>日</w:t>
      </w:r>
    </w:p>
    <w:p w14:paraId="41FBE776">
      <w:pPr>
        <w:spacing w:before="285" w:line="219" w:lineRule="auto"/>
        <w:ind w:left="29"/>
        <w:rPr>
          <w:rFonts w:ascii="宋体" w:hAnsi="宋体" w:eastAsia="宋体" w:cs="宋体"/>
          <w:sz w:val="18"/>
          <w:szCs w:val="18"/>
        </w:rPr>
      </w:pPr>
      <w:r>
        <w:rPr>
          <w:rFonts w:ascii="宋体" w:hAnsi="宋体" w:eastAsia="宋体" w:cs="宋体"/>
          <w:spacing w:val="-2"/>
          <w:sz w:val="18"/>
          <w:szCs w:val="18"/>
        </w:rPr>
        <w:t>说明：1.本表的标准量是由P303-1表中的实物量乘以折标准煤系数生成，由各设区市和平潭综合实验区统计局负责报送。</w:t>
      </w:r>
    </w:p>
    <w:p w14:paraId="66D8D70A">
      <w:pPr>
        <w:spacing w:before="118" w:line="311" w:lineRule="exact"/>
        <w:ind w:left="709"/>
        <w:rPr>
          <w:rFonts w:ascii="宋体" w:hAnsi="宋体" w:eastAsia="宋体" w:cs="宋体"/>
          <w:sz w:val="18"/>
          <w:szCs w:val="18"/>
        </w:rPr>
      </w:pPr>
      <w:r>
        <w:rPr>
          <w:rFonts w:ascii="宋体" w:hAnsi="宋体" w:eastAsia="宋体" w:cs="宋体"/>
          <w:spacing w:val="5"/>
          <w:position w:val="9"/>
          <w:sz w:val="18"/>
          <w:szCs w:val="18"/>
        </w:rPr>
        <w:t>报送时间为次年5月19日前，报送方式为</w:t>
      </w:r>
      <w:r>
        <w:rPr>
          <w:rFonts w:hint="eastAsia" w:ascii="宋体" w:hAnsi="宋体" w:eastAsia="宋体" w:cs="宋体"/>
          <w:spacing w:val="5"/>
          <w:position w:val="9"/>
          <w:sz w:val="18"/>
          <w:szCs w:val="18"/>
          <w:lang w:eastAsia="zh-CN"/>
        </w:rPr>
        <w:t>文档云</w:t>
      </w:r>
      <w:r>
        <w:rPr>
          <w:rFonts w:ascii="宋体" w:hAnsi="宋体" w:eastAsia="宋体" w:cs="宋体"/>
          <w:spacing w:val="5"/>
          <w:position w:val="9"/>
          <w:sz w:val="18"/>
          <w:szCs w:val="18"/>
        </w:rPr>
        <w:t>。</w:t>
      </w:r>
    </w:p>
    <w:p w14:paraId="3D188327">
      <w:pPr>
        <w:spacing w:line="220" w:lineRule="auto"/>
        <w:ind w:left="569"/>
        <w:rPr>
          <w:rFonts w:ascii="宋体" w:hAnsi="宋体" w:eastAsia="宋体" w:cs="宋体"/>
          <w:sz w:val="18"/>
          <w:szCs w:val="18"/>
        </w:rPr>
      </w:pPr>
      <w:r>
        <w:rPr>
          <w:rFonts w:ascii="宋体" w:hAnsi="宋体" w:eastAsia="宋体" w:cs="宋体"/>
          <w:spacing w:val="-12"/>
          <w:sz w:val="18"/>
          <w:szCs w:val="18"/>
        </w:rPr>
        <w:t>2.平衡关系：</w:t>
      </w:r>
    </w:p>
    <w:p w14:paraId="1DB05163">
      <w:pPr>
        <w:spacing w:before="114" w:line="299" w:lineRule="exact"/>
        <w:ind w:left="709"/>
        <w:rPr>
          <w:rFonts w:ascii="宋体" w:hAnsi="宋体" w:eastAsia="宋体" w:cs="宋体"/>
          <w:sz w:val="18"/>
          <w:szCs w:val="18"/>
        </w:rPr>
      </w:pPr>
      <w:r>
        <w:rPr>
          <w:rFonts w:ascii="宋体" w:hAnsi="宋体" w:eastAsia="宋体" w:cs="宋体"/>
          <w:position w:val="8"/>
          <w:sz w:val="18"/>
          <w:szCs w:val="18"/>
        </w:rPr>
        <w:t>列平衡关系：(1)合计当量值(41)=1+10+……+17+32</w:t>
      </w:r>
      <w:r>
        <w:rPr>
          <w:rFonts w:ascii="宋体" w:hAnsi="宋体" w:eastAsia="宋体" w:cs="宋体"/>
          <w:spacing w:val="-1"/>
          <w:position w:val="8"/>
          <w:sz w:val="18"/>
          <w:szCs w:val="18"/>
        </w:rPr>
        <w:t>+……+37+38+40</w:t>
      </w:r>
    </w:p>
    <w:p w14:paraId="6ABA39BC">
      <w:pPr>
        <w:spacing w:before="1" w:line="217" w:lineRule="auto"/>
        <w:ind w:left="1819"/>
        <w:rPr>
          <w:rFonts w:ascii="宋体" w:hAnsi="宋体" w:eastAsia="宋体" w:cs="宋体"/>
          <w:sz w:val="18"/>
          <w:szCs w:val="18"/>
        </w:rPr>
      </w:pPr>
      <w:r>
        <w:rPr>
          <w:rFonts w:ascii="宋体" w:hAnsi="宋体" w:eastAsia="宋体" w:cs="宋体"/>
          <w:spacing w:val="-1"/>
          <w:sz w:val="18"/>
          <w:szCs w:val="18"/>
        </w:rPr>
        <w:t>(2)合计等价值(42)=1+10+……+17+32+……+37+39+</w:t>
      </w:r>
      <w:r>
        <w:rPr>
          <w:rFonts w:ascii="宋体" w:hAnsi="宋体" w:eastAsia="宋体" w:cs="宋体"/>
          <w:spacing w:val="-2"/>
          <w:sz w:val="18"/>
          <w:szCs w:val="18"/>
        </w:rPr>
        <w:t>40</w:t>
      </w:r>
    </w:p>
    <w:p w14:paraId="4F4EEF18">
      <w:pPr>
        <w:spacing w:before="129" w:line="184" w:lineRule="auto"/>
        <w:ind w:left="709"/>
        <w:rPr>
          <w:rFonts w:ascii="宋体" w:hAnsi="宋体" w:eastAsia="宋体" w:cs="宋体"/>
          <w:sz w:val="18"/>
          <w:szCs w:val="18"/>
        </w:rPr>
      </w:pPr>
      <w:r>
        <w:rPr>
          <w:rFonts w:ascii="宋体" w:hAnsi="宋体" w:eastAsia="宋体" w:cs="宋体"/>
          <w:spacing w:val="1"/>
          <w:sz w:val="18"/>
          <w:szCs w:val="18"/>
        </w:rPr>
        <w:t>行平衡关系：40行第41列和第42列的消费量合计=加工转换投入产出(-11)+损失量(23)+终端消费量(25)</w:t>
      </w:r>
    </w:p>
    <w:p w14:paraId="545368DB">
      <w:pPr>
        <w:spacing w:line="184" w:lineRule="auto"/>
        <w:rPr>
          <w:rFonts w:ascii="宋体" w:hAnsi="宋体" w:eastAsia="宋体" w:cs="宋体"/>
          <w:sz w:val="18"/>
          <w:szCs w:val="18"/>
        </w:rPr>
        <w:sectPr>
          <w:type w:val="continuous"/>
          <w:pgSz w:w="11910" w:h="16840"/>
          <w:pgMar w:top="1046" w:right="1210" w:bottom="0" w:left="1200" w:header="876" w:footer="0" w:gutter="0"/>
          <w:cols w:equalWidth="0" w:num="1">
            <w:col w:w="9500"/>
          </w:cols>
        </w:sectPr>
      </w:pPr>
    </w:p>
    <w:p w14:paraId="08AD89AF">
      <w:pPr>
        <w:pStyle w:val="2"/>
        <w:spacing w:line="307" w:lineRule="auto"/>
      </w:pPr>
    </w:p>
    <w:p w14:paraId="625FC02C">
      <w:pPr>
        <w:spacing w:before="91" w:line="222" w:lineRule="auto"/>
        <w:ind w:left="3634"/>
        <w:rPr>
          <w:rFonts w:ascii="黑体" w:hAnsi="黑体" w:eastAsia="黑体" w:cs="黑体"/>
          <w:sz w:val="28"/>
          <w:szCs w:val="28"/>
        </w:rPr>
      </w:pPr>
      <w:r>
        <w:rPr>
          <w:rFonts w:ascii="黑体" w:hAnsi="黑体" w:eastAsia="黑体" w:cs="黑体"/>
          <w:b/>
          <w:bCs/>
          <w:spacing w:val="5"/>
          <w:sz w:val="28"/>
          <w:szCs w:val="28"/>
        </w:rPr>
        <w:t>(三)综合定报表式</w:t>
      </w:r>
    </w:p>
    <w:p w14:paraId="15ECB446">
      <w:pPr>
        <w:spacing w:before="266" w:line="219" w:lineRule="auto"/>
        <w:ind w:left="2644"/>
        <w:rPr>
          <w:rFonts w:ascii="宋体" w:hAnsi="宋体" w:eastAsia="宋体" w:cs="宋体"/>
          <w:sz w:val="31"/>
          <w:szCs w:val="31"/>
        </w:rPr>
      </w:pPr>
      <w:r>
        <w:rPr>
          <w:rFonts w:ascii="宋体" w:hAnsi="宋体" w:eastAsia="宋体" w:cs="宋体"/>
          <w:b/>
          <w:bCs/>
          <w:spacing w:val="-14"/>
          <w:sz w:val="31"/>
          <w:szCs w:val="31"/>
        </w:rPr>
        <w:t>地区能源消费与单位</w:t>
      </w:r>
      <w:r>
        <w:rPr>
          <w:rFonts w:ascii="宋体" w:hAnsi="宋体" w:eastAsia="宋体" w:cs="宋体"/>
          <w:spacing w:val="-51"/>
          <w:sz w:val="31"/>
          <w:szCs w:val="31"/>
        </w:rPr>
        <w:t xml:space="preserve"> </w:t>
      </w:r>
      <w:r>
        <w:rPr>
          <w:rFonts w:ascii="Times New Roman" w:hAnsi="Times New Roman" w:eastAsia="Times New Roman" w:cs="Times New Roman"/>
          <w:b/>
          <w:bCs/>
          <w:spacing w:val="-14"/>
          <w:sz w:val="31"/>
          <w:szCs w:val="31"/>
        </w:rPr>
        <w:t>GDP</w:t>
      </w:r>
      <w:r>
        <w:rPr>
          <w:rFonts w:ascii="Times New Roman" w:hAnsi="Times New Roman" w:eastAsia="Times New Roman" w:cs="Times New Roman"/>
          <w:b/>
          <w:bCs/>
          <w:spacing w:val="41"/>
          <w:sz w:val="31"/>
          <w:szCs w:val="31"/>
        </w:rPr>
        <w:t xml:space="preserve"> </w:t>
      </w:r>
      <w:r>
        <w:rPr>
          <w:rFonts w:ascii="宋体" w:hAnsi="宋体" w:eastAsia="宋体" w:cs="宋体"/>
          <w:b/>
          <w:bCs/>
          <w:spacing w:val="-14"/>
          <w:sz w:val="31"/>
          <w:szCs w:val="31"/>
        </w:rPr>
        <w:t>能耗</w:t>
      </w:r>
    </w:p>
    <w:p w14:paraId="3FFA433E">
      <w:pPr>
        <w:spacing w:before="53" w:line="250" w:lineRule="auto"/>
        <w:ind w:left="7000" w:right="74"/>
        <w:jc w:val="both"/>
        <w:rPr>
          <w:rFonts w:ascii="宋体" w:hAnsi="宋体" w:eastAsia="宋体" w:cs="宋体"/>
          <w:sz w:val="18"/>
          <w:szCs w:val="18"/>
        </w:rPr>
      </w:pPr>
      <w:r>
        <w:rPr>
          <w:rFonts w:ascii="宋体" w:hAnsi="宋体" w:eastAsia="宋体" w:cs="宋体"/>
          <w:spacing w:val="-10"/>
          <w:sz w:val="18"/>
          <w:szCs w:val="18"/>
        </w:rPr>
        <w:t>表</w:t>
      </w:r>
      <w:r>
        <w:rPr>
          <w:rFonts w:ascii="宋体" w:hAnsi="宋体" w:eastAsia="宋体" w:cs="宋体"/>
          <w:spacing w:val="28"/>
          <w:sz w:val="18"/>
          <w:szCs w:val="18"/>
        </w:rPr>
        <w:t xml:space="preserve">   </w:t>
      </w:r>
      <w:r>
        <w:rPr>
          <w:rFonts w:ascii="宋体" w:hAnsi="宋体" w:eastAsia="宋体" w:cs="宋体"/>
          <w:spacing w:val="-10"/>
          <w:sz w:val="18"/>
          <w:szCs w:val="18"/>
        </w:rPr>
        <w:t>号：</w:t>
      </w:r>
      <w:r>
        <w:rPr>
          <w:rFonts w:ascii="宋体" w:hAnsi="宋体" w:eastAsia="宋体" w:cs="宋体"/>
          <w:spacing w:val="-33"/>
          <w:sz w:val="18"/>
          <w:szCs w:val="18"/>
        </w:rPr>
        <w:t xml:space="preserve"> </w:t>
      </w:r>
      <w:r>
        <w:rPr>
          <w:rFonts w:ascii="Times New Roman" w:hAnsi="Times New Roman" w:eastAsia="Times New Roman" w:cs="Times New Roman"/>
          <w:spacing w:val="-10"/>
          <w:sz w:val="18"/>
          <w:szCs w:val="18"/>
        </w:rPr>
        <w:t>P</w:t>
      </w:r>
      <w:r>
        <w:rPr>
          <w:rFonts w:ascii="Times New Roman" w:hAnsi="Times New Roman" w:eastAsia="Times New Roman" w:cs="Times New Roman"/>
          <w:spacing w:val="3"/>
          <w:sz w:val="18"/>
          <w:szCs w:val="18"/>
        </w:rPr>
        <w:t xml:space="preserve">     </w:t>
      </w:r>
      <w:r>
        <w:rPr>
          <w:rFonts w:ascii="宋体" w:hAnsi="宋体" w:eastAsia="宋体" w:cs="宋体"/>
          <w:spacing w:val="-10"/>
          <w:sz w:val="18"/>
          <w:szCs w:val="18"/>
        </w:rPr>
        <w:t>4   0   6</w:t>
      </w:r>
      <w:r>
        <w:rPr>
          <w:rFonts w:ascii="宋体" w:hAnsi="宋体" w:eastAsia="宋体" w:cs="宋体"/>
          <w:spacing w:val="20"/>
          <w:sz w:val="18"/>
          <w:szCs w:val="18"/>
        </w:rPr>
        <w:t xml:space="preserve">  </w:t>
      </w:r>
      <w:r>
        <w:rPr>
          <w:rFonts w:ascii="宋体" w:hAnsi="宋体" w:eastAsia="宋体" w:cs="宋体"/>
          <w:spacing w:val="-10"/>
          <w:sz w:val="18"/>
          <w:szCs w:val="18"/>
        </w:rPr>
        <w:t>表</w:t>
      </w:r>
      <w:r>
        <w:rPr>
          <w:rFonts w:ascii="宋体" w:hAnsi="宋体" w:eastAsia="宋体" w:cs="宋体"/>
          <w:spacing w:val="1"/>
          <w:sz w:val="18"/>
          <w:szCs w:val="18"/>
        </w:rPr>
        <w:t xml:space="preserve"> </w:t>
      </w:r>
      <w:r>
        <w:rPr>
          <w:rFonts w:ascii="宋体" w:hAnsi="宋体" w:eastAsia="宋体" w:cs="宋体"/>
          <w:spacing w:val="-5"/>
          <w:sz w:val="18"/>
          <w:szCs w:val="18"/>
        </w:rPr>
        <w:t>制定机关：国  家</w:t>
      </w:r>
      <w:r>
        <w:rPr>
          <w:rFonts w:ascii="宋体" w:hAnsi="宋体" w:eastAsia="宋体" w:cs="宋体"/>
          <w:spacing w:val="5"/>
          <w:sz w:val="18"/>
          <w:szCs w:val="18"/>
        </w:rPr>
        <w:t xml:space="preserve">  </w:t>
      </w:r>
      <w:r>
        <w:rPr>
          <w:rFonts w:ascii="宋体" w:hAnsi="宋体" w:eastAsia="宋体" w:cs="宋体"/>
          <w:spacing w:val="-5"/>
          <w:sz w:val="18"/>
          <w:szCs w:val="18"/>
        </w:rPr>
        <w:t>统</w:t>
      </w:r>
      <w:r>
        <w:rPr>
          <w:rFonts w:ascii="宋体" w:hAnsi="宋体" w:eastAsia="宋体" w:cs="宋体"/>
          <w:spacing w:val="3"/>
          <w:sz w:val="18"/>
          <w:szCs w:val="18"/>
        </w:rPr>
        <w:t xml:space="preserve">  </w:t>
      </w:r>
      <w:r>
        <w:rPr>
          <w:rFonts w:ascii="宋体" w:hAnsi="宋体" w:eastAsia="宋体" w:cs="宋体"/>
          <w:spacing w:val="-5"/>
          <w:sz w:val="18"/>
          <w:szCs w:val="18"/>
        </w:rPr>
        <w:t>计</w:t>
      </w:r>
      <w:r>
        <w:rPr>
          <w:rFonts w:ascii="宋体" w:hAnsi="宋体" w:eastAsia="宋体" w:cs="宋体"/>
          <w:spacing w:val="9"/>
          <w:sz w:val="18"/>
          <w:szCs w:val="18"/>
        </w:rPr>
        <w:t xml:space="preserve"> </w:t>
      </w:r>
      <w:r>
        <w:rPr>
          <w:rFonts w:ascii="宋体" w:hAnsi="宋体" w:eastAsia="宋体" w:cs="宋体"/>
          <w:spacing w:val="-5"/>
          <w:sz w:val="18"/>
          <w:szCs w:val="18"/>
        </w:rPr>
        <w:t>局</w:t>
      </w:r>
      <w:r>
        <w:rPr>
          <w:rFonts w:ascii="宋体" w:hAnsi="宋体" w:eastAsia="宋体" w:cs="宋体"/>
          <w:sz w:val="18"/>
          <w:szCs w:val="18"/>
        </w:rPr>
        <w:t xml:space="preserve"> </w:t>
      </w:r>
      <w:r>
        <w:rPr>
          <w:rFonts w:ascii="宋体" w:hAnsi="宋体" w:eastAsia="宋体" w:cs="宋体"/>
          <w:spacing w:val="-7"/>
          <w:sz w:val="18"/>
          <w:szCs w:val="18"/>
        </w:rPr>
        <w:t>文    号：国统字〔202</w:t>
      </w:r>
      <w:r>
        <w:rPr>
          <w:rFonts w:hint="eastAsia" w:ascii="宋体" w:hAnsi="宋体" w:eastAsia="宋体" w:cs="宋体"/>
          <w:spacing w:val="-7"/>
          <w:sz w:val="18"/>
          <w:szCs w:val="18"/>
          <w:lang w:val="en-US" w:eastAsia="zh-CN"/>
        </w:rPr>
        <w:t>4</w:t>
      </w:r>
      <w:r>
        <w:rPr>
          <w:rFonts w:ascii="宋体" w:hAnsi="宋体" w:eastAsia="宋体" w:cs="宋体"/>
          <w:spacing w:val="-7"/>
          <w:sz w:val="18"/>
          <w:szCs w:val="18"/>
        </w:rPr>
        <w:t>〕</w:t>
      </w:r>
      <w:r>
        <w:rPr>
          <w:rFonts w:hint="eastAsia" w:ascii="宋体" w:hAnsi="宋体" w:eastAsia="宋体" w:cs="宋体"/>
          <w:spacing w:val="-7"/>
          <w:sz w:val="18"/>
          <w:szCs w:val="18"/>
          <w:lang w:val="en-US" w:eastAsia="zh-CN"/>
        </w:rPr>
        <w:t>77</w:t>
      </w:r>
      <w:r>
        <w:rPr>
          <w:rFonts w:ascii="宋体" w:hAnsi="宋体" w:eastAsia="宋体" w:cs="宋体"/>
          <w:spacing w:val="-7"/>
          <w:sz w:val="18"/>
          <w:szCs w:val="18"/>
        </w:rPr>
        <w:t>号</w:t>
      </w:r>
    </w:p>
    <w:p w14:paraId="73BF7A85">
      <w:pPr>
        <w:spacing w:before="7" w:line="183" w:lineRule="auto"/>
        <w:ind w:left="20"/>
        <w:rPr>
          <w:rFonts w:ascii="宋体" w:hAnsi="宋体" w:eastAsia="宋体" w:cs="宋体"/>
          <w:sz w:val="21"/>
          <w:szCs w:val="21"/>
        </w:rPr>
      </w:pPr>
      <w:r>
        <w:rPr>
          <w:rFonts w:ascii="宋体" w:hAnsi="宋体" w:eastAsia="宋体" w:cs="宋体"/>
          <w:spacing w:val="-3"/>
          <w:position w:val="-3"/>
          <w:sz w:val="21"/>
          <w:szCs w:val="21"/>
        </w:rPr>
        <w:t>综合机关名称：</w:t>
      </w:r>
      <w:r>
        <w:rPr>
          <w:rFonts w:ascii="宋体" w:hAnsi="宋体" w:eastAsia="宋体" w:cs="宋体"/>
          <w:spacing w:val="1"/>
          <w:position w:val="-3"/>
          <w:sz w:val="21"/>
          <w:szCs w:val="21"/>
        </w:rPr>
        <w:t xml:space="preserve">                        </w:t>
      </w:r>
      <w:r>
        <w:rPr>
          <w:rFonts w:ascii="宋体" w:hAnsi="宋体" w:eastAsia="宋体" w:cs="宋体"/>
          <w:spacing w:val="-3"/>
          <w:position w:val="-4"/>
          <w:sz w:val="21"/>
          <w:szCs w:val="21"/>
        </w:rPr>
        <w:t>20</w:t>
      </w:r>
      <w:r>
        <w:rPr>
          <w:rFonts w:ascii="宋体" w:hAnsi="宋体" w:eastAsia="宋体" w:cs="宋体"/>
          <w:spacing w:val="19"/>
          <w:position w:val="-4"/>
          <w:sz w:val="21"/>
          <w:szCs w:val="21"/>
        </w:rPr>
        <w:t xml:space="preserve">    </w:t>
      </w:r>
      <w:r>
        <w:rPr>
          <w:rFonts w:ascii="宋体" w:hAnsi="宋体" w:eastAsia="宋体" w:cs="宋体"/>
          <w:spacing w:val="-3"/>
          <w:position w:val="-1"/>
          <w:sz w:val="21"/>
          <w:szCs w:val="21"/>
        </w:rPr>
        <w:t xml:space="preserve">年1一   季             </w:t>
      </w:r>
      <w:r>
        <w:rPr>
          <w:rFonts w:ascii="宋体" w:hAnsi="宋体" w:eastAsia="宋体" w:cs="宋体"/>
          <w:spacing w:val="-3"/>
          <w:position w:val="2"/>
          <w:sz w:val="21"/>
          <w:szCs w:val="21"/>
        </w:rPr>
        <w:t>有效期至：</w:t>
      </w:r>
      <w:r>
        <w:rPr>
          <w:rFonts w:ascii="宋体" w:hAnsi="宋体" w:eastAsia="宋体" w:cs="宋体"/>
          <w:spacing w:val="-4"/>
          <w:position w:val="2"/>
          <w:sz w:val="21"/>
          <w:szCs w:val="21"/>
        </w:rPr>
        <w:t>202</w:t>
      </w:r>
      <w:r>
        <w:rPr>
          <w:rFonts w:hint="eastAsia" w:ascii="宋体" w:hAnsi="宋体" w:eastAsia="宋体" w:cs="宋体"/>
          <w:spacing w:val="-4"/>
          <w:position w:val="2"/>
          <w:sz w:val="21"/>
          <w:szCs w:val="21"/>
          <w:lang w:val="en-US" w:eastAsia="zh-CN"/>
        </w:rPr>
        <w:t>6</w:t>
      </w:r>
      <w:r>
        <w:rPr>
          <w:rFonts w:ascii="宋体" w:hAnsi="宋体" w:eastAsia="宋体" w:cs="宋体"/>
          <w:spacing w:val="-4"/>
          <w:position w:val="2"/>
          <w:sz w:val="21"/>
          <w:szCs w:val="21"/>
        </w:rPr>
        <w:t>年1月</w:t>
      </w:r>
    </w:p>
    <w:tbl>
      <w:tblPr>
        <w:tblStyle w:val="5"/>
        <w:tblW w:w="9400" w:type="dxa"/>
        <w:tblInd w:w="1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4090"/>
        <w:gridCol w:w="1310"/>
        <w:gridCol w:w="550"/>
        <w:gridCol w:w="700"/>
        <w:gridCol w:w="700"/>
        <w:gridCol w:w="700"/>
        <w:gridCol w:w="720"/>
        <w:gridCol w:w="630"/>
      </w:tblGrid>
      <w:tr w14:paraId="5BD6412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24" w:hRule="atLeast"/>
        </w:trPr>
        <w:tc>
          <w:tcPr>
            <w:tcW w:w="4090" w:type="dxa"/>
            <w:vMerge w:val="restart"/>
            <w:tcBorders>
              <w:top w:val="single" w:color="000000" w:sz="4" w:space="0"/>
              <w:bottom w:val="nil"/>
              <w:right w:val="single" w:color="000000" w:sz="4" w:space="0"/>
            </w:tcBorders>
            <w:vAlign w:val="top"/>
          </w:tcPr>
          <w:p w14:paraId="530681E0">
            <w:pPr>
              <w:spacing w:line="261" w:lineRule="auto"/>
              <w:rPr>
                <w:rFonts w:ascii="Arial"/>
                <w:sz w:val="21"/>
              </w:rPr>
            </w:pPr>
          </w:p>
          <w:p w14:paraId="4DE84641">
            <w:pPr>
              <w:pStyle w:val="6"/>
              <w:spacing w:before="59" w:line="220" w:lineRule="auto"/>
              <w:ind w:left="1710"/>
            </w:pPr>
            <w:r>
              <w:rPr>
                <w:spacing w:val="-2"/>
              </w:rPr>
              <w:t>指标名称</w:t>
            </w:r>
          </w:p>
        </w:tc>
        <w:tc>
          <w:tcPr>
            <w:tcW w:w="1310" w:type="dxa"/>
            <w:vMerge w:val="restart"/>
            <w:tcBorders>
              <w:top w:val="single" w:color="000000" w:sz="4" w:space="0"/>
              <w:left w:val="single" w:color="000000" w:sz="4" w:space="0"/>
              <w:bottom w:val="nil"/>
              <w:right w:val="single" w:color="000000" w:sz="4" w:space="0"/>
            </w:tcBorders>
            <w:vAlign w:val="top"/>
          </w:tcPr>
          <w:p w14:paraId="27322ECC">
            <w:pPr>
              <w:spacing w:line="261" w:lineRule="auto"/>
              <w:rPr>
                <w:rFonts w:ascii="Arial"/>
                <w:sz w:val="21"/>
              </w:rPr>
            </w:pPr>
          </w:p>
          <w:p w14:paraId="3ADFD281">
            <w:pPr>
              <w:pStyle w:val="6"/>
              <w:spacing w:before="59" w:line="220" w:lineRule="auto"/>
              <w:ind w:left="285"/>
            </w:pPr>
            <w:r>
              <w:rPr>
                <w:spacing w:val="-2"/>
              </w:rPr>
              <w:t>计量单位</w:t>
            </w:r>
          </w:p>
        </w:tc>
        <w:tc>
          <w:tcPr>
            <w:tcW w:w="550" w:type="dxa"/>
            <w:vMerge w:val="restart"/>
            <w:tcBorders>
              <w:top w:val="single" w:color="000000" w:sz="4" w:space="0"/>
              <w:left w:val="single" w:color="000000" w:sz="4" w:space="0"/>
              <w:bottom w:val="nil"/>
              <w:right w:val="single" w:color="000000" w:sz="4" w:space="0"/>
            </w:tcBorders>
            <w:vAlign w:val="top"/>
          </w:tcPr>
          <w:p w14:paraId="1A5EC7FC">
            <w:pPr>
              <w:spacing w:line="261" w:lineRule="auto"/>
              <w:rPr>
                <w:rFonts w:ascii="Arial"/>
                <w:sz w:val="21"/>
              </w:rPr>
            </w:pPr>
          </w:p>
          <w:p w14:paraId="2B9EE151">
            <w:pPr>
              <w:pStyle w:val="6"/>
              <w:spacing w:before="58" w:line="219" w:lineRule="auto"/>
              <w:ind w:left="85"/>
            </w:pPr>
            <w:r>
              <w:rPr>
                <w:spacing w:val="-2"/>
              </w:rPr>
              <w:t>代码</w:t>
            </w:r>
          </w:p>
        </w:tc>
        <w:tc>
          <w:tcPr>
            <w:tcW w:w="700" w:type="dxa"/>
            <w:vMerge w:val="restart"/>
            <w:tcBorders>
              <w:top w:val="single" w:color="000000" w:sz="4" w:space="0"/>
              <w:left w:val="single" w:color="000000" w:sz="4" w:space="0"/>
              <w:bottom w:val="nil"/>
              <w:right w:val="single" w:color="000000" w:sz="4" w:space="0"/>
            </w:tcBorders>
            <w:vAlign w:val="top"/>
          </w:tcPr>
          <w:p w14:paraId="42C2D839">
            <w:pPr>
              <w:spacing w:line="260" w:lineRule="auto"/>
              <w:rPr>
                <w:rFonts w:ascii="Arial"/>
                <w:sz w:val="21"/>
              </w:rPr>
            </w:pPr>
          </w:p>
          <w:p w14:paraId="15FB9D94">
            <w:pPr>
              <w:pStyle w:val="6"/>
              <w:spacing w:before="58" w:line="219" w:lineRule="auto"/>
              <w:ind w:left="75"/>
            </w:pPr>
            <w:r>
              <w:rPr>
                <w:spacing w:val="-4"/>
              </w:rPr>
              <w:t>本</w:t>
            </w:r>
            <w:r>
              <w:rPr>
                <w:spacing w:val="4"/>
              </w:rPr>
              <w:t xml:space="preserve">  </w:t>
            </w:r>
            <w:r>
              <w:rPr>
                <w:spacing w:val="-4"/>
              </w:rPr>
              <w:t>期</w:t>
            </w:r>
          </w:p>
        </w:tc>
        <w:tc>
          <w:tcPr>
            <w:tcW w:w="700" w:type="dxa"/>
            <w:vMerge w:val="restart"/>
            <w:tcBorders>
              <w:top w:val="single" w:color="000000" w:sz="4" w:space="0"/>
              <w:left w:val="single" w:color="000000" w:sz="4" w:space="0"/>
              <w:bottom w:val="nil"/>
              <w:right w:val="single" w:color="000000" w:sz="4" w:space="0"/>
            </w:tcBorders>
            <w:vAlign w:val="top"/>
          </w:tcPr>
          <w:p w14:paraId="593200A9">
            <w:pPr>
              <w:pStyle w:val="6"/>
              <w:spacing w:before="200" w:line="241" w:lineRule="exact"/>
              <w:ind w:left="165"/>
            </w:pPr>
            <w:r>
              <w:rPr>
                <w:spacing w:val="-3"/>
                <w:position w:val="4"/>
              </w:rPr>
              <w:t>上年</w:t>
            </w:r>
          </w:p>
          <w:p w14:paraId="3EE56791">
            <w:pPr>
              <w:pStyle w:val="6"/>
              <w:spacing w:line="220" w:lineRule="auto"/>
              <w:ind w:left="165"/>
            </w:pPr>
            <w:r>
              <w:rPr>
                <w:spacing w:val="5"/>
              </w:rPr>
              <w:t>同期</w:t>
            </w:r>
          </w:p>
        </w:tc>
        <w:tc>
          <w:tcPr>
            <w:tcW w:w="700" w:type="dxa"/>
            <w:vMerge w:val="restart"/>
            <w:tcBorders>
              <w:top w:val="single" w:color="000000" w:sz="4" w:space="0"/>
              <w:left w:val="single" w:color="000000" w:sz="4" w:space="0"/>
              <w:bottom w:val="nil"/>
              <w:right w:val="single" w:color="000000" w:sz="4" w:space="0"/>
            </w:tcBorders>
            <w:vAlign w:val="top"/>
          </w:tcPr>
          <w:p w14:paraId="15DC52F2">
            <w:pPr>
              <w:pStyle w:val="6"/>
              <w:spacing w:before="91" w:line="239" w:lineRule="auto"/>
              <w:ind w:left="75" w:right="60"/>
              <w:jc w:val="both"/>
            </w:pPr>
            <w:r>
              <w:rPr>
                <w:spacing w:val="2"/>
              </w:rPr>
              <w:t>比上年</w:t>
            </w:r>
            <w:r>
              <w:t xml:space="preserve"> </w:t>
            </w:r>
            <w:r>
              <w:rPr>
                <w:spacing w:val="4"/>
              </w:rPr>
              <w:t>同期增</w:t>
            </w:r>
            <w:r>
              <w:rPr>
                <w:spacing w:val="1"/>
              </w:rPr>
              <w:t xml:space="preserve"> </w:t>
            </w:r>
            <w:r>
              <w:rPr>
                <w:spacing w:val="19"/>
              </w:rPr>
              <w:t>长(%)</w:t>
            </w:r>
          </w:p>
        </w:tc>
        <w:tc>
          <w:tcPr>
            <w:tcW w:w="1350" w:type="dxa"/>
            <w:gridSpan w:val="2"/>
            <w:tcBorders>
              <w:top w:val="single" w:color="000000" w:sz="4" w:space="0"/>
              <w:left w:val="single" w:color="000000" w:sz="4" w:space="0"/>
              <w:bottom w:val="single" w:color="000000" w:sz="4" w:space="0"/>
            </w:tcBorders>
            <w:vAlign w:val="top"/>
          </w:tcPr>
          <w:p w14:paraId="34A398B2">
            <w:pPr>
              <w:pStyle w:val="6"/>
              <w:spacing w:before="71" w:line="219" w:lineRule="auto"/>
              <w:ind w:left="175"/>
            </w:pPr>
            <w:r>
              <w:rPr>
                <w:spacing w:val="5"/>
              </w:rPr>
              <w:t>能耗比重(%)</w:t>
            </w:r>
          </w:p>
        </w:tc>
      </w:tr>
      <w:tr w14:paraId="2AD5A58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79" w:hRule="atLeast"/>
        </w:trPr>
        <w:tc>
          <w:tcPr>
            <w:tcW w:w="4090" w:type="dxa"/>
            <w:vMerge w:val="continue"/>
            <w:tcBorders>
              <w:top w:val="nil"/>
              <w:bottom w:val="single" w:color="000000" w:sz="4" w:space="0"/>
              <w:right w:val="single" w:color="000000" w:sz="4" w:space="0"/>
            </w:tcBorders>
            <w:vAlign w:val="top"/>
          </w:tcPr>
          <w:p w14:paraId="663EDEF0">
            <w:pPr>
              <w:rPr>
                <w:rFonts w:ascii="Arial"/>
                <w:sz w:val="21"/>
              </w:rPr>
            </w:pPr>
          </w:p>
        </w:tc>
        <w:tc>
          <w:tcPr>
            <w:tcW w:w="1310" w:type="dxa"/>
            <w:vMerge w:val="continue"/>
            <w:tcBorders>
              <w:top w:val="nil"/>
              <w:left w:val="single" w:color="000000" w:sz="4" w:space="0"/>
              <w:bottom w:val="single" w:color="000000" w:sz="4" w:space="0"/>
              <w:right w:val="single" w:color="000000" w:sz="4" w:space="0"/>
            </w:tcBorders>
            <w:vAlign w:val="top"/>
          </w:tcPr>
          <w:p w14:paraId="360DD337">
            <w:pPr>
              <w:rPr>
                <w:rFonts w:ascii="Arial"/>
                <w:sz w:val="21"/>
              </w:rPr>
            </w:pPr>
          </w:p>
        </w:tc>
        <w:tc>
          <w:tcPr>
            <w:tcW w:w="550" w:type="dxa"/>
            <w:vMerge w:val="continue"/>
            <w:tcBorders>
              <w:top w:val="nil"/>
              <w:left w:val="single" w:color="000000" w:sz="4" w:space="0"/>
              <w:bottom w:val="single" w:color="000000" w:sz="4" w:space="0"/>
              <w:right w:val="single" w:color="000000" w:sz="4" w:space="0"/>
            </w:tcBorders>
            <w:vAlign w:val="top"/>
          </w:tcPr>
          <w:p w14:paraId="782A9FCF">
            <w:pPr>
              <w:rPr>
                <w:rFonts w:ascii="Arial"/>
                <w:sz w:val="21"/>
              </w:rPr>
            </w:pPr>
          </w:p>
        </w:tc>
        <w:tc>
          <w:tcPr>
            <w:tcW w:w="700" w:type="dxa"/>
            <w:vMerge w:val="continue"/>
            <w:tcBorders>
              <w:top w:val="nil"/>
              <w:left w:val="single" w:color="000000" w:sz="4" w:space="0"/>
              <w:bottom w:val="single" w:color="000000" w:sz="4" w:space="0"/>
              <w:right w:val="single" w:color="000000" w:sz="4" w:space="0"/>
            </w:tcBorders>
            <w:vAlign w:val="top"/>
          </w:tcPr>
          <w:p w14:paraId="7AD0E102">
            <w:pPr>
              <w:rPr>
                <w:rFonts w:ascii="Arial"/>
                <w:sz w:val="21"/>
              </w:rPr>
            </w:pPr>
          </w:p>
        </w:tc>
        <w:tc>
          <w:tcPr>
            <w:tcW w:w="700" w:type="dxa"/>
            <w:vMerge w:val="continue"/>
            <w:tcBorders>
              <w:top w:val="nil"/>
              <w:left w:val="single" w:color="000000" w:sz="4" w:space="0"/>
              <w:bottom w:val="single" w:color="000000" w:sz="4" w:space="0"/>
              <w:right w:val="single" w:color="000000" w:sz="4" w:space="0"/>
            </w:tcBorders>
            <w:vAlign w:val="top"/>
          </w:tcPr>
          <w:p w14:paraId="6E562730">
            <w:pPr>
              <w:rPr>
                <w:rFonts w:ascii="Arial"/>
                <w:sz w:val="21"/>
              </w:rPr>
            </w:pPr>
          </w:p>
        </w:tc>
        <w:tc>
          <w:tcPr>
            <w:tcW w:w="700" w:type="dxa"/>
            <w:vMerge w:val="continue"/>
            <w:tcBorders>
              <w:top w:val="nil"/>
              <w:left w:val="single" w:color="000000" w:sz="4" w:space="0"/>
              <w:bottom w:val="single" w:color="000000" w:sz="4" w:space="0"/>
              <w:right w:val="single" w:color="000000" w:sz="4" w:space="0"/>
            </w:tcBorders>
            <w:vAlign w:val="top"/>
          </w:tcPr>
          <w:p w14:paraId="306CAC9E">
            <w:pPr>
              <w:rPr>
                <w:rFonts w:ascii="Arial"/>
                <w:sz w:val="21"/>
              </w:rPr>
            </w:pPr>
          </w:p>
        </w:tc>
        <w:tc>
          <w:tcPr>
            <w:tcW w:w="720" w:type="dxa"/>
            <w:tcBorders>
              <w:top w:val="single" w:color="000000" w:sz="4" w:space="0"/>
              <w:left w:val="single" w:color="000000" w:sz="4" w:space="0"/>
              <w:bottom w:val="single" w:color="000000" w:sz="4" w:space="0"/>
              <w:right w:val="single" w:color="000000" w:sz="4" w:space="0"/>
            </w:tcBorders>
            <w:vAlign w:val="top"/>
          </w:tcPr>
          <w:p w14:paraId="6DB87C2E">
            <w:pPr>
              <w:pStyle w:val="6"/>
              <w:spacing w:before="146" w:line="219" w:lineRule="auto"/>
              <w:ind w:left="175"/>
            </w:pPr>
            <w:r>
              <w:rPr>
                <w:spacing w:val="-2"/>
              </w:rPr>
              <w:t>本期</w:t>
            </w:r>
          </w:p>
        </w:tc>
        <w:tc>
          <w:tcPr>
            <w:tcW w:w="630" w:type="dxa"/>
            <w:tcBorders>
              <w:top w:val="single" w:color="000000" w:sz="4" w:space="0"/>
              <w:left w:val="single" w:color="000000" w:sz="4" w:space="0"/>
              <w:bottom w:val="single" w:color="000000" w:sz="4" w:space="0"/>
            </w:tcBorders>
            <w:vAlign w:val="top"/>
          </w:tcPr>
          <w:p w14:paraId="46FE1FC1">
            <w:pPr>
              <w:pStyle w:val="6"/>
              <w:spacing w:before="36" w:line="222" w:lineRule="auto"/>
              <w:ind w:left="65" w:right="68"/>
            </w:pPr>
            <w:r>
              <w:rPr>
                <w:spacing w:val="-9"/>
              </w:rPr>
              <w:t>上</w:t>
            </w:r>
            <w:r>
              <w:rPr>
                <w:spacing w:val="54"/>
              </w:rPr>
              <w:t xml:space="preserve"> </w:t>
            </w:r>
            <w:r>
              <w:rPr>
                <w:spacing w:val="-9"/>
              </w:rPr>
              <w:t>年</w:t>
            </w:r>
            <w:r>
              <w:t xml:space="preserve"> </w:t>
            </w:r>
            <w:r>
              <w:rPr>
                <w:spacing w:val="-13"/>
              </w:rPr>
              <w:t>同  期</w:t>
            </w:r>
          </w:p>
        </w:tc>
      </w:tr>
      <w:tr w14:paraId="758C4C0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69" w:hRule="atLeast"/>
        </w:trPr>
        <w:tc>
          <w:tcPr>
            <w:tcW w:w="4090" w:type="dxa"/>
            <w:tcBorders>
              <w:top w:val="single" w:color="000000" w:sz="4" w:space="0"/>
              <w:bottom w:val="single" w:color="000000" w:sz="4" w:space="0"/>
              <w:right w:val="single" w:color="000000" w:sz="4" w:space="0"/>
            </w:tcBorders>
            <w:vAlign w:val="top"/>
          </w:tcPr>
          <w:p w14:paraId="64E76877">
            <w:pPr>
              <w:pStyle w:val="6"/>
              <w:spacing w:before="51" w:line="213" w:lineRule="auto"/>
              <w:ind w:left="1970"/>
            </w:pPr>
            <w:r>
              <w:t>甲</w:t>
            </w:r>
          </w:p>
        </w:tc>
        <w:tc>
          <w:tcPr>
            <w:tcW w:w="1310" w:type="dxa"/>
            <w:tcBorders>
              <w:top w:val="single" w:color="000000" w:sz="4" w:space="0"/>
              <w:left w:val="single" w:color="000000" w:sz="4" w:space="0"/>
              <w:bottom w:val="single" w:color="000000" w:sz="4" w:space="0"/>
              <w:right w:val="single" w:color="000000" w:sz="4" w:space="0"/>
            </w:tcBorders>
            <w:vAlign w:val="top"/>
          </w:tcPr>
          <w:p w14:paraId="6E384C30">
            <w:pPr>
              <w:pStyle w:val="6"/>
              <w:spacing w:before="63" w:line="201" w:lineRule="auto"/>
              <w:ind w:left="555"/>
            </w:pPr>
            <w:r>
              <w:t>乙</w:t>
            </w:r>
          </w:p>
        </w:tc>
        <w:tc>
          <w:tcPr>
            <w:tcW w:w="550" w:type="dxa"/>
            <w:tcBorders>
              <w:top w:val="single" w:color="000000" w:sz="4" w:space="0"/>
              <w:left w:val="single" w:color="000000" w:sz="4" w:space="0"/>
              <w:bottom w:val="single" w:color="000000" w:sz="4" w:space="0"/>
              <w:right w:val="single" w:color="000000" w:sz="4" w:space="0"/>
            </w:tcBorders>
            <w:vAlign w:val="top"/>
          </w:tcPr>
          <w:p w14:paraId="69202309">
            <w:pPr>
              <w:pStyle w:val="6"/>
              <w:spacing w:before="48" w:line="216" w:lineRule="auto"/>
              <w:ind w:left="175"/>
            </w:pPr>
            <w:r>
              <w:t>丙</w:t>
            </w:r>
          </w:p>
        </w:tc>
        <w:tc>
          <w:tcPr>
            <w:tcW w:w="700" w:type="dxa"/>
            <w:tcBorders>
              <w:top w:val="single" w:color="000000" w:sz="4" w:space="0"/>
              <w:left w:val="single" w:color="000000" w:sz="4" w:space="0"/>
              <w:bottom w:val="single" w:color="000000" w:sz="4" w:space="0"/>
              <w:right w:val="single" w:color="000000" w:sz="4" w:space="0"/>
            </w:tcBorders>
            <w:vAlign w:val="top"/>
          </w:tcPr>
          <w:p w14:paraId="47E9F733">
            <w:pPr>
              <w:pStyle w:val="6"/>
              <w:spacing w:before="94" w:line="169" w:lineRule="auto"/>
              <w:ind w:left="295"/>
            </w:pPr>
            <w:r>
              <w:t>1</w:t>
            </w:r>
          </w:p>
        </w:tc>
        <w:tc>
          <w:tcPr>
            <w:tcW w:w="700" w:type="dxa"/>
            <w:tcBorders>
              <w:top w:val="single" w:color="000000" w:sz="4" w:space="0"/>
              <w:left w:val="single" w:color="000000" w:sz="4" w:space="0"/>
              <w:bottom w:val="single" w:color="000000" w:sz="4" w:space="0"/>
              <w:right w:val="single" w:color="000000" w:sz="4" w:space="0"/>
            </w:tcBorders>
            <w:vAlign w:val="top"/>
          </w:tcPr>
          <w:p w14:paraId="78B7CBE7">
            <w:pPr>
              <w:pStyle w:val="6"/>
              <w:spacing w:before="94" w:line="169" w:lineRule="auto"/>
              <w:ind w:left="295"/>
            </w:pPr>
            <w:r>
              <w:t>2</w:t>
            </w:r>
          </w:p>
        </w:tc>
        <w:tc>
          <w:tcPr>
            <w:tcW w:w="700" w:type="dxa"/>
            <w:tcBorders>
              <w:top w:val="single" w:color="000000" w:sz="4" w:space="0"/>
              <w:left w:val="single" w:color="000000" w:sz="4" w:space="0"/>
              <w:bottom w:val="single" w:color="000000" w:sz="4" w:space="0"/>
              <w:right w:val="single" w:color="000000" w:sz="4" w:space="0"/>
            </w:tcBorders>
            <w:vAlign w:val="top"/>
          </w:tcPr>
          <w:p w14:paraId="11AD4958">
            <w:pPr>
              <w:pStyle w:val="6"/>
              <w:spacing w:before="94" w:line="169" w:lineRule="auto"/>
              <w:ind w:left="295"/>
            </w:pPr>
            <w:r>
              <w:t>3</w:t>
            </w:r>
          </w:p>
        </w:tc>
        <w:tc>
          <w:tcPr>
            <w:tcW w:w="720" w:type="dxa"/>
            <w:tcBorders>
              <w:top w:val="single" w:color="000000" w:sz="4" w:space="0"/>
              <w:left w:val="single" w:color="000000" w:sz="4" w:space="0"/>
              <w:bottom w:val="single" w:color="000000" w:sz="4" w:space="0"/>
              <w:right w:val="single" w:color="000000" w:sz="4" w:space="0"/>
            </w:tcBorders>
            <w:vAlign w:val="top"/>
          </w:tcPr>
          <w:p w14:paraId="0C426E04">
            <w:pPr>
              <w:pStyle w:val="6"/>
              <w:spacing w:before="94" w:line="169" w:lineRule="auto"/>
              <w:ind w:left="304"/>
            </w:pPr>
            <w:r>
              <w:t>4</w:t>
            </w:r>
          </w:p>
        </w:tc>
        <w:tc>
          <w:tcPr>
            <w:tcW w:w="630" w:type="dxa"/>
            <w:tcBorders>
              <w:top w:val="single" w:color="000000" w:sz="4" w:space="0"/>
              <w:left w:val="single" w:color="000000" w:sz="4" w:space="0"/>
              <w:bottom w:val="single" w:color="000000" w:sz="4" w:space="0"/>
            </w:tcBorders>
            <w:vAlign w:val="top"/>
          </w:tcPr>
          <w:p w14:paraId="0F2DA163">
            <w:pPr>
              <w:pStyle w:val="6"/>
              <w:spacing w:before="96" w:line="167" w:lineRule="auto"/>
              <w:ind w:left="265"/>
            </w:pPr>
            <w:r>
              <w:t>5</w:t>
            </w:r>
          </w:p>
        </w:tc>
      </w:tr>
      <w:tr w14:paraId="623FFC5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65" w:hRule="atLeast"/>
        </w:trPr>
        <w:tc>
          <w:tcPr>
            <w:tcW w:w="4090" w:type="dxa"/>
            <w:tcBorders>
              <w:top w:val="single" w:color="000000" w:sz="4" w:space="0"/>
              <w:right w:val="single" w:color="000000" w:sz="4" w:space="0"/>
            </w:tcBorders>
            <w:vAlign w:val="top"/>
          </w:tcPr>
          <w:p w14:paraId="26182A00">
            <w:pPr>
              <w:pStyle w:val="6"/>
              <w:spacing w:before="49" w:line="211" w:lineRule="auto"/>
              <w:ind w:left="150"/>
            </w:pPr>
            <w:r>
              <w:t>、能源消费总量</w:t>
            </w:r>
          </w:p>
        </w:tc>
        <w:tc>
          <w:tcPr>
            <w:tcW w:w="1310" w:type="dxa"/>
            <w:tcBorders>
              <w:top w:val="single" w:color="000000" w:sz="4" w:space="0"/>
              <w:left w:val="single" w:color="000000" w:sz="4" w:space="0"/>
              <w:right w:val="single" w:color="000000" w:sz="4" w:space="0"/>
            </w:tcBorders>
            <w:vAlign w:val="top"/>
          </w:tcPr>
          <w:p w14:paraId="53C76AF4">
            <w:pPr>
              <w:pStyle w:val="6"/>
              <w:spacing w:before="39" w:line="220" w:lineRule="auto"/>
              <w:ind w:left="195"/>
            </w:pPr>
            <w:r>
              <w:rPr>
                <w:spacing w:val="-2"/>
              </w:rPr>
              <w:t>万吨标准煤</w:t>
            </w:r>
          </w:p>
        </w:tc>
        <w:tc>
          <w:tcPr>
            <w:tcW w:w="550" w:type="dxa"/>
            <w:tcBorders>
              <w:top w:val="single" w:color="000000" w:sz="4" w:space="0"/>
              <w:left w:val="single" w:color="000000" w:sz="4" w:space="0"/>
              <w:right w:val="single" w:color="000000" w:sz="4" w:space="0"/>
            </w:tcBorders>
            <w:vAlign w:val="top"/>
          </w:tcPr>
          <w:p w14:paraId="342C3737">
            <w:pPr>
              <w:pStyle w:val="6"/>
              <w:spacing w:before="104" w:line="151" w:lineRule="exact"/>
              <w:ind w:left="175"/>
            </w:pPr>
            <w:r>
              <w:rPr>
                <w:spacing w:val="-3"/>
                <w:position w:val="-2"/>
              </w:rPr>
              <w:t>01</w:t>
            </w:r>
          </w:p>
        </w:tc>
        <w:tc>
          <w:tcPr>
            <w:tcW w:w="700" w:type="dxa"/>
            <w:tcBorders>
              <w:top w:val="single" w:color="000000" w:sz="4" w:space="0"/>
              <w:left w:val="single" w:color="000000" w:sz="4" w:space="0"/>
            </w:tcBorders>
            <w:vAlign w:val="top"/>
          </w:tcPr>
          <w:p w14:paraId="60726C95">
            <w:pPr>
              <w:rPr>
                <w:rFonts w:ascii="Arial"/>
                <w:sz w:val="21"/>
              </w:rPr>
            </w:pPr>
          </w:p>
        </w:tc>
        <w:tc>
          <w:tcPr>
            <w:tcW w:w="700" w:type="dxa"/>
            <w:tcBorders>
              <w:top w:val="single" w:color="000000" w:sz="4" w:space="0"/>
            </w:tcBorders>
            <w:vAlign w:val="top"/>
          </w:tcPr>
          <w:p w14:paraId="15C843BA">
            <w:pPr>
              <w:rPr>
                <w:rFonts w:ascii="Arial"/>
                <w:sz w:val="21"/>
              </w:rPr>
            </w:pPr>
          </w:p>
        </w:tc>
        <w:tc>
          <w:tcPr>
            <w:tcW w:w="700" w:type="dxa"/>
            <w:tcBorders>
              <w:top w:val="single" w:color="000000" w:sz="4" w:space="0"/>
            </w:tcBorders>
            <w:vAlign w:val="top"/>
          </w:tcPr>
          <w:p w14:paraId="19E07DF2">
            <w:pPr>
              <w:rPr>
                <w:rFonts w:ascii="Arial"/>
                <w:sz w:val="21"/>
              </w:rPr>
            </w:pPr>
          </w:p>
        </w:tc>
        <w:tc>
          <w:tcPr>
            <w:tcW w:w="1350" w:type="dxa"/>
            <w:gridSpan w:val="2"/>
            <w:tcBorders>
              <w:top w:val="single" w:color="000000" w:sz="4" w:space="0"/>
            </w:tcBorders>
            <w:vAlign w:val="top"/>
          </w:tcPr>
          <w:p w14:paraId="2AAE12EF">
            <w:pPr>
              <w:pStyle w:val="6"/>
              <w:spacing w:before="104" w:line="151" w:lineRule="exact"/>
              <w:ind w:left="250"/>
            </w:pPr>
            <w:r>
              <w:rPr>
                <w:spacing w:val="-5"/>
                <w:position w:val="-2"/>
              </w:rPr>
              <w:t>100     100</w:t>
            </w:r>
          </w:p>
        </w:tc>
      </w:tr>
      <w:tr w14:paraId="5560EAF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34" w:hRule="atLeast"/>
        </w:trPr>
        <w:tc>
          <w:tcPr>
            <w:tcW w:w="4090" w:type="dxa"/>
            <w:tcBorders>
              <w:right w:val="single" w:color="000000" w:sz="4" w:space="0"/>
            </w:tcBorders>
            <w:vAlign w:val="top"/>
          </w:tcPr>
          <w:p w14:paraId="671E66F2">
            <w:pPr>
              <w:pStyle w:val="6"/>
              <w:spacing w:before="24" w:line="205" w:lineRule="auto"/>
              <w:ind w:left="310"/>
            </w:pPr>
            <w:r>
              <w:t>(一)农、林、牧、渔业</w:t>
            </w:r>
          </w:p>
        </w:tc>
        <w:tc>
          <w:tcPr>
            <w:tcW w:w="1310" w:type="dxa"/>
            <w:tcBorders>
              <w:left w:val="single" w:color="000000" w:sz="4" w:space="0"/>
              <w:right w:val="single" w:color="000000" w:sz="4" w:space="0"/>
            </w:tcBorders>
            <w:vAlign w:val="top"/>
          </w:tcPr>
          <w:p w14:paraId="4B6B78DE">
            <w:pPr>
              <w:pStyle w:val="6"/>
              <w:spacing w:before="14" w:line="215" w:lineRule="auto"/>
              <w:ind w:left="195"/>
            </w:pPr>
            <w:r>
              <w:rPr>
                <w:spacing w:val="-2"/>
              </w:rPr>
              <w:t>万吨标准煤</w:t>
            </w:r>
          </w:p>
        </w:tc>
        <w:tc>
          <w:tcPr>
            <w:tcW w:w="550" w:type="dxa"/>
            <w:tcBorders>
              <w:left w:val="single" w:color="000000" w:sz="4" w:space="0"/>
              <w:right w:val="single" w:color="000000" w:sz="4" w:space="0"/>
            </w:tcBorders>
            <w:vAlign w:val="top"/>
          </w:tcPr>
          <w:p w14:paraId="42F91AF2">
            <w:pPr>
              <w:pStyle w:val="6"/>
              <w:spacing w:before="90" w:line="134" w:lineRule="exact"/>
              <w:ind w:left="175"/>
            </w:pPr>
            <w:r>
              <w:rPr>
                <w:spacing w:val="-3"/>
                <w:position w:val="-2"/>
              </w:rPr>
              <w:t>02</w:t>
            </w:r>
          </w:p>
        </w:tc>
        <w:tc>
          <w:tcPr>
            <w:tcW w:w="700" w:type="dxa"/>
            <w:tcBorders>
              <w:left w:val="single" w:color="000000" w:sz="4" w:space="0"/>
            </w:tcBorders>
            <w:vAlign w:val="top"/>
          </w:tcPr>
          <w:p w14:paraId="41F7852A">
            <w:pPr>
              <w:spacing w:line="224" w:lineRule="exact"/>
              <w:rPr>
                <w:rFonts w:ascii="Arial"/>
                <w:sz w:val="19"/>
              </w:rPr>
            </w:pPr>
          </w:p>
        </w:tc>
        <w:tc>
          <w:tcPr>
            <w:tcW w:w="700" w:type="dxa"/>
            <w:vAlign w:val="top"/>
          </w:tcPr>
          <w:p w14:paraId="26F9A0D7">
            <w:pPr>
              <w:spacing w:line="224" w:lineRule="exact"/>
              <w:rPr>
                <w:rFonts w:ascii="Arial"/>
                <w:sz w:val="19"/>
              </w:rPr>
            </w:pPr>
          </w:p>
        </w:tc>
        <w:tc>
          <w:tcPr>
            <w:tcW w:w="700" w:type="dxa"/>
            <w:vAlign w:val="top"/>
          </w:tcPr>
          <w:p w14:paraId="3920FAB0">
            <w:pPr>
              <w:spacing w:line="224" w:lineRule="exact"/>
              <w:rPr>
                <w:rFonts w:ascii="Arial"/>
                <w:sz w:val="19"/>
              </w:rPr>
            </w:pPr>
          </w:p>
        </w:tc>
        <w:tc>
          <w:tcPr>
            <w:tcW w:w="1350" w:type="dxa"/>
            <w:gridSpan w:val="2"/>
            <w:vAlign w:val="top"/>
          </w:tcPr>
          <w:p w14:paraId="3DE9047B">
            <w:pPr>
              <w:spacing w:line="224" w:lineRule="exact"/>
              <w:rPr>
                <w:rFonts w:ascii="Arial"/>
                <w:sz w:val="19"/>
              </w:rPr>
            </w:pPr>
          </w:p>
        </w:tc>
      </w:tr>
      <w:tr w14:paraId="73072B3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34" w:hRule="atLeast"/>
        </w:trPr>
        <w:tc>
          <w:tcPr>
            <w:tcW w:w="4090" w:type="dxa"/>
            <w:tcBorders>
              <w:right w:val="single" w:color="000000" w:sz="4" w:space="0"/>
            </w:tcBorders>
            <w:vAlign w:val="top"/>
          </w:tcPr>
          <w:p w14:paraId="3B806993">
            <w:pPr>
              <w:pStyle w:val="6"/>
              <w:spacing w:before="30" w:line="198" w:lineRule="auto"/>
              <w:ind w:left="300"/>
            </w:pPr>
            <w:r>
              <w:t>(二)工业和建筑业</w:t>
            </w:r>
          </w:p>
        </w:tc>
        <w:tc>
          <w:tcPr>
            <w:tcW w:w="1310" w:type="dxa"/>
            <w:tcBorders>
              <w:left w:val="single" w:color="000000" w:sz="4" w:space="0"/>
              <w:right w:val="single" w:color="000000" w:sz="4" w:space="0"/>
            </w:tcBorders>
            <w:vAlign w:val="top"/>
          </w:tcPr>
          <w:p w14:paraId="7541184C">
            <w:pPr>
              <w:pStyle w:val="6"/>
              <w:spacing w:before="20" w:line="209" w:lineRule="auto"/>
              <w:ind w:left="195"/>
            </w:pPr>
            <w:r>
              <w:rPr>
                <w:spacing w:val="-2"/>
              </w:rPr>
              <w:t>万吨标准煤</w:t>
            </w:r>
          </w:p>
        </w:tc>
        <w:tc>
          <w:tcPr>
            <w:tcW w:w="550" w:type="dxa"/>
            <w:tcBorders>
              <w:left w:val="single" w:color="000000" w:sz="4" w:space="0"/>
              <w:right w:val="single" w:color="000000" w:sz="4" w:space="0"/>
            </w:tcBorders>
            <w:vAlign w:val="top"/>
          </w:tcPr>
          <w:p w14:paraId="2559BAED">
            <w:pPr>
              <w:pStyle w:val="6"/>
              <w:spacing w:before="86" w:line="138" w:lineRule="exact"/>
              <w:ind w:left="175"/>
            </w:pPr>
            <w:r>
              <w:rPr>
                <w:spacing w:val="-3"/>
                <w:position w:val="-2"/>
              </w:rPr>
              <w:t>03</w:t>
            </w:r>
          </w:p>
        </w:tc>
        <w:tc>
          <w:tcPr>
            <w:tcW w:w="700" w:type="dxa"/>
            <w:tcBorders>
              <w:left w:val="single" w:color="000000" w:sz="4" w:space="0"/>
            </w:tcBorders>
            <w:vAlign w:val="top"/>
          </w:tcPr>
          <w:p w14:paraId="637E2187">
            <w:pPr>
              <w:spacing w:line="224" w:lineRule="exact"/>
              <w:rPr>
                <w:rFonts w:ascii="Arial"/>
                <w:sz w:val="19"/>
              </w:rPr>
            </w:pPr>
          </w:p>
        </w:tc>
        <w:tc>
          <w:tcPr>
            <w:tcW w:w="700" w:type="dxa"/>
            <w:vAlign w:val="top"/>
          </w:tcPr>
          <w:p w14:paraId="527F9328">
            <w:pPr>
              <w:spacing w:line="224" w:lineRule="exact"/>
              <w:rPr>
                <w:rFonts w:ascii="Arial"/>
                <w:sz w:val="19"/>
              </w:rPr>
            </w:pPr>
          </w:p>
        </w:tc>
        <w:tc>
          <w:tcPr>
            <w:tcW w:w="700" w:type="dxa"/>
            <w:vAlign w:val="top"/>
          </w:tcPr>
          <w:p w14:paraId="2B58CD43">
            <w:pPr>
              <w:spacing w:line="224" w:lineRule="exact"/>
              <w:rPr>
                <w:rFonts w:ascii="Arial"/>
                <w:sz w:val="19"/>
              </w:rPr>
            </w:pPr>
          </w:p>
        </w:tc>
        <w:tc>
          <w:tcPr>
            <w:tcW w:w="1350" w:type="dxa"/>
            <w:gridSpan w:val="2"/>
            <w:vAlign w:val="top"/>
          </w:tcPr>
          <w:p w14:paraId="7D872E7B">
            <w:pPr>
              <w:spacing w:line="224" w:lineRule="exact"/>
              <w:rPr>
                <w:rFonts w:ascii="Arial"/>
                <w:sz w:val="19"/>
              </w:rPr>
            </w:pPr>
          </w:p>
        </w:tc>
      </w:tr>
      <w:tr w14:paraId="0E490F0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80" w:hRule="atLeast"/>
        </w:trPr>
        <w:tc>
          <w:tcPr>
            <w:tcW w:w="4090" w:type="dxa"/>
            <w:tcBorders>
              <w:right w:val="single" w:color="000000" w:sz="4" w:space="0"/>
            </w:tcBorders>
            <w:vAlign w:val="top"/>
          </w:tcPr>
          <w:p w14:paraId="05A241B7">
            <w:pPr>
              <w:pStyle w:val="6"/>
              <w:spacing w:before="47" w:line="232" w:lineRule="auto"/>
              <w:ind w:left="570"/>
            </w:pPr>
            <w:r>
              <w:rPr>
                <w:spacing w:val="1"/>
              </w:rPr>
              <w:t>1.工业</w:t>
            </w:r>
          </w:p>
          <w:p w14:paraId="4B4B1402">
            <w:pPr>
              <w:pStyle w:val="6"/>
              <w:spacing w:before="11" w:line="189" w:lineRule="auto"/>
              <w:ind w:left="670"/>
            </w:pPr>
            <w:r>
              <w:t>(1)规模以上工业</w:t>
            </w:r>
          </w:p>
        </w:tc>
        <w:tc>
          <w:tcPr>
            <w:tcW w:w="1310" w:type="dxa"/>
            <w:tcBorders>
              <w:left w:val="single" w:color="000000" w:sz="4" w:space="0"/>
              <w:right w:val="single" w:color="000000" w:sz="4" w:space="0"/>
            </w:tcBorders>
            <w:vAlign w:val="top"/>
          </w:tcPr>
          <w:p w14:paraId="3D73846D">
            <w:pPr>
              <w:pStyle w:val="6"/>
              <w:spacing w:before="26" w:line="223" w:lineRule="auto"/>
              <w:ind w:left="195" w:right="216"/>
            </w:pPr>
            <w:r>
              <w:rPr>
                <w:spacing w:val="-3"/>
              </w:rPr>
              <w:t>万吨标准煤</w:t>
            </w:r>
            <w:r>
              <w:rPr>
                <w:spacing w:val="2"/>
              </w:rPr>
              <w:t xml:space="preserve"> </w:t>
            </w:r>
            <w:r>
              <w:rPr>
                <w:spacing w:val="-3"/>
              </w:rPr>
              <w:t>万吨标准煤</w:t>
            </w:r>
          </w:p>
        </w:tc>
        <w:tc>
          <w:tcPr>
            <w:tcW w:w="550" w:type="dxa"/>
            <w:tcBorders>
              <w:left w:val="single" w:color="000000" w:sz="4" w:space="0"/>
              <w:right w:val="single" w:color="000000" w:sz="4" w:space="0"/>
            </w:tcBorders>
            <w:vAlign w:val="top"/>
          </w:tcPr>
          <w:p w14:paraId="02E6A112">
            <w:pPr>
              <w:pStyle w:val="6"/>
              <w:spacing w:before="102" w:line="183" w:lineRule="auto"/>
              <w:ind w:left="175"/>
            </w:pPr>
            <w:r>
              <w:rPr>
                <w:spacing w:val="-3"/>
              </w:rPr>
              <w:t>04</w:t>
            </w:r>
          </w:p>
          <w:p w14:paraId="2D49835E">
            <w:pPr>
              <w:pStyle w:val="6"/>
              <w:spacing w:before="41" w:line="147" w:lineRule="exact"/>
              <w:ind w:left="175"/>
            </w:pPr>
            <w:r>
              <w:rPr>
                <w:spacing w:val="-3"/>
                <w:position w:val="-2"/>
              </w:rPr>
              <w:t>05</w:t>
            </w:r>
          </w:p>
        </w:tc>
        <w:tc>
          <w:tcPr>
            <w:tcW w:w="700" w:type="dxa"/>
            <w:tcBorders>
              <w:left w:val="single" w:color="000000" w:sz="4" w:space="0"/>
            </w:tcBorders>
            <w:vAlign w:val="top"/>
          </w:tcPr>
          <w:p w14:paraId="50492C18">
            <w:pPr>
              <w:rPr>
                <w:rFonts w:ascii="Arial"/>
                <w:sz w:val="21"/>
              </w:rPr>
            </w:pPr>
          </w:p>
        </w:tc>
        <w:tc>
          <w:tcPr>
            <w:tcW w:w="700" w:type="dxa"/>
            <w:vAlign w:val="top"/>
          </w:tcPr>
          <w:p w14:paraId="18C99658">
            <w:pPr>
              <w:rPr>
                <w:rFonts w:ascii="Arial"/>
                <w:sz w:val="21"/>
              </w:rPr>
            </w:pPr>
          </w:p>
        </w:tc>
        <w:tc>
          <w:tcPr>
            <w:tcW w:w="700" w:type="dxa"/>
            <w:vAlign w:val="top"/>
          </w:tcPr>
          <w:p w14:paraId="3CBBD64E">
            <w:pPr>
              <w:rPr>
                <w:rFonts w:ascii="Arial"/>
                <w:sz w:val="21"/>
              </w:rPr>
            </w:pPr>
          </w:p>
        </w:tc>
        <w:tc>
          <w:tcPr>
            <w:tcW w:w="1350" w:type="dxa"/>
            <w:gridSpan w:val="2"/>
            <w:vAlign w:val="top"/>
          </w:tcPr>
          <w:p w14:paraId="7FCB82FB">
            <w:pPr>
              <w:rPr>
                <w:rFonts w:ascii="Arial"/>
                <w:sz w:val="21"/>
              </w:rPr>
            </w:pPr>
          </w:p>
        </w:tc>
      </w:tr>
      <w:tr w14:paraId="7A9EE5A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49" w:hRule="atLeast"/>
        </w:trPr>
        <w:tc>
          <w:tcPr>
            <w:tcW w:w="4090" w:type="dxa"/>
            <w:tcBorders>
              <w:right w:val="single" w:color="000000" w:sz="4" w:space="0"/>
            </w:tcBorders>
            <w:vAlign w:val="top"/>
          </w:tcPr>
          <w:p w14:paraId="2D688794">
            <w:pPr>
              <w:pStyle w:val="6"/>
              <w:spacing w:before="55" w:line="188" w:lineRule="auto"/>
              <w:ind w:left="670"/>
            </w:pPr>
            <w:r>
              <w:t>(2)规模以下工业</w:t>
            </w:r>
          </w:p>
        </w:tc>
        <w:tc>
          <w:tcPr>
            <w:tcW w:w="1310" w:type="dxa"/>
            <w:tcBorders>
              <w:left w:val="single" w:color="000000" w:sz="4" w:space="0"/>
              <w:right w:val="single" w:color="000000" w:sz="4" w:space="0"/>
            </w:tcBorders>
            <w:vAlign w:val="top"/>
          </w:tcPr>
          <w:p w14:paraId="062A2B28">
            <w:pPr>
              <w:pStyle w:val="6"/>
              <w:spacing w:before="26" w:line="218" w:lineRule="auto"/>
              <w:ind w:left="195"/>
            </w:pPr>
            <w:r>
              <w:rPr>
                <w:spacing w:val="-2"/>
              </w:rPr>
              <w:t>万吨标准煤</w:t>
            </w:r>
          </w:p>
        </w:tc>
        <w:tc>
          <w:tcPr>
            <w:tcW w:w="550" w:type="dxa"/>
            <w:tcBorders>
              <w:left w:val="single" w:color="000000" w:sz="4" w:space="0"/>
              <w:right w:val="single" w:color="000000" w:sz="4" w:space="0"/>
            </w:tcBorders>
            <w:vAlign w:val="top"/>
          </w:tcPr>
          <w:p w14:paraId="13BF2E57">
            <w:pPr>
              <w:pStyle w:val="6"/>
              <w:spacing w:before="102" w:line="137" w:lineRule="exact"/>
              <w:ind w:left="175"/>
            </w:pPr>
            <w:r>
              <w:rPr>
                <w:spacing w:val="-3"/>
                <w:position w:val="-2"/>
              </w:rPr>
              <w:t>06</w:t>
            </w:r>
          </w:p>
        </w:tc>
        <w:tc>
          <w:tcPr>
            <w:tcW w:w="700" w:type="dxa"/>
            <w:tcBorders>
              <w:left w:val="single" w:color="000000" w:sz="4" w:space="0"/>
            </w:tcBorders>
            <w:vAlign w:val="top"/>
          </w:tcPr>
          <w:p w14:paraId="23DA2B4F">
            <w:pPr>
              <w:spacing w:line="239" w:lineRule="exact"/>
              <w:rPr>
                <w:rFonts w:ascii="Arial"/>
                <w:sz w:val="20"/>
              </w:rPr>
            </w:pPr>
          </w:p>
        </w:tc>
        <w:tc>
          <w:tcPr>
            <w:tcW w:w="700" w:type="dxa"/>
            <w:vAlign w:val="top"/>
          </w:tcPr>
          <w:p w14:paraId="3AE8BAE5">
            <w:pPr>
              <w:spacing w:line="239" w:lineRule="exact"/>
              <w:rPr>
                <w:rFonts w:ascii="Arial"/>
                <w:sz w:val="20"/>
              </w:rPr>
            </w:pPr>
          </w:p>
        </w:tc>
        <w:tc>
          <w:tcPr>
            <w:tcW w:w="700" w:type="dxa"/>
            <w:vAlign w:val="top"/>
          </w:tcPr>
          <w:p w14:paraId="621B3F84">
            <w:pPr>
              <w:spacing w:line="239" w:lineRule="exact"/>
              <w:rPr>
                <w:rFonts w:ascii="Arial"/>
                <w:sz w:val="20"/>
              </w:rPr>
            </w:pPr>
          </w:p>
        </w:tc>
        <w:tc>
          <w:tcPr>
            <w:tcW w:w="1350" w:type="dxa"/>
            <w:gridSpan w:val="2"/>
            <w:vAlign w:val="top"/>
          </w:tcPr>
          <w:p w14:paraId="6068AC65">
            <w:pPr>
              <w:spacing w:line="239" w:lineRule="exact"/>
              <w:rPr>
                <w:rFonts w:ascii="Arial"/>
                <w:sz w:val="20"/>
              </w:rPr>
            </w:pPr>
          </w:p>
        </w:tc>
      </w:tr>
      <w:tr w14:paraId="7AE2377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30" w:hRule="atLeast"/>
        </w:trPr>
        <w:tc>
          <w:tcPr>
            <w:tcW w:w="4090" w:type="dxa"/>
            <w:tcBorders>
              <w:right w:val="single" w:color="000000" w:sz="4" w:space="0"/>
            </w:tcBorders>
            <w:vAlign w:val="top"/>
          </w:tcPr>
          <w:p w14:paraId="1B043358">
            <w:pPr>
              <w:pStyle w:val="6"/>
              <w:spacing w:before="37" w:line="187" w:lineRule="auto"/>
              <w:ind w:left="570"/>
            </w:pPr>
            <w:r>
              <w:rPr>
                <w:spacing w:val="-2"/>
              </w:rPr>
              <w:t>2.建筑业</w:t>
            </w:r>
          </w:p>
        </w:tc>
        <w:tc>
          <w:tcPr>
            <w:tcW w:w="1310" w:type="dxa"/>
            <w:tcBorders>
              <w:left w:val="single" w:color="000000" w:sz="4" w:space="0"/>
              <w:right w:val="single" w:color="000000" w:sz="4" w:space="0"/>
            </w:tcBorders>
            <w:vAlign w:val="top"/>
          </w:tcPr>
          <w:p w14:paraId="786279F2">
            <w:pPr>
              <w:pStyle w:val="6"/>
              <w:spacing w:before="27" w:line="197" w:lineRule="auto"/>
              <w:ind w:left="195"/>
            </w:pPr>
            <w:r>
              <w:rPr>
                <w:spacing w:val="-2"/>
              </w:rPr>
              <w:t>万吨标准煤</w:t>
            </w:r>
          </w:p>
        </w:tc>
        <w:tc>
          <w:tcPr>
            <w:tcW w:w="550" w:type="dxa"/>
            <w:tcBorders>
              <w:left w:val="single" w:color="000000" w:sz="4" w:space="0"/>
              <w:right w:val="single" w:color="000000" w:sz="4" w:space="0"/>
            </w:tcBorders>
            <w:vAlign w:val="top"/>
          </w:tcPr>
          <w:p w14:paraId="45451D05">
            <w:pPr>
              <w:pStyle w:val="6"/>
              <w:spacing w:before="83" w:line="136" w:lineRule="exact"/>
              <w:ind w:left="175"/>
            </w:pPr>
            <w:r>
              <w:rPr>
                <w:spacing w:val="-3"/>
                <w:position w:val="-2"/>
              </w:rPr>
              <w:t>07</w:t>
            </w:r>
          </w:p>
        </w:tc>
        <w:tc>
          <w:tcPr>
            <w:tcW w:w="700" w:type="dxa"/>
            <w:tcBorders>
              <w:left w:val="single" w:color="000000" w:sz="4" w:space="0"/>
            </w:tcBorders>
            <w:vAlign w:val="top"/>
          </w:tcPr>
          <w:p w14:paraId="5D925381">
            <w:pPr>
              <w:spacing w:line="220" w:lineRule="exact"/>
              <w:rPr>
                <w:rFonts w:ascii="Arial"/>
                <w:sz w:val="19"/>
              </w:rPr>
            </w:pPr>
          </w:p>
        </w:tc>
        <w:tc>
          <w:tcPr>
            <w:tcW w:w="700" w:type="dxa"/>
            <w:vAlign w:val="top"/>
          </w:tcPr>
          <w:p w14:paraId="7DD278BC">
            <w:pPr>
              <w:spacing w:line="220" w:lineRule="exact"/>
              <w:rPr>
                <w:rFonts w:ascii="Arial"/>
                <w:sz w:val="19"/>
              </w:rPr>
            </w:pPr>
          </w:p>
        </w:tc>
        <w:tc>
          <w:tcPr>
            <w:tcW w:w="700" w:type="dxa"/>
            <w:vAlign w:val="top"/>
          </w:tcPr>
          <w:p w14:paraId="30629B3C">
            <w:pPr>
              <w:spacing w:line="220" w:lineRule="exact"/>
              <w:rPr>
                <w:rFonts w:ascii="Arial"/>
                <w:sz w:val="19"/>
              </w:rPr>
            </w:pPr>
          </w:p>
        </w:tc>
        <w:tc>
          <w:tcPr>
            <w:tcW w:w="1350" w:type="dxa"/>
            <w:gridSpan w:val="2"/>
            <w:vAlign w:val="top"/>
          </w:tcPr>
          <w:p w14:paraId="47C439D5">
            <w:pPr>
              <w:spacing w:line="220" w:lineRule="exact"/>
              <w:rPr>
                <w:rFonts w:ascii="Arial"/>
                <w:sz w:val="19"/>
              </w:rPr>
            </w:pPr>
          </w:p>
        </w:tc>
      </w:tr>
      <w:tr w14:paraId="3BA6EFE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44" w:hRule="atLeast"/>
        </w:trPr>
        <w:tc>
          <w:tcPr>
            <w:tcW w:w="4090" w:type="dxa"/>
            <w:tcBorders>
              <w:right w:val="single" w:color="000000" w:sz="4" w:space="0"/>
            </w:tcBorders>
            <w:vAlign w:val="top"/>
          </w:tcPr>
          <w:p w14:paraId="0FEF9D74">
            <w:pPr>
              <w:pStyle w:val="6"/>
              <w:spacing w:before="37" w:line="202" w:lineRule="auto"/>
              <w:ind w:left="300"/>
            </w:pPr>
            <w:r>
              <w:rPr>
                <w:spacing w:val="1"/>
              </w:rPr>
              <w:t>(三)服务业</w:t>
            </w:r>
          </w:p>
        </w:tc>
        <w:tc>
          <w:tcPr>
            <w:tcW w:w="1310" w:type="dxa"/>
            <w:tcBorders>
              <w:left w:val="single" w:color="000000" w:sz="4" w:space="0"/>
              <w:right w:val="single" w:color="000000" w:sz="4" w:space="0"/>
            </w:tcBorders>
            <w:vAlign w:val="top"/>
          </w:tcPr>
          <w:p w14:paraId="6966632A">
            <w:pPr>
              <w:pStyle w:val="6"/>
              <w:spacing w:before="27" w:line="212" w:lineRule="auto"/>
              <w:ind w:left="195"/>
            </w:pPr>
            <w:r>
              <w:rPr>
                <w:spacing w:val="-2"/>
              </w:rPr>
              <w:t>万吨标准煤</w:t>
            </w:r>
          </w:p>
        </w:tc>
        <w:tc>
          <w:tcPr>
            <w:tcW w:w="550" w:type="dxa"/>
            <w:tcBorders>
              <w:left w:val="single" w:color="000000" w:sz="4" w:space="0"/>
              <w:right w:val="single" w:color="000000" w:sz="4" w:space="0"/>
            </w:tcBorders>
            <w:vAlign w:val="top"/>
          </w:tcPr>
          <w:p w14:paraId="4C364C8A">
            <w:pPr>
              <w:pStyle w:val="6"/>
              <w:spacing w:before="103" w:line="131" w:lineRule="exact"/>
              <w:ind w:left="175"/>
            </w:pPr>
            <w:r>
              <w:rPr>
                <w:spacing w:val="-3"/>
                <w:position w:val="-2"/>
              </w:rPr>
              <w:t>08</w:t>
            </w:r>
          </w:p>
        </w:tc>
        <w:tc>
          <w:tcPr>
            <w:tcW w:w="700" w:type="dxa"/>
            <w:tcBorders>
              <w:left w:val="single" w:color="000000" w:sz="4" w:space="0"/>
            </w:tcBorders>
            <w:vAlign w:val="top"/>
          </w:tcPr>
          <w:p w14:paraId="6F6FC6A1">
            <w:pPr>
              <w:spacing w:line="234" w:lineRule="exact"/>
              <w:rPr>
                <w:rFonts w:ascii="Arial"/>
                <w:sz w:val="20"/>
              </w:rPr>
            </w:pPr>
          </w:p>
        </w:tc>
        <w:tc>
          <w:tcPr>
            <w:tcW w:w="700" w:type="dxa"/>
            <w:vAlign w:val="top"/>
          </w:tcPr>
          <w:p w14:paraId="30D6D5CF">
            <w:pPr>
              <w:spacing w:line="234" w:lineRule="exact"/>
              <w:rPr>
                <w:rFonts w:ascii="Arial"/>
                <w:sz w:val="20"/>
              </w:rPr>
            </w:pPr>
          </w:p>
        </w:tc>
        <w:tc>
          <w:tcPr>
            <w:tcW w:w="700" w:type="dxa"/>
            <w:vAlign w:val="top"/>
          </w:tcPr>
          <w:p w14:paraId="0E30CB30">
            <w:pPr>
              <w:spacing w:line="234" w:lineRule="exact"/>
              <w:rPr>
                <w:rFonts w:ascii="Arial"/>
                <w:sz w:val="20"/>
              </w:rPr>
            </w:pPr>
          </w:p>
        </w:tc>
        <w:tc>
          <w:tcPr>
            <w:tcW w:w="1350" w:type="dxa"/>
            <w:gridSpan w:val="2"/>
            <w:vAlign w:val="top"/>
          </w:tcPr>
          <w:p w14:paraId="6857953A">
            <w:pPr>
              <w:spacing w:line="234" w:lineRule="exact"/>
              <w:rPr>
                <w:rFonts w:ascii="Arial"/>
                <w:sz w:val="20"/>
              </w:rPr>
            </w:pPr>
          </w:p>
        </w:tc>
      </w:tr>
      <w:tr w14:paraId="6EF7350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45" w:hRule="atLeast"/>
        </w:trPr>
        <w:tc>
          <w:tcPr>
            <w:tcW w:w="4090" w:type="dxa"/>
            <w:tcBorders>
              <w:right w:val="single" w:color="000000" w:sz="4" w:space="0"/>
            </w:tcBorders>
            <w:vAlign w:val="top"/>
          </w:tcPr>
          <w:p w14:paraId="05D00ADC">
            <w:pPr>
              <w:pStyle w:val="6"/>
              <w:spacing w:before="42" w:line="197" w:lineRule="auto"/>
              <w:ind w:left="570"/>
            </w:pPr>
            <w:r>
              <w:t>1.交通运输、仓储和邮政业</w:t>
            </w:r>
          </w:p>
        </w:tc>
        <w:tc>
          <w:tcPr>
            <w:tcW w:w="1310" w:type="dxa"/>
            <w:tcBorders>
              <w:left w:val="single" w:color="000000" w:sz="4" w:space="0"/>
              <w:right w:val="single" w:color="000000" w:sz="4" w:space="0"/>
            </w:tcBorders>
            <w:vAlign w:val="top"/>
          </w:tcPr>
          <w:p w14:paraId="02B3AACF">
            <w:pPr>
              <w:pStyle w:val="6"/>
              <w:spacing w:before="23" w:line="217" w:lineRule="auto"/>
              <w:ind w:left="195"/>
            </w:pPr>
            <w:r>
              <w:rPr>
                <w:spacing w:val="-2"/>
              </w:rPr>
              <w:t>万吨标准煤</w:t>
            </w:r>
          </w:p>
        </w:tc>
        <w:tc>
          <w:tcPr>
            <w:tcW w:w="550" w:type="dxa"/>
            <w:tcBorders>
              <w:left w:val="single" w:color="000000" w:sz="4" w:space="0"/>
              <w:right w:val="single" w:color="000000" w:sz="4" w:space="0"/>
            </w:tcBorders>
            <w:vAlign w:val="top"/>
          </w:tcPr>
          <w:p w14:paraId="58D0CD27">
            <w:pPr>
              <w:pStyle w:val="6"/>
              <w:spacing w:before="99" w:line="136" w:lineRule="exact"/>
              <w:ind w:left="175"/>
            </w:pPr>
            <w:r>
              <w:rPr>
                <w:spacing w:val="-3"/>
                <w:position w:val="-2"/>
              </w:rPr>
              <w:t>09</w:t>
            </w:r>
          </w:p>
        </w:tc>
        <w:tc>
          <w:tcPr>
            <w:tcW w:w="700" w:type="dxa"/>
            <w:tcBorders>
              <w:left w:val="single" w:color="000000" w:sz="4" w:space="0"/>
            </w:tcBorders>
            <w:vAlign w:val="top"/>
          </w:tcPr>
          <w:p w14:paraId="488CC95C">
            <w:pPr>
              <w:spacing w:line="235" w:lineRule="exact"/>
              <w:rPr>
                <w:rFonts w:ascii="Arial"/>
                <w:sz w:val="20"/>
              </w:rPr>
            </w:pPr>
          </w:p>
        </w:tc>
        <w:tc>
          <w:tcPr>
            <w:tcW w:w="700" w:type="dxa"/>
            <w:vAlign w:val="top"/>
          </w:tcPr>
          <w:p w14:paraId="6B6CFFDE">
            <w:pPr>
              <w:spacing w:line="235" w:lineRule="exact"/>
              <w:rPr>
                <w:rFonts w:ascii="Arial"/>
                <w:sz w:val="20"/>
              </w:rPr>
            </w:pPr>
          </w:p>
        </w:tc>
        <w:tc>
          <w:tcPr>
            <w:tcW w:w="700" w:type="dxa"/>
            <w:vAlign w:val="top"/>
          </w:tcPr>
          <w:p w14:paraId="42C28355">
            <w:pPr>
              <w:spacing w:line="235" w:lineRule="exact"/>
              <w:rPr>
                <w:rFonts w:ascii="Arial"/>
                <w:sz w:val="20"/>
              </w:rPr>
            </w:pPr>
          </w:p>
        </w:tc>
        <w:tc>
          <w:tcPr>
            <w:tcW w:w="1350" w:type="dxa"/>
            <w:gridSpan w:val="2"/>
            <w:vAlign w:val="top"/>
          </w:tcPr>
          <w:p w14:paraId="4534A648">
            <w:pPr>
              <w:spacing w:line="235" w:lineRule="exact"/>
              <w:rPr>
                <w:rFonts w:ascii="Arial"/>
                <w:sz w:val="20"/>
              </w:rPr>
            </w:pPr>
          </w:p>
        </w:tc>
      </w:tr>
      <w:tr w14:paraId="2BE61B3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83" w:hRule="atLeast"/>
        </w:trPr>
        <w:tc>
          <w:tcPr>
            <w:tcW w:w="4090" w:type="dxa"/>
            <w:tcBorders>
              <w:right w:val="single" w:color="000000" w:sz="4" w:space="0"/>
            </w:tcBorders>
            <w:vAlign w:val="top"/>
          </w:tcPr>
          <w:p w14:paraId="19EA2A07">
            <w:pPr>
              <w:pStyle w:val="6"/>
              <w:spacing w:before="38" w:line="218" w:lineRule="auto"/>
              <w:ind w:left="290" w:right="145" w:firstLine="280"/>
            </w:pPr>
            <w:r>
              <w:rPr>
                <w:spacing w:val="1"/>
              </w:rPr>
              <w:t>2.服务业*(不含交通运输、仓储和邮政业)</w:t>
            </w:r>
            <w:r>
              <w:rPr>
                <w:spacing w:val="17"/>
              </w:rPr>
              <w:t xml:space="preserve"> </w:t>
            </w:r>
            <w:r>
              <w:rPr>
                <w:spacing w:val="1"/>
              </w:rPr>
              <w:t>(四)居民生活</w:t>
            </w:r>
          </w:p>
        </w:tc>
        <w:tc>
          <w:tcPr>
            <w:tcW w:w="1310" w:type="dxa"/>
            <w:tcBorders>
              <w:left w:val="single" w:color="000000" w:sz="4" w:space="0"/>
              <w:right w:val="single" w:color="000000" w:sz="4" w:space="0"/>
            </w:tcBorders>
            <w:vAlign w:val="top"/>
          </w:tcPr>
          <w:p w14:paraId="5CBD9FEC">
            <w:pPr>
              <w:pStyle w:val="6"/>
              <w:spacing w:before="28" w:line="228" w:lineRule="auto"/>
              <w:ind w:left="195" w:right="216"/>
            </w:pPr>
            <w:r>
              <w:rPr>
                <w:spacing w:val="-3"/>
              </w:rPr>
              <w:t>万吨标准煤</w:t>
            </w:r>
            <w:r>
              <w:rPr>
                <w:spacing w:val="2"/>
              </w:rPr>
              <w:t xml:space="preserve"> </w:t>
            </w:r>
            <w:r>
              <w:rPr>
                <w:spacing w:val="-3"/>
              </w:rPr>
              <w:t>万吨标准煤</w:t>
            </w:r>
          </w:p>
        </w:tc>
        <w:tc>
          <w:tcPr>
            <w:tcW w:w="550" w:type="dxa"/>
            <w:tcBorders>
              <w:left w:val="single" w:color="000000" w:sz="4" w:space="0"/>
              <w:right w:val="single" w:color="000000" w:sz="4" w:space="0"/>
            </w:tcBorders>
            <w:vAlign w:val="top"/>
          </w:tcPr>
          <w:p w14:paraId="365D25D5">
            <w:pPr>
              <w:pStyle w:val="6"/>
              <w:spacing w:before="103" w:line="184" w:lineRule="auto"/>
              <w:ind w:left="175"/>
            </w:pPr>
            <w:r>
              <w:rPr>
                <w:spacing w:val="-6"/>
              </w:rPr>
              <w:t>10</w:t>
            </w:r>
          </w:p>
          <w:p w14:paraId="38E71EC5">
            <w:pPr>
              <w:pStyle w:val="6"/>
              <w:spacing w:before="60" w:line="129" w:lineRule="exact"/>
              <w:ind w:left="175"/>
            </w:pPr>
            <w:r>
              <w:rPr>
                <w:spacing w:val="-6"/>
                <w:position w:val="-3"/>
              </w:rPr>
              <w:t>11</w:t>
            </w:r>
          </w:p>
        </w:tc>
        <w:tc>
          <w:tcPr>
            <w:tcW w:w="700" w:type="dxa"/>
            <w:tcBorders>
              <w:left w:val="single" w:color="000000" w:sz="4" w:space="0"/>
            </w:tcBorders>
            <w:vAlign w:val="top"/>
          </w:tcPr>
          <w:p w14:paraId="6EF2909B">
            <w:pPr>
              <w:rPr>
                <w:rFonts w:ascii="Arial"/>
                <w:sz w:val="21"/>
              </w:rPr>
            </w:pPr>
          </w:p>
        </w:tc>
        <w:tc>
          <w:tcPr>
            <w:tcW w:w="700" w:type="dxa"/>
            <w:vAlign w:val="top"/>
          </w:tcPr>
          <w:p w14:paraId="018E22E3">
            <w:pPr>
              <w:rPr>
                <w:rFonts w:ascii="Arial"/>
                <w:sz w:val="21"/>
              </w:rPr>
            </w:pPr>
          </w:p>
        </w:tc>
        <w:tc>
          <w:tcPr>
            <w:tcW w:w="700" w:type="dxa"/>
            <w:vAlign w:val="top"/>
          </w:tcPr>
          <w:p w14:paraId="48B24555">
            <w:pPr>
              <w:rPr>
                <w:rFonts w:ascii="Arial"/>
                <w:sz w:val="21"/>
              </w:rPr>
            </w:pPr>
          </w:p>
        </w:tc>
        <w:tc>
          <w:tcPr>
            <w:tcW w:w="1350" w:type="dxa"/>
            <w:gridSpan w:val="2"/>
            <w:vAlign w:val="top"/>
          </w:tcPr>
          <w:p w14:paraId="2EC3FECF">
            <w:pPr>
              <w:rPr>
                <w:rFonts w:ascii="Arial"/>
                <w:sz w:val="21"/>
              </w:rPr>
            </w:pPr>
          </w:p>
        </w:tc>
      </w:tr>
      <w:tr w14:paraId="797716E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30" w:hRule="atLeast"/>
        </w:trPr>
        <w:tc>
          <w:tcPr>
            <w:tcW w:w="4090" w:type="dxa"/>
            <w:tcBorders>
              <w:right w:val="single" w:color="000000" w:sz="4" w:space="0"/>
            </w:tcBorders>
            <w:vAlign w:val="top"/>
          </w:tcPr>
          <w:p w14:paraId="7C1C0810">
            <w:pPr>
              <w:pStyle w:val="6"/>
              <w:spacing w:before="34" w:line="190" w:lineRule="auto"/>
              <w:ind w:left="570"/>
            </w:pPr>
            <w:r>
              <w:rPr>
                <w:spacing w:val="1"/>
              </w:rPr>
              <w:t>1.城镇</w:t>
            </w:r>
          </w:p>
        </w:tc>
        <w:tc>
          <w:tcPr>
            <w:tcW w:w="1310" w:type="dxa"/>
            <w:tcBorders>
              <w:left w:val="single" w:color="000000" w:sz="4" w:space="0"/>
              <w:right w:val="single" w:color="000000" w:sz="4" w:space="0"/>
            </w:tcBorders>
            <w:vAlign w:val="top"/>
          </w:tcPr>
          <w:p w14:paraId="2E63E995">
            <w:pPr>
              <w:pStyle w:val="6"/>
              <w:spacing w:before="25" w:line="199" w:lineRule="auto"/>
              <w:ind w:left="195"/>
            </w:pPr>
            <w:r>
              <w:rPr>
                <w:spacing w:val="-2"/>
              </w:rPr>
              <w:t>万吨标准煤</w:t>
            </w:r>
          </w:p>
        </w:tc>
        <w:tc>
          <w:tcPr>
            <w:tcW w:w="550" w:type="dxa"/>
            <w:tcBorders>
              <w:left w:val="single" w:color="000000" w:sz="4" w:space="0"/>
              <w:right w:val="single" w:color="000000" w:sz="4" w:space="0"/>
            </w:tcBorders>
            <w:vAlign w:val="top"/>
          </w:tcPr>
          <w:p w14:paraId="2A81AAEB">
            <w:pPr>
              <w:pStyle w:val="6"/>
              <w:spacing w:before="70" w:line="150" w:lineRule="exact"/>
              <w:ind w:left="175"/>
            </w:pPr>
            <w:r>
              <w:rPr>
                <w:spacing w:val="-6"/>
                <w:position w:val="-2"/>
              </w:rPr>
              <w:t>12</w:t>
            </w:r>
          </w:p>
        </w:tc>
        <w:tc>
          <w:tcPr>
            <w:tcW w:w="700" w:type="dxa"/>
            <w:tcBorders>
              <w:left w:val="single" w:color="000000" w:sz="4" w:space="0"/>
            </w:tcBorders>
            <w:vAlign w:val="top"/>
          </w:tcPr>
          <w:p w14:paraId="24E79E12">
            <w:pPr>
              <w:spacing w:line="220" w:lineRule="exact"/>
              <w:rPr>
                <w:rFonts w:ascii="Arial"/>
                <w:sz w:val="19"/>
              </w:rPr>
            </w:pPr>
          </w:p>
        </w:tc>
        <w:tc>
          <w:tcPr>
            <w:tcW w:w="700" w:type="dxa"/>
            <w:vAlign w:val="top"/>
          </w:tcPr>
          <w:p w14:paraId="77D44C43">
            <w:pPr>
              <w:spacing w:line="220" w:lineRule="exact"/>
              <w:rPr>
                <w:rFonts w:ascii="Arial"/>
                <w:sz w:val="19"/>
              </w:rPr>
            </w:pPr>
          </w:p>
        </w:tc>
        <w:tc>
          <w:tcPr>
            <w:tcW w:w="700" w:type="dxa"/>
            <w:vAlign w:val="top"/>
          </w:tcPr>
          <w:p w14:paraId="74A6D748">
            <w:pPr>
              <w:spacing w:line="220" w:lineRule="exact"/>
              <w:rPr>
                <w:rFonts w:ascii="Arial"/>
                <w:sz w:val="19"/>
              </w:rPr>
            </w:pPr>
          </w:p>
        </w:tc>
        <w:tc>
          <w:tcPr>
            <w:tcW w:w="1350" w:type="dxa"/>
            <w:gridSpan w:val="2"/>
            <w:vAlign w:val="top"/>
          </w:tcPr>
          <w:p w14:paraId="0C21B4C1">
            <w:pPr>
              <w:spacing w:line="220" w:lineRule="exact"/>
              <w:rPr>
                <w:rFonts w:ascii="Arial"/>
                <w:sz w:val="19"/>
              </w:rPr>
            </w:pPr>
          </w:p>
        </w:tc>
      </w:tr>
      <w:tr w14:paraId="76816FC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50" w:hRule="atLeast"/>
        </w:trPr>
        <w:tc>
          <w:tcPr>
            <w:tcW w:w="4090" w:type="dxa"/>
            <w:tcBorders>
              <w:right w:val="single" w:color="000000" w:sz="4" w:space="0"/>
            </w:tcBorders>
            <w:vAlign w:val="top"/>
          </w:tcPr>
          <w:p w14:paraId="328A0749">
            <w:pPr>
              <w:pStyle w:val="6"/>
              <w:spacing w:before="34" w:line="211" w:lineRule="auto"/>
              <w:ind w:left="570"/>
            </w:pPr>
            <w:r>
              <w:rPr>
                <w:spacing w:val="-3"/>
              </w:rPr>
              <w:t>2.乡村</w:t>
            </w:r>
          </w:p>
        </w:tc>
        <w:tc>
          <w:tcPr>
            <w:tcW w:w="1310" w:type="dxa"/>
            <w:tcBorders>
              <w:left w:val="single" w:color="000000" w:sz="4" w:space="0"/>
              <w:right w:val="single" w:color="000000" w:sz="4" w:space="0"/>
            </w:tcBorders>
            <w:vAlign w:val="top"/>
          </w:tcPr>
          <w:p w14:paraId="6AA76A01">
            <w:pPr>
              <w:pStyle w:val="6"/>
              <w:spacing w:before="35" w:line="210" w:lineRule="auto"/>
              <w:ind w:left="195"/>
            </w:pPr>
            <w:r>
              <w:rPr>
                <w:spacing w:val="-2"/>
              </w:rPr>
              <w:t>万吨标准煤</w:t>
            </w:r>
          </w:p>
        </w:tc>
        <w:tc>
          <w:tcPr>
            <w:tcW w:w="550" w:type="dxa"/>
            <w:tcBorders>
              <w:left w:val="single" w:color="000000" w:sz="4" w:space="0"/>
              <w:right w:val="single" w:color="000000" w:sz="4" w:space="0"/>
            </w:tcBorders>
            <w:vAlign w:val="top"/>
          </w:tcPr>
          <w:p w14:paraId="5E736EC6">
            <w:pPr>
              <w:pStyle w:val="6"/>
              <w:spacing w:before="100" w:line="140" w:lineRule="exact"/>
              <w:ind w:left="175"/>
            </w:pPr>
            <w:r>
              <w:rPr>
                <w:spacing w:val="-6"/>
                <w:position w:val="-2"/>
              </w:rPr>
              <w:t>13</w:t>
            </w:r>
          </w:p>
        </w:tc>
        <w:tc>
          <w:tcPr>
            <w:tcW w:w="700" w:type="dxa"/>
            <w:tcBorders>
              <w:left w:val="single" w:color="000000" w:sz="4" w:space="0"/>
            </w:tcBorders>
            <w:vAlign w:val="top"/>
          </w:tcPr>
          <w:p w14:paraId="1B8DD847">
            <w:pPr>
              <w:spacing w:line="240" w:lineRule="exact"/>
              <w:rPr>
                <w:rFonts w:ascii="Arial"/>
                <w:sz w:val="20"/>
              </w:rPr>
            </w:pPr>
          </w:p>
        </w:tc>
        <w:tc>
          <w:tcPr>
            <w:tcW w:w="700" w:type="dxa"/>
            <w:vAlign w:val="top"/>
          </w:tcPr>
          <w:p w14:paraId="0D563915">
            <w:pPr>
              <w:spacing w:line="240" w:lineRule="exact"/>
              <w:rPr>
                <w:rFonts w:ascii="Arial"/>
                <w:sz w:val="20"/>
              </w:rPr>
            </w:pPr>
          </w:p>
        </w:tc>
        <w:tc>
          <w:tcPr>
            <w:tcW w:w="700" w:type="dxa"/>
            <w:vAlign w:val="top"/>
          </w:tcPr>
          <w:p w14:paraId="7CF1AAD5">
            <w:pPr>
              <w:spacing w:line="240" w:lineRule="exact"/>
              <w:rPr>
                <w:rFonts w:ascii="Arial"/>
                <w:sz w:val="20"/>
              </w:rPr>
            </w:pPr>
          </w:p>
        </w:tc>
        <w:tc>
          <w:tcPr>
            <w:tcW w:w="1350" w:type="dxa"/>
            <w:gridSpan w:val="2"/>
            <w:vAlign w:val="top"/>
          </w:tcPr>
          <w:p w14:paraId="71E41CE1">
            <w:pPr>
              <w:spacing w:line="240" w:lineRule="exact"/>
              <w:rPr>
                <w:rFonts w:ascii="Arial"/>
                <w:sz w:val="20"/>
              </w:rPr>
            </w:pPr>
          </w:p>
        </w:tc>
      </w:tr>
      <w:tr w14:paraId="377D5A0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35" w:hRule="atLeast"/>
        </w:trPr>
        <w:tc>
          <w:tcPr>
            <w:tcW w:w="4090" w:type="dxa"/>
            <w:tcBorders>
              <w:right w:val="single" w:color="000000" w:sz="4" w:space="0"/>
            </w:tcBorders>
            <w:vAlign w:val="top"/>
          </w:tcPr>
          <w:p w14:paraId="7D4B38C3">
            <w:pPr>
              <w:pStyle w:val="6"/>
              <w:spacing w:before="88" w:line="136" w:lineRule="exact"/>
              <w:ind w:left="20"/>
            </w:pPr>
            <w:r>
              <w:rPr>
                <w:spacing w:val="-2"/>
                <w:position w:val="-2"/>
              </w:rPr>
              <w:t>二、GDP</w:t>
            </w:r>
          </w:p>
        </w:tc>
        <w:tc>
          <w:tcPr>
            <w:tcW w:w="1310" w:type="dxa"/>
            <w:tcBorders>
              <w:left w:val="single" w:color="000000" w:sz="4" w:space="0"/>
              <w:right w:val="single" w:color="000000" w:sz="4" w:space="0"/>
            </w:tcBorders>
            <w:vAlign w:val="top"/>
          </w:tcPr>
          <w:p w14:paraId="61258522">
            <w:pPr>
              <w:pStyle w:val="6"/>
              <w:spacing w:before="35" w:line="194" w:lineRule="auto"/>
              <w:ind w:left="465"/>
            </w:pPr>
            <w:r>
              <w:rPr>
                <w:spacing w:val="-2"/>
              </w:rPr>
              <w:t>亿元</w:t>
            </w:r>
          </w:p>
        </w:tc>
        <w:tc>
          <w:tcPr>
            <w:tcW w:w="550" w:type="dxa"/>
            <w:tcBorders>
              <w:left w:val="single" w:color="000000" w:sz="4" w:space="0"/>
              <w:right w:val="single" w:color="000000" w:sz="4" w:space="0"/>
            </w:tcBorders>
            <w:vAlign w:val="top"/>
          </w:tcPr>
          <w:p w14:paraId="790E77B6">
            <w:pPr>
              <w:pStyle w:val="6"/>
              <w:spacing w:before="90" w:line="135" w:lineRule="exact"/>
              <w:ind w:left="175"/>
            </w:pPr>
            <w:r>
              <w:rPr>
                <w:spacing w:val="-6"/>
                <w:position w:val="-2"/>
              </w:rPr>
              <w:t>14</w:t>
            </w:r>
          </w:p>
        </w:tc>
        <w:tc>
          <w:tcPr>
            <w:tcW w:w="700" w:type="dxa"/>
            <w:tcBorders>
              <w:left w:val="single" w:color="000000" w:sz="4" w:space="0"/>
            </w:tcBorders>
            <w:vAlign w:val="top"/>
          </w:tcPr>
          <w:p w14:paraId="0E615C90">
            <w:pPr>
              <w:spacing w:line="225" w:lineRule="exact"/>
              <w:rPr>
                <w:rFonts w:ascii="Arial"/>
                <w:sz w:val="19"/>
              </w:rPr>
            </w:pPr>
          </w:p>
        </w:tc>
        <w:tc>
          <w:tcPr>
            <w:tcW w:w="700" w:type="dxa"/>
            <w:vAlign w:val="top"/>
          </w:tcPr>
          <w:p w14:paraId="6085C8C2">
            <w:pPr>
              <w:spacing w:line="225" w:lineRule="exact"/>
              <w:rPr>
                <w:rFonts w:ascii="Arial"/>
                <w:sz w:val="19"/>
              </w:rPr>
            </w:pPr>
          </w:p>
        </w:tc>
        <w:tc>
          <w:tcPr>
            <w:tcW w:w="700" w:type="dxa"/>
            <w:vAlign w:val="top"/>
          </w:tcPr>
          <w:p w14:paraId="105A52EE">
            <w:pPr>
              <w:spacing w:line="225" w:lineRule="exact"/>
              <w:rPr>
                <w:rFonts w:ascii="Arial"/>
                <w:sz w:val="19"/>
              </w:rPr>
            </w:pPr>
          </w:p>
        </w:tc>
        <w:tc>
          <w:tcPr>
            <w:tcW w:w="1350" w:type="dxa"/>
            <w:gridSpan w:val="2"/>
            <w:vAlign w:val="top"/>
          </w:tcPr>
          <w:p w14:paraId="0FB31DBB">
            <w:pPr>
              <w:spacing w:line="225" w:lineRule="exact"/>
              <w:rPr>
                <w:rFonts w:ascii="Arial"/>
                <w:sz w:val="19"/>
              </w:rPr>
            </w:pPr>
          </w:p>
        </w:tc>
      </w:tr>
      <w:tr w14:paraId="197BA9D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49" w:hRule="atLeast"/>
        </w:trPr>
        <w:tc>
          <w:tcPr>
            <w:tcW w:w="4090" w:type="dxa"/>
            <w:tcBorders>
              <w:right w:val="single" w:color="000000" w:sz="4" w:space="0"/>
            </w:tcBorders>
            <w:vAlign w:val="top"/>
          </w:tcPr>
          <w:p w14:paraId="26FB51E9">
            <w:pPr>
              <w:pStyle w:val="6"/>
              <w:spacing w:before="49" w:line="194" w:lineRule="auto"/>
              <w:ind w:left="30"/>
            </w:pPr>
            <w:r>
              <w:rPr>
                <w:spacing w:val="-1"/>
              </w:rPr>
              <w:t>三、单位GDP能耗</w:t>
            </w:r>
          </w:p>
        </w:tc>
        <w:tc>
          <w:tcPr>
            <w:tcW w:w="1310" w:type="dxa"/>
            <w:tcBorders>
              <w:left w:val="single" w:color="000000" w:sz="4" w:space="0"/>
              <w:right w:val="single" w:color="000000" w:sz="4" w:space="0"/>
            </w:tcBorders>
            <w:vAlign w:val="top"/>
          </w:tcPr>
          <w:p w14:paraId="481A5E80">
            <w:pPr>
              <w:pStyle w:val="6"/>
              <w:spacing w:before="30" w:line="214" w:lineRule="auto"/>
              <w:ind w:left="65"/>
            </w:pPr>
            <w:r>
              <w:rPr>
                <w:spacing w:val="1"/>
              </w:rPr>
              <w:t>吨标准煤/万元</w:t>
            </w:r>
          </w:p>
        </w:tc>
        <w:tc>
          <w:tcPr>
            <w:tcW w:w="550" w:type="dxa"/>
            <w:tcBorders>
              <w:left w:val="single" w:color="000000" w:sz="4" w:space="0"/>
              <w:right w:val="single" w:color="000000" w:sz="4" w:space="0"/>
            </w:tcBorders>
            <w:vAlign w:val="top"/>
          </w:tcPr>
          <w:p w14:paraId="73E2E812">
            <w:pPr>
              <w:pStyle w:val="6"/>
              <w:spacing w:before="85" w:line="157" w:lineRule="auto"/>
              <w:ind w:left="175"/>
            </w:pPr>
            <w:r>
              <w:rPr>
                <w:spacing w:val="-6"/>
              </w:rPr>
              <w:t>15</w:t>
            </w:r>
          </w:p>
        </w:tc>
        <w:tc>
          <w:tcPr>
            <w:tcW w:w="700" w:type="dxa"/>
            <w:tcBorders>
              <w:left w:val="single" w:color="000000" w:sz="4" w:space="0"/>
            </w:tcBorders>
            <w:vAlign w:val="top"/>
          </w:tcPr>
          <w:p w14:paraId="7FD0EE21">
            <w:pPr>
              <w:spacing w:line="239" w:lineRule="exact"/>
              <w:rPr>
                <w:rFonts w:ascii="Arial"/>
                <w:sz w:val="20"/>
              </w:rPr>
            </w:pPr>
          </w:p>
        </w:tc>
        <w:tc>
          <w:tcPr>
            <w:tcW w:w="700" w:type="dxa"/>
            <w:vAlign w:val="top"/>
          </w:tcPr>
          <w:p w14:paraId="1AC498DA">
            <w:pPr>
              <w:spacing w:line="239" w:lineRule="exact"/>
              <w:rPr>
                <w:rFonts w:ascii="Arial"/>
                <w:sz w:val="20"/>
              </w:rPr>
            </w:pPr>
          </w:p>
        </w:tc>
        <w:tc>
          <w:tcPr>
            <w:tcW w:w="700" w:type="dxa"/>
            <w:vAlign w:val="top"/>
          </w:tcPr>
          <w:p w14:paraId="79A71DE8">
            <w:pPr>
              <w:spacing w:line="239" w:lineRule="exact"/>
              <w:rPr>
                <w:rFonts w:ascii="Arial"/>
                <w:sz w:val="20"/>
              </w:rPr>
            </w:pPr>
          </w:p>
        </w:tc>
        <w:tc>
          <w:tcPr>
            <w:tcW w:w="1350" w:type="dxa"/>
            <w:gridSpan w:val="2"/>
            <w:vAlign w:val="top"/>
          </w:tcPr>
          <w:p w14:paraId="1757623C">
            <w:pPr>
              <w:spacing w:line="239" w:lineRule="exact"/>
              <w:rPr>
                <w:rFonts w:ascii="Arial"/>
                <w:sz w:val="20"/>
              </w:rPr>
            </w:pPr>
          </w:p>
        </w:tc>
      </w:tr>
      <w:tr w14:paraId="7364BBC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80" w:hRule="atLeast"/>
        </w:trPr>
        <w:tc>
          <w:tcPr>
            <w:tcW w:w="4090" w:type="dxa"/>
            <w:tcBorders>
              <w:right w:val="single" w:color="000000" w:sz="4" w:space="0"/>
            </w:tcBorders>
            <w:vAlign w:val="top"/>
          </w:tcPr>
          <w:p w14:paraId="39A6FACB">
            <w:pPr>
              <w:pStyle w:val="6"/>
              <w:spacing w:before="80" w:line="194" w:lineRule="auto"/>
              <w:ind w:left="50"/>
            </w:pPr>
            <w:r>
              <w:t>四、规模以上工业单位增加值能耗</w:t>
            </w:r>
          </w:p>
        </w:tc>
        <w:tc>
          <w:tcPr>
            <w:tcW w:w="1310" w:type="dxa"/>
            <w:tcBorders>
              <w:left w:val="single" w:color="000000" w:sz="4" w:space="0"/>
              <w:right w:val="single" w:color="000000" w:sz="4" w:space="0"/>
            </w:tcBorders>
            <w:vAlign w:val="top"/>
          </w:tcPr>
          <w:p w14:paraId="39673AC4">
            <w:pPr>
              <w:pStyle w:val="6"/>
              <w:spacing w:before="41" w:line="220" w:lineRule="auto"/>
              <w:ind w:left="65"/>
            </w:pPr>
            <w:r>
              <w:rPr>
                <w:spacing w:val="1"/>
              </w:rPr>
              <w:t>吨标准煤/万元</w:t>
            </w:r>
          </w:p>
        </w:tc>
        <w:tc>
          <w:tcPr>
            <w:tcW w:w="550" w:type="dxa"/>
            <w:tcBorders>
              <w:left w:val="single" w:color="000000" w:sz="4" w:space="0"/>
              <w:right w:val="single" w:color="000000" w:sz="4" w:space="0"/>
            </w:tcBorders>
            <w:vAlign w:val="top"/>
          </w:tcPr>
          <w:p w14:paraId="7512DAB6">
            <w:pPr>
              <w:pStyle w:val="6"/>
              <w:spacing w:before="107" w:line="167" w:lineRule="auto"/>
              <w:ind w:left="175"/>
            </w:pPr>
            <w:r>
              <w:rPr>
                <w:spacing w:val="-6"/>
              </w:rPr>
              <w:t>16</w:t>
            </w:r>
          </w:p>
        </w:tc>
        <w:tc>
          <w:tcPr>
            <w:tcW w:w="700" w:type="dxa"/>
            <w:tcBorders>
              <w:left w:val="single" w:color="000000" w:sz="4" w:space="0"/>
            </w:tcBorders>
            <w:vAlign w:val="top"/>
          </w:tcPr>
          <w:p w14:paraId="37E2B139">
            <w:pPr>
              <w:rPr>
                <w:rFonts w:ascii="Arial"/>
                <w:sz w:val="21"/>
              </w:rPr>
            </w:pPr>
          </w:p>
        </w:tc>
        <w:tc>
          <w:tcPr>
            <w:tcW w:w="700" w:type="dxa"/>
            <w:vAlign w:val="top"/>
          </w:tcPr>
          <w:p w14:paraId="33490EF7">
            <w:pPr>
              <w:rPr>
                <w:rFonts w:ascii="Arial"/>
                <w:sz w:val="21"/>
              </w:rPr>
            </w:pPr>
          </w:p>
        </w:tc>
        <w:tc>
          <w:tcPr>
            <w:tcW w:w="700" w:type="dxa"/>
            <w:vAlign w:val="top"/>
          </w:tcPr>
          <w:p w14:paraId="3D350B3F">
            <w:pPr>
              <w:rPr>
                <w:rFonts w:ascii="Arial"/>
                <w:sz w:val="21"/>
              </w:rPr>
            </w:pPr>
          </w:p>
        </w:tc>
        <w:tc>
          <w:tcPr>
            <w:tcW w:w="1350" w:type="dxa"/>
            <w:gridSpan w:val="2"/>
            <w:vAlign w:val="top"/>
          </w:tcPr>
          <w:p w14:paraId="3C279D5E">
            <w:pPr>
              <w:rPr>
                <w:rFonts w:ascii="Arial"/>
                <w:sz w:val="21"/>
              </w:rPr>
            </w:pPr>
          </w:p>
        </w:tc>
      </w:tr>
      <w:tr w14:paraId="7AEDA4D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58" w:hRule="atLeast"/>
        </w:trPr>
        <w:tc>
          <w:tcPr>
            <w:tcW w:w="4090" w:type="dxa"/>
            <w:tcBorders>
              <w:bottom w:val="single" w:color="000000" w:sz="4" w:space="0"/>
              <w:right w:val="single" w:color="000000" w:sz="4" w:space="0"/>
            </w:tcBorders>
            <w:vAlign w:val="top"/>
          </w:tcPr>
          <w:p w14:paraId="12C8212F">
            <w:pPr>
              <w:pStyle w:val="6"/>
              <w:spacing w:before="60" w:line="192" w:lineRule="auto"/>
              <w:ind w:left="20"/>
            </w:pPr>
            <w:r>
              <w:rPr>
                <w:spacing w:val="-1"/>
              </w:rPr>
              <w:t>五、单位GDP电耗</w:t>
            </w:r>
          </w:p>
        </w:tc>
        <w:tc>
          <w:tcPr>
            <w:tcW w:w="1310" w:type="dxa"/>
            <w:tcBorders>
              <w:left w:val="single" w:color="000000" w:sz="4" w:space="0"/>
              <w:bottom w:val="single" w:color="000000" w:sz="4" w:space="0"/>
              <w:right w:val="single" w:color="000000" w:sz="4" w:space="0"/>
            </w:tcBorders>
            <w:vAlign w:val="top"/>
          </w:tcPr>
          <w:p w14:paraId="51FA05FF">
            <w:pPr>
              <w:pStyle w:val="6"/>
              <w:spacing w:before="41" w:line="212" w:lineRule="auto"/>
              <w:ind w:left="155"/>
            </w:pPr>
            <w:r>
              <w:rPr>
                <w:spacing w:val="-1"/>
              </w:rPr>
              <w:t>千瓦时/万元</w:t>
            </w:r>
          </w:p>
        </w:tc>
        <w:tc>
          <w:tcPr>
            <w:tcW w:w="550" w:type="dxa"/>
            <w:tcBorders>
              <w:left w:val="single" w:color="000000" w:sz="4" w:space="0"/>
              <w:bottom w:val="single" w:color="000000" w:sz="4" w:space="0"/>
              <w:right w:val="single" w:color="000000" w:sz="4" w:space="0"/>
            </w:tcBorders>
            <w:vAlign w:val="top"/>
          </w:tcPr>
          <w:p w14:paraId="08D605CD">
            <w:pPr>
              <w:pStyle w:val="6"/>
              <w:spacing w:before="96" w:line="151" w:lineRule="exact"/>
              <w:ind w:left="175"/>
            </w:pPr>
            <w:r>
              <w:rPr>
                <w:spacing w:val="-6"/>
                <w:position w:val="-2"/>
              </w:rPr>
              <w:t>17</w:t>
            </w:r>
          </w:p>
        </w:tc>
        <w:tc>
          <w:tcPr>
            <w:tcW w:w="3450" w:type="dxa"/>
            <w:gridSpan w:val="5"/>
            <w:tcBorders>
              <w:left w:val="single" w:color="000000" w:sz="4" w:space="0"/>
              <w:bottom w:val="single" w:color="000000" w:sz="4" w:space="0"/>
            </w:tcBorders>
            <w:vAlign w:val="top"/>
          </w:tcPr>
          <w:p w14:paraId="21B738E7">
            <w:pPr>
              <w:rPr>
                <w:rFonts w:ascii="Arial"/>
                <w:sz w:val="21"/>
              </w:rPr>
            </w:pPr>
          </w:p>
        </w:tc>
      </w:tr>
    </w:tbl>
    <w:p w14:paraId="0C0EAAE0">
      <w:pPr>
        <w:spacing w:before="102" w:line="230" w:lineRule="auto"/>
        <w:rPr>
          <w:rFonts w:ascii="宋体" w:hAnsi="宋体" w:eastAsia="宋体" w:cs="宋体"/>
          <w:sz w:val="18"/>
          <w:szCs w:val="18"/>
        </w:rPr>
      </w:pPr>
      <w:r>
        <w:rPr>
          <w:rFonts w:ascii="宋体" w:hAnsi="宋体" w:eastAsia="宋体" w:cs="宋体"/>
          <w:spacing w:val="-13"/>
          <w:sz w:val="18"/>
          <w:szCs w:val="18"/>
        </w:rPr>
        <w:t>单位负责人：</w:t>
      </w:r>
      <w:r>
        <w:rPr>
          <w:rFonts w:ascii="宋体" w:hAnsi="宋体" w:eastAsia="宋体" w:cs="宋体"/>
          <w:spacing w:val="1"/>
          <w:sz w:val="18"/>
          <w:szCs w:val="18"/>
        </w:rPr>
        <w:t xml:space="preserve">                    </w:t>
      </w:r>
      <w:r>
        <w:rPr>
          <w:rFonts w:ascii="宋体" w:hAnsi="宋体" w:eastAsia="宋体" w:cs="宋体"/>
          <w:spacing w:val="-13"/>
          <w:sz w:val="18"/>
          <w:szCs w:val="18"/>
        </w:rPr>
        <w:t>填表人：                 联系电话：                  报出日期：</w:t>
      </w:r>
      <w:r>
        <w:rPr>
          <w:rFonts w:ascii="宋体" w:hAnsi="宋体" w:eastAsia="宋体" w:cs="宋体"/>
          <w:spacing w:val="49"/>
          <w:sz w:val="18"/>
          <w:szCs w:val="18"/>
        </w:rPr>
        <w:t xml:space="preserve"> </w:t>
      </w:r>
      <w:r>
        <w:rPr>
          <w:rFonts w:ascii="宋体" w:hAnsi="宋体" w:eastAsia="宋体" w:cs="宋体"/>
          <w:spacing w:val="-13"/>
          <w:sz w:val="18"/>
          <w:szCs w:val="18"/>
        </w:rPr>
        <w:t>20     年   月  日</w:t>
      </w:r>
    </w:p>
    <w:p w14:paraId="3BDA1969">
      <w:pPr>
        <w:spacing w:before="274" w:line="219" w:lineRule="auto"/>
        <w:rPr>
          <w:rFonts w:ascii="宋体" w:hAnsi="宋体" w:eastAsia="宋体" w:cs="宋体"/>
          <w:sz w:val="18"/>
          <w:szCs w:val="18"/>
        </w:rPr>
      </w:pPr>
      <w:r>
        <w:rPr>
          <w:rFonts w:ascii="宋体" w:hAnsi="宋体" w:eastAsia="宋体" w:cs="宋体"/>
          <w:spacing w:val="-5"/>
          <w:sz w:val="18"/>
          <w:szCs w:val="18"/>
        </w:rPr>
        <w:t>说明：1.本表由各设区市统计局负责报送。</w:t>
      </w:r>
    </w:p>
    <w:p w14:paraId="0B731468">
      <w:pPr>
        <w:spacing w:before="28" w:line="219" w:lineRule="auto"/>
        <w:ind w:left="539"/>
        <w:rPr>
          <w:rFonts w:ascii="宋体" w:hAnsi="宋体" w:eastAsia="宋体" w:cs="宋体"/>
          <w:sz w:val="18"/>
          <w:szCs w:val="18"/>
        </w:rPr>
      </w:pPr>
      <w:r>
        <w:rPr>
          <w:rFonts w:ascii="宋体" w:hAnsi="宋体" w:eastAsia="宋体" w:cs="宋体"/>
          <w:spacing w:val="1"/>
          <w:sz w:val="18"/>
          <w:szCs w:val="18"/>
        </w:rPr>
        <w:t>2.报送时间为季后23日前，报送方式为</w:t>
      </w:r>
      <w:r>
        <w:rPr>
          <w:rFonts w:hint="eastAsia" w:ascii="宋体" w:hAnsi="宋体" w:eastAsia="宋体" w:cs="宋体"/>
          <w:sz w:val="18"/>
          <w:szCs w:val="18"/>
          <w:lang w:eastAsia="zh-CN"/>
        </w:rPr>
        <w:t>文档云</w:t>
      </w:r>
      <w:r>
        <w:rPr>
          <w:rFonts w:ascii="宋体" w:hAnsi="宋体" w:eastAsia="宋体" w:cs="宋体"/>
          <w:sz w:val="18"/>
          <w:szCs w:val="18"/>
        </w:rPr>
        <w:t>。</w:t>
      </w:r>
    </w:p>
    <w:p w14:paraId="0ED58AF7">
      <w:pPr>
        <w:spacing w:before="26" w:line="237" w:lineRule="auto"/>
        <w:ind w:left="539"/>
        <w:rPr>
          <w:rFonts w:ascii="宋体" w:hAnsi="宋体" w:eastAsia="宋体" w:cs="宋体"/>
          <w:sz w:val="18"/>
          <w:szCs w:val="18"/>
        </w:rPr>
      </w:pPr>
      <w:r>
        <w:rPr>
          <w:rFonts w:ascii="宋体" w:hAnsi="宋体" w:eastAsia="宋体" w:cs="宋体"/>
          <w:spacing w:val="3"/>
          <w:sz w:val="18"/>
          <w:szCs w:val="18"/>
        </w:rPr>
        <w:t>3.本表的单位</w:t>
      </w:r>
      <w:r>
        <w:rPr>
          <w:rFonts w:ascii="宋体" w:hAnsi="宋体" w:eastAsia="宋体" w:cs="宋体"/>
          <w:spacing w:val="-43"/>
          <w:sz w:val="18"/>
          <w:szCs w:val="18"/>
        </w:rPr>
        <w:t xml:space="preserve"> </w:t>
      </w:r>
      <w:r>
        <w:rPr>
          <w:rFonts w:ascii="Times New Roman" w:hAnsi="Times New Roman" w:eastAsia="Times New Roman" w:cs="Times New Roman"/>
          <w:sz w:val="18"/>
          <w:szCs w:val="18"/>
        </w:rPr>
        <w:t>GDP</w:t>
      </w:r>
      <w:r>
        <w:rPr>
          <w:rFonts w:ascii="Times New Roman" w:hAnsi="Times New Roman" w:eastAsia="Times New Roman" w:cs="Times New Roman"/>
          <w:spacing w:val="3"/>
          <w:sz w:val="18"/>
          <w:szCs w:val="18"/>
        </w:rPr>
        <w:t xml:space="preserve"> </w:t>
      </w:r>
      <w:r>
        <w:rPr>
          <w:rFonts w:ascii="宋体" w:hAnsi="宋体" w:eastAsia="宋体" w:cs="宋体"/>
          <w:spacing w:val="3"/>
          <w:sz w:val="18"/>
          <w:szCs w:val="18"/>
        </w:rPr>
        <w:t>能耗、规模以上工业单位增加值能耗、单位</w:t>
      </w:r>
      <w:r>
        <w:rPr>
          <w:rFonts w:ascii="Times New Roman" w:hAnsi="Times New Roman" w:eastAsia="Times New Roman" w:cs="Times New Roman"/>
          <w:sz w:val="18"/>
          <w:szCs w:val="18"/>
        </w:rPr>
        <w:t>GDP</w:t>
      </w:r>
      <w:r>
        <w:rPr>
          <w:rFonts w:ascii="Times New Roman" w:hAnsi="Times New Roman" w:eastAsia="Times New Roman" w:cs="Times New Roman"/>
          <w:spacing w:val="22"/>
          <w:sz w:val="18"/>
          <w:szCs w:val="18"/>
        </w:rPr>
        <w:t xml:space="preserve"> </w:t>
      </w:r>
      <w:r>
        <w:rPr>
          <w:rFonts w:ascii="宋体" w:hAnsi="宋体" w:eastAsia="宋体" w:cs="宋体"/>
          <w:spacing w:val="3"/>
          <w:sz w:val="18"/>
          <w:szCs w:val="18"/>
        </w:rPr>
        <w:t>电耗保留4位小数，</w:t>
      </w:r>
      <w:r>
        <w:rPr>
          <w:rFonts w:ascii="宋体" w:hAnsi="宋体" w:eastAsia="宋体" w:cs="宋体"/>
          <w:spacing w:val="2"/>
          <w:sz w:val="18"/>
          <w:szCs w:val="18"/>
        </w:rPr>
        <w:t>其余数据保留2位小数。</w:t>
      </w:r>
      <w:r>
        <w:rPr>
          <w:rFonts w:ascii="宋体" w:hAnsi="宋体" w:eastAsia="宋体" w:cs="宋体"/>
          <w:sz w:val="18"/>
          <w:szCs w:val="18"/>
        </w:rPr>
        <w:t xml:space="preserve"> </w:t>
      </w:r>
      <w:r>
        <w:rPr>
          <w:rFonts w:ascii="宋体" w:hAnsi="宋体" w:eastAsia="宋体" w:cs="宋体"/>
          <w:spacing w:val="-3"/>
          <w:sz w:val="18"/>
          <w:szCs w:val="18"/>
        </w:rPr>
        <w:t>4.本表的能源消费量核算方法遵照《季度地区能源消费总量核算方案》。</w:t>
      </w:r>
    </w:p>
    <w:p w14:paraId="3E0163B8">
      <w:pPr>
        <w:pStyle w:val="2"/>
        <w:spacing w:line="323" w:lineRule="auto"/>
      </w:pPr>
    </w:p>
    <w:p w14:paraId="0BFCB85A">
      <w:pPr>
        <w:spacing w:before="102" w:line="219" w:lineRule="auto"/>
        <w:ind w:left="3454"/>
        <w:rPr>
          <w:rFonts w:ascii="宋体" w:hAnsi="宋体" w:eastAsia="宋体" w:cs="宋体"/>
          <w:sz w:val="31"/>
          <w:szCs w:val="31"/>
        </w:rPr>
      </w:pPr>
      <w:r>
        <w:rPr>
          <w:rFonts w:ascii="宋体" w:hAnsi="宋体" w:eastAsia="宋体" w:cs="宋体"/>
          <w:b/>
          <w:bCs/>
          <w:spacing w:val="2"/>
          <w:sz w:val="31"/>
          <w:szCs w:val="31"/>
        </w:rPr>
        <w:t>全社会用电量情况</w:t>
      </w:r>
    </w:p>
    <w:p w14:paraId="657D6801">
      <w:pPr>
        <w:spacing w:before="14" w:line="221" w:lineRule="auto"/>
        <w:ind w:left="7000"/>
        <w:rPr>
          <w:rFonts w:ascii="宋体" w:hAnsi="宋体" w:eastAsia="宋体" w:cs="宋体"/>
          <w:sz w:val="18"/>
          <w:szCs w:val="18"/>
        </w:rPr>
      </w:pPr>
      <w:r>
        <w:rPr>
          <w:rFonts w:ascii="宋体" w:hAnsi="宋体" w:eastAsia="宋体" w:cs="宋体"/>
          <w:spacing w:val="-9"/>
          <w:sz w:val="18"/>
          <w:szCs w:val="18"/>
        </w:rPr>
        <w:t>表</w:t>
      </w:r>
      <w:r>
        <w:rPr>
          <w:rFonts w:ascii="宋体" w:hAnsi="宋体" w:eastAsia="宋体" w:cs="宋体"/>
          <w:spacing w:val="25"/>
          <w:sz w:val="18"/>
          <w:szCs w:val="18"/>
        </w:rPr>
        <w:t xml:space="preserve">   </w:t>
      </w:r>
      <w:r>
        <w:rPr>
          <w:rFonts w:ascii="宋体" w:hAnsi="宋体" w:eastAsia="宋体" w:cs="宋体"/>
          <w:spacing w:val="-9"/>
          <w:sz w:val="18"/>
          <w:szCs w:val="18"/>
        </w:rPr>
        <w:t>号：</w:t>
      </w:r>
      <w:r>
        <w:rPr>
          <w:rFonts w:ascii="宋体" w:hAnsi="宋体" w:eastAsia="宋体" w:cs="宋体"/>
          <w:spacing w:val="-35"/>
          <w:sz w:val="18"/>
          <w:szCs w:val="18"/>
        </w:rPr>
        <w:t xml:space="preserve"> </w:t>
      </w:r>
      <w:r>
        <w:rPr>
          <w:rFonts w:ascii="Times New Roman" w:hAnsi="Times New Roman" w:eastAsia="Times New Roman" w:cs="Times New Roman"/>
          <w:spacing w:val="-9"/>
          <w:sz w:val="18"/>
          <w:szCs w:val="18"/>
        </w:rPr>
        <w:t>P</w:t>
      </w:r>
      <w:r>
        <w:rPr>
          <w:rFonts w:ascii="Times New Roman" w:hAnsi="Times New Roman" w:eastAsia="Times New Roman" w:cs="Times New Roman"/>
          <w:spacing w:val="3"/>
          <w:sz w:val="18"/>
          <w:szCs w:val="18"/>
        </w:rPr>
        <w:t xml:space="preserve">     </w:t>
      </w:r>
      <w:r>
        <w:rPr>
          <w:rFonts w:ascii="宋体" w:hAnsi="宋体" w:eastAsia="宋体" w:cs="宋体"/>
          <w:spacing w:val="-9"/>
          <w:sz w:val="18"/>
          <w:szCs w:val="18"/>
        </w:rPr>
        <w:t>4   0   7</w:t>
      </w:r>
      <w:r>
        <w:rPr>
          <w:rFonts w:ascii="宋体" w:hAnsi="宋体" w:eastAsia="宋体" w:cs="宋体"/>
          <w:spacing w:val="22"/>
          <w:sz w:val="18"/>
          <w:szCs w:val="18"/>
        </w:rPr>
        <w:t xml:space="preserve">  </w:t>
      </w:r>
      <w:r>
        <w:rPr>
          <w:rFonts w:ascii="宋体" w:hAnsi="宋体" w:eastAsia="宋体" w:cs="宋体"/>
          <w:spacing w:val="-9"/>
          <w:sz w:val="18"/>
          <w:szCs w:val="18"/>
        </w:rPr>
        <w:t>表</w:t>
      </w:r>
    </w:p>
    <w:p w14:paraId="1D90EFD8">
      <w:pPr>
        <w:spacing w:before="63" w:line="219" w:lineRule="auto"/>
        <w:ind w:left="7000"/>
        <w:rPr>
          <w:rFonts w:ascii="宋体" w:hAnsi="宋体" w:eastAsia="宋体" w:cs="宋体"/>
          <w:sz w:val="18"/>
          <w:szCs w:val="18"/>
        </w:rPr>
      </w:pPr>
      <w:r>
        <w:rPr>
          <w:rFonts w:ascii="宋体" w:hAnsi="宋体" w:eastAsia="宋体" w:cs="宋体"/>
          <w:spacing w:val="-5"/>
          <w:sz w:val="18"/>
          <w:szCs w:val="18"/>
        </w:rPr>
        <w:t>制定机关：国  家</w:t>
      </w:r>
      <w:r>
        <w:rPr>
          <w:rFonts w:ascii="宋体" w:hAnsi="宋体" w:eastAsia="宋体" w:cs="宋体"/>
          <w:spacing w:val="12"/>
          <w:sz w:val="18"/>
          <w:szCs w:val="18"/>
        </w:rPr>
        <w:t xml:space="preserve"> </w:t>
      </w:r>
      <w:r>
        <w:rPr>
          <w:rFonts w:ascii="宋体" w:hAnsi="宋体" w:eastAsia="宋体" w:cs="宋体"/>
          <w:spacing w:val="-5"/>
          <w:sz w:val="18"/>
          <w:szCs w:val="18"/>
        </w:rPr>
        <w:t>统</w:t>
      </w:r>
      <w:r>
        <w:rPr>
          <w:rFonts w:ascii="宋体" w:hAnsi="宋体" w:eastAsia="宋体" w:cs="宋体"/>
          <w:spacing w:val="2"/>
          <w:sz w:val="18"/>
          <w:szCs w:val="18"/>
        </w:rPr>
        <w:t xml:space="preserve">  </w:t>
      </w:r>
      <w:r>
        <w:rPr>
          <w:rFonts w:ascii="宋体" w:hAnsi="宋体" w:eastAsia="宋体" w:cs="宋体"/>
          <w:spacing w:val="-5"/>
          <w:sz w:val="18"/>
          <w:szCs w:val="18"/>
        </w:rPr>
        <w:t>计</w:t>
      </w:r>
      <w:r>
        <w:rPr>
          <w:rFonts w:ascii="宋体" w:hAnsi="宋体" w:eastAsia="宋体" w:cs="宋体"/>
          <w:spacing w:val="63"/>
          <w:sz w:val="18"/>
          <w:szCs w:val="18"/>
        </w:rPr>
        <w:t xml:space="preserve"> </w:t>
      </w:r>
      <w:r>
        <w:rPr>
          <w:rFonts w:ascii="宋体" w:hAnsi="宋体" w:eastAsia="宋体" w:cs="宋体"/>
          <w:spacing w:val="-5"/>
          <w:sz w:val="18"/>
          <w:szCs w:val="18"/>
        </w:rPr>
        <w:t>局</w:t>
      </w:r>
    </w:p>
    <w:p w14:paraId="2EA16FA0">
      <w:pPr>
        <w:spacing w:before="27" w:line="219" w:lineRule="auto"/>
        <w:ind w:left="7000"/>
        <w:rPr>
          <w:rFonts w:ascii="宋体" w:hAnsi="宋体" w:eastAsia="宋体" w:cs="宋体"/>
          <w:sz w:val="18"/>
          <w:szCs w:val="18"/>
        </w:rPr>
      </w:pPr>
      <w:r>
        <w:rPr>
          <w:rFonts w:ascii="宋体" w:hAnsi="宋体" w:eastAsia="宋体" w:cs="宋体"/>
          <w:spacing w:val="-11"/>
          <w:sz w:val="18"/>
          <w:szCs w:val="18"/>
        </w:rPr>
        <w:t>文    号：国统字〔202</w:t>
      </w:r>
      <w:r>
        <w:rPr>
          <w:rFonts w:hint="eastAsia" w:ascii="宋体" w:hAnsi="宋体" w:eastAsia="宋体" w:cs="宋体"/>
          <w:spacing w:val="-11"/>
          <w:sz w:val="18"/>
          <w:szCs w:val="18"/>
          <w:lang w:val="en-US" w:eastAsia="zh-CN"/>
        </w:rPr>
        <w:t>4</w:t>
      </w:r>
      <w:r>
        <w:rPr>
          <w:rFonts w:ascii="宋体" w:hAnsi="宋体" w:eastAsia="宋体" w:cs="宋体"/>
          <w:spacing w:val="-11"/>
          <w:sz w:val="18"/>
          <w:szCs w:val="18"/>
        </w:rPr>
        <w:t>〕</w:t>
      </w:r>
      <w:r>
        <w:rPr>
          <w:rFonts w:hint="eastAsia" w:ascii="宋体" w:hAnsi="宋体" w:eastAsia="宋体" w:cs="宋体"/>
          <w:spacing w:val="-11"/>
          <w:sz w:val="18"/>
          <w:szCs w:val="18"/>
          <w:lang w:val="en-US" w:eastAsia="zh-CN"/>
        </w:rPr>
        <w:t>7</w:t>
      </w:r>
      <w:r>
        <w:rPr>
          <w:rFonts w:ascii="宋体" w:hAnsi="宋体" w:eastAsia="宋体" w:cs="宋体"/>
          <w:spacing w:val="-11"/>
          <w:sz w:val="18"/>
          <w:szCs w:val="18"/>
        </w:rPr>
        <w:t>7号</w:t>
      </w:r>
    </w:p>
    <w:p w14:paraId="4A8754FF">
      <w:pPr>
        <w:spacing w:line="66" w:lineRule="auto"/>
        <w:rPr>
          <w:rFonts w:ascii="Arial"/>
          <w:sz w:val="2"/>
        </w:rPr>
      </w:pPr>
    </w:p>
    <w:p w14:paraId="7E2E3A0C">
      <w:pPr>
        <w:spacing w:line="66" w:lineRule="auto"/>
        <w:rPr>
          <w:rFonts w:ascii="Arial" w:hAnsi="Arial" w:eastAsia="Arial" w:cs="Arial"/>
          <w:sz w:val="2"/>
          <w:szCs w:val="2"/>
        </w:rPr>
        <w:sectPr>
          <w:headerReference r:id="rId20" w:type="default"/>
          <w:pgSz w:w="11910" w:h="16840"/>
          <w:pgMar w:top="1055" w:right="1199" w:bottom="0" w:left="1239" w:header="876" w:footer="0" w:gutter="0"/>
          <w:cols w:equalWidth="0" w:num="1">
            <w:col w:w="9471"/>
          </w:cols>
        </w:sectPr>
      </w:pPr>
    </w:p>
    <w:p w14:paraId="0A8904A4">
      <w:pPr>
        <w:spacing w:before="39" w:line="167" w:lineRule="auto"/>
        <w:ind w:left="20"/>
        <w:rPr>
          <w:rFonts w:ascii="宋体" w:hAnsi="宋体" w:eastAsia="宋体" w:cs="宋体"/>
          <w:sz w:val="19"/>
          <w:szCs w:val="19"/>
        </w:rPr>
      </w:pPr>
      <w:r>
        <w:rPr>
          <w:rFonts w:ascii="宋体" w:hAnsi="宋体" w:eastAsia="宋体" w:cs="宋体"/>
          <w:spacing w:val="-7"/>
          <w:sz w:val="19"/>
          <w:szCs w:val="19"/>
        </w:rPr>
        <w:t xml:space="preserve">综合机关名称：                              </w:t>
      </w:r>
      <w:r>
        <w:rPr>
          <w:rFonts w:ascii="宋体" w:hAnsi="宋体" w:eastAsia="宋体" w:cs="宋体"/>
          <w:spacing w:val="-7"/>
          <w:position w:val="-3"/>
          <w:sz w:val="19"/>
          <w:szCs w:val="19"/>
        </w:rPr>
        <w:t>20</w:t>
      </w:r>
    </w:p>
    <w:p w14:paraId="6462D67A">
      <w:pPr>
        <w:pStyle w:val="2"/>
        <w:spacing w:line="14" w:lineRule="auto"/>
        <w:rPr>
          <w:sz w:val="2"/>
        </w:rPr>
      </w:pPr>
      <w:r>
        <w:rPr>
          <w:sz w:val="2"/>
          <w:szCs w:val="2"/>
        </w:rPr>
        <w:br w:type="column"/>
      </w:r>
    </w:p>
    <w:p w14:paraId="023732AF">
      <w:pPr>
        <w:spacing w:before="39" w:line="195" w:lineRule="auto"/>
        <w:rPr>
          <w:rFonts w:ascii="宋体" w:hAnsi="宋体" w:eastAsia="宋体" w:cs="宋体"/>
          <w:sz w:val="19"/>
          <w:szCs w:val="19"/>
        </w:rPr>
      </w:pPr>
      <w:r>
        <w:rPr>
          <w:rFonts w:ascii="宋体" w:hAnsi="宋体" w:eastAsia="宋体" w:cs="宋体"/>
          <w:spacing w:val="-5"/>
          <w:sz w:val="19"/>
          <w:szCs w:val="19"/>
        </w:rPr>
        <w:t>年</w:t>
      </w:r>
      <w:r>
        <w:rPr>
          <w:rFonts w:ascii="宋体" w:hAnsi="宋体" w:eastAsia="宋体" w:cs="宋体"/>
          <w:spacing w:val="14"/>
          <w:sz w:val="19"/>
          <w:szCs w:val="19"/>
        </w:rPr>
        <w:t xml:space="preserve">    </w:t>
      </w:r>
      <w:r>
        <w:rPr>
          <w:rFonts w:ascii="宋体" w:hAnsi="宋体" w:eastAsia="宋体" w:cs="宋体"/>
          <w:spacing w:val="-5"/>
          <w:sz w:val="19"/>
          <w:szCs w:val="19"/>
        </w:rPr>
        <w:t>月</w:t>
      </w:r>
    </w:p>
    <w:p w14:paraId="0BAE8901">
      <w:pPr>
        <w:pStyle w:val="2"/>
        <w:spacing w:line="14" w:lineRule="auto"/>
        <w:rPr>
          <w:sz w:val="2"/>
        </w:rPr>
      </w:pPr>
      <w:r>
        <w:rPr>
          <w:sz w:val="2"/>
          <w:szCs w:val="2"/>
        </w:rPr>
        <w:br w:type="column"/>
      </w:r>
    </w:p>
    <w:p w14:paraId="17FC4A16">
      <w:pPr>
        <w:spacing w:before="39" w:line="195" w:lineRule="auto"/>
        <w:rPr>
          <w:rFonts w:ascii="宋体" w:hAnsi="宋体" w:eastAsia="宋体" w:cs="宋体"/>
          <w:sz w:val="19"/>
          <w:szCs w:val="19"/>
        </w:rPr>
      </w:pPr>
      <w:r>
        <w:rPr>
          <w:rFonts w:ascii="宋体" w:hAnsi="宋体" w:eastAsia="宋体" w:cs="宋体"/>
          <w:spacing w:val="2"/>
          <w:sz w:val="19"/>
          <w:szCs w:val="19"/>
        </w:rPr>
        <w:t>有效期至：2025年1月</w:t>
      </w:r>
    </w:p>
    <w:p w14:paraId="1BFF7708">
      <w:pPr>
        <w:spacing w:line="195" w:lineRule="auto"/>
        <w:rPr>
          <w:rFonts w:ascii="宋体" w:hAnsi="宋体" w:eastAsia="宋体" w:cs="宋体"/>
          <w:sz w:val="19"/>
          <w:szCs w:val="19"/>
        </w:rPr>
        <w:sectPr>
          <w:type w:val="continuous"/>
          <w:pgSz w:w="11910" w:h="16840"/>
          <w:pgMar w:top="1055" w:right="1199" w:bottom="0" w:left="1239" w:header="876" w:footer="0" w:gutter="0"/>
          <w:cols w:equalWidth="0" w:num="3">
            <w:col w:w="4500" w:space="100"/>
            <w:col w:w="2330" w:space="100"/>
            <w:col w:w="2441"/>
          </w:cols>
        </w:sectPr>
      </w:pPr>
    </w:p>
    <w:p w14:paraId="56034A01">
      <w:pPr>
        <w:spacing w:line="37" w:lineRule="exact"/>
      </w:pPr>
    </w:p>
    <w:tbl>
      <w:tblPr>
        <w:tblStyle w:val="5"/>
        <w:tblW w:w="9420"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50"/>
        <w:gridCol w:w="650"/>
        <w:gridCol w:w="760"/>
        <w:gridCol w:w="760"/>
        <w:gridCol w:w="760"/>
        <w:gridCol w:w="760"/>
        <w:gridCol w:w="910"/>
        <w:gridCol w:w="940"/>
        <w:gridCol w:w="930"/>
      </w:tblGrid>
      <w:tr w14:paraId="607355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2950" w:type="dxa"/>
            <w:vMerge w:val="restart"/>
            <w:tcBorders>
              <w:left w:val="nil"/>
              <w:bottom w:val="nil"/>
            </w:tcBorders>
            <w:vAlign w:val="top"/>
          </w:tcPr>
          <w:p w14:paraId="476A12EA">
            <w:pPr>
              <w:spacing w:line="292" w:lineRule="auto"/>
              <w:rPr>
                <w:rFonts w:ascii="Arial"/>
                <w:sz w:val="21"/>
              </w:rPr>
            </w:pPr>
          </w:p>
          <w:p w14:paraId="6203765B">
            <w:pPr>
              <w:pStyle w:val="6"/>
              <w:spacing w:before="59" w:line="220" w:lineRule="auto"/>
              <w:ind w:left="1110"/>
            </w:pPr>
            <w:r>
              <w:rPr>
                <w:spacing w:val="-2"/>
              </w:rPr>
              <w:t>指标名称</w:t>
            </w:r>
          </w:p>
        </w:tc>
        <w:tc>
          <w:tcPr>
            <w:tcW w:w="650" w:type="dxa"/>
            <w:vMerge w:val="restart"/>
            <w:tcBorders>
              <w:bottom w:val="nil"/>
            </w:tcBorders>
            <w:vAlign w:val="top"/>
          </w:tcPr>
          <w:p w14:paraId="31B6EFDF">
            <w:pPr>
              <w:spacing w:line="292" w:lineRule="auto"/>
              <w:rPr>
                <w:rFonts w:ascii="Arial"/>
                <w:sz w:val="21"/>
              </w:rPr>
            </w:pPr>
          </w:p>
          <w:p w14:paraId="6F2115F4">
            <w:pPr>
              <w:pStyle w:val="6"/>
              <w:spacing w:before="58" w:line="219" w:lineRule="auto"/>
              <w:ind w:left="135"/>
            </w:pPr>
            <w:r>
              <w:rPr>
                <w:spacing w:val="-2"/>
              </w:rPr>
              <w:t>代码</w:t>
            </w:r>
          </w:p>
        </w:tc>
        <w:tc>
          <w:tcPr>
            <w:tcW w:w="3040" w:type="dxa"/>
            <w:gridSpan w:val="4"/>
            <w:vAlign w:val="top"/>
          </w:tcPr>
          <w:p w14:paraId="599972D8">
            <w:pPr>
              <w:pStyle w:val="6"/>
              <w:spacing w:before="72" w:line="220" w:lineRule="auto"/>
              <w:ind w:left="835"/>
            </w:pPr>
            <w:r>
              <w:rPr>
                <w:spacing w:val="4"/>
              </w:rPr>
              <w:t>用电量(万千瓦时)</w:t>
            </w:r>
          </w:p>
        </w:tc>
        <w:tc>
          <w:tcPr>
            <w:tcW w:w="910" w:type="dxa"/>
            <w:vMerge w:val="restart"/>
            <w:tcBorders>
              <w:bottom w:val="nil"/>
            </w:tcBorders>
            <w:vAlign w:val="top"/>
          </w:tcPr>
          <w:p w14:paraId="6EA4CE41">
            <w:pPr>
              <w:pStyle w:val="6"/>
              <w:spacing w:before="101" w:line="219" w:lineRule="auto"/>
              <w:ind w:left="135"/>
            </w:pPr>
            <w:r>
              <w:rPr>
                <w:spacing w:val="-3"/>
              </w:rPr>
              <w:t>本月</w:t>
            </w:r>
            <w:r>
              <w:rPr>
                <w:spacing w:val="26"/>
                <w:w w:val="101"/>
              </w:rPr>
              <w:t xml:space="preserve"> </w:t>
            </w:r>
            <w:r>
              <w:rPr>
                <w:spacing w:val="-3"/>
              </w:rPr>
              <w:t>比</w:t>
            </w:r>
          </w:p>
          <w:p w14:paraId="2BB73F4E">
            <w:pPr>
              <w:pStyle w:val="6"/>
              <w:spacing w:before="67" w:line="219" w:lineRule="auto"/>
              <w:ind w:left="85"/>
            </w:pPr>
            <w:r>
              <w:rPr>
                <w:spacing w:val="2"/>
              </w:rPr>
              <w:t>上年同期</w:t>
            </w:r>
          </w:p>
          <w:p w14:paraId="040627E1">
            <w:pPr>
              <w:pStyle w:val="6"/>
              <w:spacing w:before="59" w:line="209" w:lineRule="auto"/>
              <w:ind w:left="315"/>
            </w:pPr>
            <w:r>
              <w:rPr>
                <w:spacing w:val="-9"/>
              </w:rPr>
              <w:t>(%)</w:t>
            </w:r>
          </w:p>
        </w:tc>
        <w:tc>
          <w:tcPr>
            <w:tcW w:w="940" w:type="dxa"/>
            <w:vMerge w:val="restart"/>
            <w:tcBorders>
              <w:bottom w:val="nil"/>
            </w:tcBorders>
            <w:vAlign w:val="top"/>
          </w:tcPr>
          <w:p w14:paraId="69F1CFF2">
            <w:pPr>
              <w:pStyle w:val="6"/>
              <w:spacing w:before="111" w:line="219" w:lineRule="auto"/>
              <w:ind w:left="145"/>
            </w:pPr>
            <w:r>
              <w:rPr>
                <w:spacing w:val="9"/>
              </w:rPr>
              <w:t>1一本月</w:t>
            </w:r>
          </w:p>
          <w:p w14:paraId="2B97BED2">
            <w:pPr>
              <w:pStyle w:val="6"/>
              <w:spacing w:before="57" w:line="219" w:lineRule="auto"/>
              <w:ind w:left="105"/>
            </w:pPr>
            <w:r>
              <w:rPr>
                <w:spacing w:val="4"/>
              </w:rPr>
              <w:t>比上年同</w:t>
            </w:r>
          </w:p>
          <w:p w14:paraId="5326A13A">
            <w:pPr>
              <w:pStyle w:val="6"/>
              <w:spacing w:before="36" w:line="220" w:lineRule="auto"/>
              <w:ind w:left="235"/>
            </w:pPr>
            <w:r>
              <w:rPr>
                <w:spacing w:val="9"/>
              </w:rPr>
              <w:t>期(%)</w:t>
            </w:r>
          </w:p>
        </w:tc>
        <w:tc>
          <w:tcPr>
            <w:tcW w:w="930" w:type="dxa"/>
            <w:vMerge w:val="restart"/>
            <w:tcBorders>
              <w:bottom w:val="nil"/>
              <w:right w:val="nil"/>
            </w:tcBorders>
            <w:vAlign w:val="top"/>
          </w:tcPr>
          <w:p w14:paraId="2D12FF46">
            <w:pPr>
              <w:pStyle w:val="6"/>
              <w:spacing w:before="121" w:line="219" w:lineRule="auto"/>
              <w:ind w:left="95"/>
            </w:pPr>
            <w:r>
              <w:rPr>
                <w:spacing w:val="1"/>
              </w:rPr>
              <w:t>占全社会</w:t>
            </w:r>
          </w:p>
          <w:p w14:paraId="41C334CE">
            <w:pPr>
              <w:pStyle w:val="6"/>
              <w:spacing w:before="48" w:line="221" w:lineRule="auto"/>
              <w:ind w:left="95"/>
            </w:pPr>
            <w:r>
              <w:rPr>
                <w:spacing w:val="3"/>
              </w:rPr>
              <w:t>用电量的</w:t>
            </w:r>
          </w:p>
          <w:p w14:paraId="746B031B">
            <w:pPr>
              <w:pStyle w:val="6"/>
              <w:spacing w:before="36" w:line="222" w:lineRule="auto"/>
              <w:ind w:left="185"/>
            </w:pPr>
            <w:r>
              <w:rPr>
                <w:spacing w:val="1"/>
              </w:rPr>
              <w:t>比重(%</w:t>
            </w:r>
          </w:p>
        </w:tc>
      </w:tr>
      <w:tr w14:paraId="65E84C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 w:hRule="atLeast"/>
        </w:trPr>
        <w:tc>
          <w:tcPr>
            <w:tcW w:w="2950" w:type="dxa"/>
            <w:vMerge w:val="continue"/>
            <w:tcBorders>
              <w:top w:val="nil"/>
              <w:left w:val="nil"/>
            </w:tcBorders>
            <w:vAlign w:val="top"/>
          </w:tcPr>
          <w:p w14:paraId="0CD5583D">
            <w:pPr>
              <w:rPr>
                <w:rFonts w:ascii="Arial"/>
                <w:sz w:val="21"/>
              </w:rPr>
            </w:pPr>
          </w:p>
        </w:tc>
        <w:tc>
          <w:tcPr>
            <w:tcW w:w="650" w:type="dxa"/>
            <w:vMerge w:val="continue"/>
            <w:tcBorders>
              <w:top w:val="nil"/>
            </w:tcBorders>
            <w:vAlign w:val="top"/>
          </w:tcPr>
          <w:p w14:paraId="3CFB1CCF">
            <w:pPr>
              <w:rPr>
                <w:rFonts w:ascii="Arial"/>
                <w:sz w:val="21"/>
              </w:rPr>
            </w:pPr>
          </w:p>
        </w:tc>
        <w:tc>
          <w:tcPr>
            <w:tcW w:w="760" w:type="dxa"/>
            <w:vAlign w:val="top"/>
          </w:tcPr>
          <w:p w14:paraId="21808469">
            <w:pPr>
              <w:pStyle w:val="6"/>
              <w:spacing w:before="178" w:line="219" w:lineRule="auto"/>
              <w:ind w:left="195"/>
            </w:pPr>
            <w:r>
              <w:rPr>
                <w:spacing w:val="23"/>
              </w:rPr>
              <w:t>本月</w:t>
            </w:r>
          </w:p>
        </w:tc>
        <w:tc>
          <w:tcPr>
            <w:tcW w:w="760" w:type="dxa"/>
            <w:vAlign w:val="top"/>
          </w:tcPr>
          <w:p w14:paraId="3C18E22C">
            <w:pPr>
              <w:pStyle w:val="6"/>
              <w:spacing w:before="79" w:line="260" w:lineRule="exact"/>
              <w:ind w:left="195"/>
            </w:pPr>
            <w:r>
              <w:rPr>
                <w:spacing w:val="-3"/>
                <w:position w:val="5"/>
              </w:rPr>
              <w:t>上年</w:t>
            </w:r>
          </w:p>
          <w:p w14:paraId="1C11460D">
            <w:pPr>
              <w:pStyle w:val="6"/>
              <w:spacing w:line="190" w:lineRule="auto"/>
              <w:ind w:left="195"/>
            </w:pPr>
            <w:r>
              <w:rPr>
                <w:spacing w:val="5"/>
              </w:rPr>
              <w:t>同期</w:t>
            </w:r>
          </w:p>
        </w:tc>
        <w:tc>
          <w:tcPr>
            <w:tcW w:w="760" w:type="dxa"/>
            <w:vAlign w:val="top"/>
          </w:tcPr>
          <w:p w14:paraId="69733168">
            <w:pPr>
              <w:pStyle w:val="6"/>
              <w:spacing w:before="154" w:line="184" w:lineRule="auto"/>
              <w:ind w:left="284"/>
            </w:pPr>
            <w:r>
              <w:rPr>
                <w:spacing w:val="-11"/>
              </w:rPr>
              <w:t>1-</w:t>
            </w:r>
          </w:p>
          <w:p w14:paraId="17D314D3">
            <w:pPr>
              <w:pStyle w:val="6"/>
              <w:spacing w:before="4" w:line="192" w:lineRule="auto"/>
              <w:ind w:left="195"/>
            </w:pPr>
            <w:r>
              <w:rPr>
                <w:spacing w:val="23"/>
              </w:rPr>
              <w:t>本月</w:t>
            </w:r>
          </w:p>
        </w:tc>
        <w:tc>
          <w:tcPr>
            <w:tcW w:w="760" w:type="dxa"/>
            <w:vAlign w:val="top"/>
          </w:tcPr>
          <w:p w14:paraId="0F0DC5E7">
            <w:pPr>
              <w:pStyle w:val="6"/>
              <w:spacing w:before="69" w:line="270" w:lineRule="exact"/>
              <w:ind w:left="195"/>
            </w:pPr>
            <w:r>
              <w:rPr>
                <w:spacing w:val="-3"/>
                <w:position w:val="6"/>
              </w:rPr>
              <w:t>上年</w:t>
            </w:r>
          </w:p>
          <w:p w14:paraId="1AFE659C">
            <w:pPr>
              <w:pStyle w:val="6"/>
              <w:spacing w:line="190" w:lineRule="auto"/>
              <w:ind w:left="195"/>
            </w:pPr>
            <w:r>
              <w:rPr>
                <w:spacing w:val="5"/>
              </w:rPr>
              <w:t>同期</w:t>
            </w:r>
          </w:p>
        </w:tc>
        <w:tc>
          <w:tcPr>
            <w:tcW w:w="910" w:type="dxa"/>
            <w:vMerge w:val="continue"/>
            <w:tcBorders>
              <w:top w:val="nil"/>
            </w:tcBorders>
            <w:vAlign w:val="top"/>
          </w:tcPr>
          <w:p w14:paraId="521B4F68">
            <w:pPr>
              <w:rPr>
                <w:rFonts w:ascii="Arial"/>
                <w:sz w:val="21"/>
              </w:rPr>
            </w:pPr>
          </w:p>
        </w:tc>
        <w:tc>
          <w:tcPr>
            <w:tcW w:w="940" w:type="dxa"/>
            <w:vMerge w:val="continue"/>
            <w:tcBorders>
              <w:top w:val="nil"/>
            </w:tcBorders>
            <w:vAlign w:val="top"/>
          </w:tcPr>
          <w:p w14:paraId="38B6EAFF">
            <w:pPr>
              <w:rPr>
                <w:rFonts w:ascii="Arial"/>
                <w:sz w:val="21"/>
              </w:rPr>
            </w:pPr>
          </w:p>
        </w:tc>
        <w:tc>
          <w:tcPr>
            <w:tcW w:w="930" w:type="dxa"/>
            <w:vMerge w:val="continue"/>
            <w:tcBorders>
              <w:top w:val="nil"/>
              <w:right w:val="nil"/>
            </w:tcBorders>
            <w:vAlign w:val="top"/>
          </w:tcPr>
          <w:p w14:paraId="4DF4F47C">
            <w:pPr>
              <w:rPr>
                <w:rFonts w:ascii="Arial"/>
                <w:sz w:val="21"/>
              </w:rPr>
            </w:pPr>
          </w:p>
        </w:tc>
      </w:tr>
      <w:tr w14:paraId="298483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8" w:hRule="atLeast"/>
        </w:trPr>
        <w:tc>
          <w:tcPr>
            <w:tcW w:w="2950" w:type="dxa"/>
            <w:tcBorders>
              <w:left w:val="nil"/>
            </w:tcBorders>
            <w:vAlign w:val="top"/>
          </w:tcPr>
          <w:p w14:paraId="28465541">
            <w:pPr>
              <w:pStyle w:val="6"/>
              <w:spacing w:before="35" w:line="187" w:lineRule="auto"/>
              <w:ind w:left="1380"/>
            </w:pPr>
            <w:r>
              <w:t>甲</w:t>
            </w:r>
          </w:p>
        </w:tc>
        <w:tc>
          <w:tcPr>
            <w:tcW w:w="650" w:type="dxa"/>
            <w:vAlign w:val="top"/>
          </w:tcPr>
          <w:p w14:paraId="5E927EF1">
            <w:pPr>
              <w:pStyle w:val="6"/>
              <w:spacing w:before="47" w:line="175" w:lineRule="auto"/>
              <w:ind w:left="225"/>
            </w:pPr>
            <w:r>
              <w:t>乙</w:t>
            </w:r>
          </w:p>
        </w:tc>
        <w:tc>
          <w:tcPr>
            <w:tcW w:w="760" w:type="dxa"/>
            <w:vAlign w:val="top"/>
          </w:tcPr>
          <w:p w14:paraId="690FAC69">
            <w:pPr>
              <w:pStyle w:val="6"/>
              <w:spacing w:before="78" w:line="139" w:lineRule="exact"/>
              <w:ind w:left="325"/>
            </w:pPr>
            <w:r>
              <w:rPr>
                <w:position w:val="-2"/>
              </w:rPr>
              <w:t>1</w:t>
            </w:r>
          </w:p>
        </w:tc>
        <w:tc>
          <w:tcPr>
            <w:tcW w:w="760" w:type="dxa"/>
            <w:vAlign w:val="top"/>
          </w:tcPr>
          <w:p w14:paraId="37591932">
            <w:pPr>
              <w:pStyle w:val="6"/>
              <w:spacing w:before="79" w:line="138" w:lineRule="exact"/>
              <w:ind w:left="325"/>
            </w:pPr>
            <w:r>
              <w:rPr>
                <w:position w:val="-2"/>
              </w:rPr>
              <w:t>2</w:t>
            </w:r>
          </w:p>
        </w:tc>
        <w:tc>
          <w:tcPr>
            <w:tcW w:w="760" w:type="dxa"/>
            <w:vAlign w:val="top"/>
          </w:tcPr>
          <w:p w14:paraId="25C34B7F">
            <w:pPr>
              <w:pStyle w:val="6"/>
              <w:spacing w:before="79" w:line="138" w:lineRule="exact"/>
              <w:ind w:left="325"/>
            </w:pPr>
            <w:r>
              <w:rPr>
                <w:position w:val="-2"/>
              </w:rPr>
              <w:t>3</w:t>
            </w:r>
          </w:p>
        </w:tc>
        <w:tc>
          <w:tcPr>
            <w:tcW w:w="760" w:type="dxa"/>
            <w:vAlign w:val="top"/>
          </w:tcPr>
          <w:p w14:paraId="60DDE783">
            <w:pPr>
              <w:pStyle w:val="6"/>
              <w:spacing w:before="79" w:line="138" w:lineRule="exact"/>
              <w:ind w:left="324"/>
            </w:pPr>
            <w:r>
              <w:rPr>
                <w:position w:val="-2"/>
              </w:rPr>
              <w:t>4</w:t>
            </w:r>
          </w:p>
        </w:tc>
        <w:tc>
          <w:tcPr>
            <w:tcW w:w="910" w:type="dxa"/>
            <w:vAlign w:val="top"/>
          </w:tcPr>
          <w:p w14:paraId="3529B0DC">
            <w:pPr>
              <w:pStyle w:val="6"/>
              <w:spacing w:before="80" w:line="137" w:lineRule="exact"/>
              <w:ind w:left="405"/>
            </w:pPr>
            <w:r>
              <w:rPr>
                <w:position w:val="-2"/>
              </w:rPr>
              <w:t>5</w:t>
            </w:r>
          </w:p>
        </w:tc>
        <w:tc>
          <w:tcPr>
            <w:tcW w:w="940" w:type="dxa"/>
            <w:vAlign w:val="top"/>
          </w:tcPr>
          <w:p w14:paraId="1D9181E4">
            <w:pPr>
              <w:pStyle w:val="6"/>
              <w:spacing w:before="79" w:line="138" w:lineRule="exact"/>
              <w:ind w:left="415"/>
            </w:pPr>
            <w:r>
              <w:rPr>
                <w:position w:val="-2"/>
              </w:rPr>
              <w:t>6</w:t>
            </w:r>
          </w:p>
        </w:tc>
        <w:tc>
          <w:tcPr>
            <w:tcW w:w="930" w:type="dxa"/>
            <w:tcBorders>
              <w:right w:val="nil"/>
            </w:tcBorders>
            <w:vAlign w:val="top"/>
          </w:tcPr>
          <w:p w14:paraId="4CC4A27D">
            <w:pPr>
              <w:pStyle w:val="6"/>
              <w:spacing w:before="80" w:line="137" w:lineRule="exact"/>
              <w:ind w:left="414"/>
            </w:pPr>
            <w:r>
              <w:rPr>
                <w:position w:val="-2"/>
              </w:rPr>
              <w:t>7</w:t>
            </w:r>
          </w:p>
        </w:tc>
      </w:tr>
      <w:tr w14:paraId="7B543C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2950" w:type="dxa"/>
            <w:tcBorders>
              <w:left w:val="nil"/>
            </w:tcBorders>
            <w:vAlign w:val="top"/>
          </w:tcPr>
          <w:p w14:paraId="071283CC">
            <w:pPr>
              <w:rPr>
                <w:rFonts w:ascii="Arial"/>
                <w:sz w:val="21"/>
              </w:rPr>
            </w:pPr>
          </w:p>
        </w:tc>
        <w:tc>
          <w:tcPr>
            <w:tcW w:w="650" w:type="dxa"/>
            <w:vAlign w:val="top"/>
          </w:tcPr>
          <w:p w14:paraId="1BD0408C">
            <w:pPr>
              <w:rPr>
                <w:rFonts w:ascii="Arial"/>
                <w:sz w:val="21"/>
              </w:rPr>
            </w:pPr>
          </w:p>
        </w:tc>
        <w:tc>
          <w:tcPr>
            <w:tcW w:w="5820" w:type="dxa"/>
            <w:gridSpan w:val="7"/>
            <w:tcBorders>
              <w:right w:val="nil"/>
            </w:tcBorders>
            <w:vAlign w:val="top"/>
          </w:tcPr>
          <w:p w14:paraId="7691172D">
            <w:pPr>
              <w:rPr>
                <w:rFonts w:ascii="Arial"/>
                <w:sz w:val="21"/>
              </w:rPr>
            </w:pPr>
          </w:p>
        </w:tc>
      </w:tr>
    </w:tbl>
    <w:p w14:paraId="30F94DA6">
      <w:pPr>
        <w:spacing w:before="75" w:line="227" w:lineRule="auto"/>
        <w:ind w:left="20"/>
        <w:rPr>
          <w:rFonts w:ascii="宋体" w:hAnsi="宋体" w:eastAsia="宋体" w:cs="宋体"/>
          <w:sz w:val="19"/>
          <w:szCs w:val="19"/>
        </w:rPr>
      </w:pPr>
      <w:r>
        <w:rPr>
          <w:rFonts w:ascii="宋体" w:hAnsi="宋体" w:eastAsia="宋体" w:cs="宋体"/>
          <w:spacing w:val="-6"/>
          <w:sz w:val="19"/>
          <w:szCs w:val="19"/>
        </w:rPr>
        <w:t xml:space="preserve">单位负责人：                   填表人：              </w:t>
      </w:r>
      <w:r>
        <w:rPr>
          <w:rFonts w:ascii="宋体" w:hAnsi="宋体" w:eastAsia="宋体" w:cs="宋体"/>
          <w:spacing w:val="-6"/>
          <w:position w:val="3"/>
          <w:sz w:val="19"/>
          <w:szCs w:val="19"/>
        </w:rPr>
        <w:t xml:space="preserve">联系电话                 </w:t>
      </w:r>
      <w:r>
        <w:rPr>
          <w:rFonts w:ascii="宋体" w:hAnsi="宋体" w:eastAsia="宋体" w:cs="宋体"/>
          <w:spacing w:val="-6"/>
          <w:position w:val="-1"/>
          <w:sz w:val="19"/>
          <w:szCs w:val="19"/>
        </w:rPr>
        <w:t>报出日期：20   年</w:t>
      </w:r>
      <w:r>
        <w:rPr>
          <w:rFonts w:ascii="宋体" w:hAnsi="宋体" w:eastAsia="宋体" w:cs="宋体"/>
          <w:spacing w:val="16"/>
          <w:position w:val="-1"/>
          <w:sz w:val="19"/>
          <w:szCs w:val="19"/>
        </w:rPr>
        <w:t xml:space="preserve">  </w:t>
      </w:r>
      <w:r>
        <w:rPr>
          <w:rFonts w:ascii="宋体" w:hAnsi="宋体" w:eastAsia="宋体" w:cs="宋体"/>
          <w:spacing w:val="-6"/>
          <w:position w:val="-1"/>
          <w:sz w:val="19"/>
          <w:szCs w:val="19"/>
        </w:rPr>
        <w:t>月   日</w:t>
      </w:r>
    </w:p>
    <w:p w14:paraId="6FAC354C">
      <w:pPr>
        <w:spacing w:before="263" w:line="219" w:lineRule="auto"/>
        <w:rPr>
          <w:rFonts w:ascii="宋体" w:hAnsi="宋体" w:eastAsia="宋体" w:cs="宋体"/>
          <w:sz w:val="18"/>
          <w:szCs w:val="18"/>
        </w:rPr>
      </w:pPr>
      <w:r>
        <w:rPr>
          <w:rFonts w:ascii="宋体" w:hAnsi="宋体" w:eastAsia="宋体" w:cs="宋体"/>
          <w:spacing w:val="-10"/>
          <w:sz w:val="18"/>
          <w:szCs w:val="18"/>
        </w:rPr>
        <w:t>说明：1.本表由国网福建省电力有限公司收集相关数据。</w:t>
      </w:r>
    </w:p>
    <w:p w14:paraId="5C5B27FE">
      <w:pPr>
        <w:spacing w:before="26" w:line="219" w:lineRule="auto"/>
        <w:ind w:left="539"/>
        <w:rPr>
          <w:rFonts w:ascii="宋体" w:hAnsi="宋体" w:eastAsia="宋体" w:cs="宋体"/>
          <w:sz w:val="18"/>
          <w:szCs w:val="18"/>
        </w:rPr>
      </w:pPr>
      <w:r>
        <w:rPr>
          <w:rFonts w:ascii="宋体" w:hAnsi="宋体" w:eastAsia="宋体" w:cs="宋体"/>
          <w:spacing w:val="-3"/>
          <w:sz w:val="18"/>
          <w:szCs w:val="18"/>
        </w:rPr>
        <w:t>2.统计范围为辖区内所有电力消费单位和居民家庭。</w:t>
      </w:r>
    </w:p>
    <w:p w14:paraId="1E963BCE">
      <w:pPr>
        <w:spacing w:before="37" w:line="233" w:lineRule="auto"/>
        <w:ind w:left="2148" w:right="57" w:hanging="1609"/>
        <w:rPr>
          <w:rFonts w:ascii="宋体" w:hAnsi="宋体" w:eastAsia="宋体" w:cs="宋体"/>
          <w:sz w:val="18"/>
          <w:szCs w:val="18"/>
        </w:rPr>
      </w:pPr>
      <w:r>
        <w:rPr>
          <w:rFonts w:ascii="宋体" w:hAnsi="宋体" w:eastAsia="宋体" w:cs="宋体"/>
          <w:spacing w:val="11"/>
          <w:sz w:val="18"/>
          <w:szCs w:val="18"/>
        </w:rPr>
        <w:t>3.报送日期及方式：1、2、6、7、10月</w:t>
      </w:r>
      <w:r>
        <w:rPr>
          <w:rFonts w:ascii="宋体" w:hAnsi="宋体" w:eastAsia="宋体" w:cs="宋体"/>
          <w:spacing w:val="10"/>
          <w:sz w:val="18"/>
          <w:szCs w:val="18"/>
        </w:rPr>
        <w:t>月后7日，3、4、8、11、12月月后8日，5月月后9日，9月月后10日</w:t>
      </w:r>
      <w:r>
        <w:rPr>
          <w:rFonts w:ascii="宋体" w:hAnsi="宋体" w:eastAsia="宋体" w:cs="宋体"/>
          <w:sz w:val="18"/>
          <w:szCs w:val="18"/>
        </w:rPr>
        <w:t xml:space="preserve"> </w:t>
      </w:r>
      <w:r>
        <w:rPr>
          <w:rFonts w:ascii="宋体" w:hAnsi="宋体" w:eastAsia="宋体" w:cs="宋体"/>
          <w:spacing w:val="-4"/>
          <w:sz w:val="18"/>
          <w:szCs w:val="18"/>
        </w:rPr>
        <w:t>12:00前网上填报。</w:t>
      </w:r>
    </w:p>
    <w:p w14:paraId="56776D00">
      <w:pPr>
        <w:spacing w:before="16" w:line="184" w:lineRule="auto"/>
        <w:ind w:left="539"/>
        <w:rPr>
          <w:rFonts w:ascii="宋体" w:hAnsi="宋体" w:eastAsia="宋体" w:cs="宋体"/>
          <w:sz w:val="18"/>
          <w:szCs w:val="18"/>
        </w:rPr>
      </w:pPr>
      <w:r>
        <w:rPr>
          <w:rFonts w:ascii="宋体" w:hAnsi="宋体" w:eastAsia="宋体" w:cs="宋体"/>
          <w:spacing w:val="-3"/>
          <w:sz w:val="18"/>
          <w:szCs w:val="18"/>
        </w:rPr>
        <w:t>4.本表甲栏下按《全社会用电量情况目录》填报。</w:t>
      </w:r>
    </w:p>
    <w:p w14:paraId="0BA81CD6">
      <w:pPr>
        <w:spacing w:line="184" w:lineRule="auto"/>
        <w:rPr>
          <w:rFonts w:ascii="宋体" w:hAnsi="宋体" w:eastAsia="宋体" w:cs="宋体"/>
          <w:sz w:val="18"/>
          <w:szCs w:val="18"/>
        </w:rPr>
        <w:sectPr>
          <w:type w:val="continuous"/>
          <w:pgSz w:w="11910" w:h="16840"/>
          <w:pgMar w:top="1055" w:right="1199" w:bottom="0" w:left="1239" w:header="876" w:footer="0" w:gutter="0"/>
          <w:cols w:equalWidth="0" w:num="1">
            <w:col w:w="9471"/>
          </w:cols>
        </w:sectPr>
      </w:pPr>
    </w:p>
    <w:p w14:paraId="3293D70E">
      <w:pPr>
        <w:pStyle w:val="2"/>
        <w:spacing w:line="318" w:lineRule="auto"/>
      </w:pPr>
      <w:r>
        <w:pict>
          <v:rect id="_x0000_s1031" o:spid="_x0000_s1031" o:spt="1" style="position:absolute;left:0pt;margin-left:61.35pt;margin-top:52.35pt;height:0.55pt;width:18.2pt;mso-position-horizontal-relative:page;mso-position-vertical-relative:page;z-index:251686912;mso-width-relative:page;mso-height-relative:page;" fillcolor="#000000" filled="t" stroked="f" coordsize="21600,21600" o:allowincell="f">
            <v:path/>
            <v:fill on="t" focussize="0,0"/>
            <v:stroke on="f"/>
            <v:imagedata o:title=""/>
            <o:lock v:ext="edit"/>
            <v:textbox>
              <w:txbxContent>
                <w:p w14:paraId="1E945A14"/>
              </w:txbxContent>
            </v:textbox>
          </v:rect>
        </w:pict>
      </w:r>
    </w:p>
    <w:p w14:paraId="20E1102B">
      <w:pPr>
        <w:pStyle w:val="2"/>
        <w:spacing w:line="319" w:lineRule="auto"/>
      </w:pPr>
    </w:p>
    <w:p w14:paraId="7EEE3FAB">
      <w:pPr>
        <w:pStyle w:val="2"/>
        <w:spacing w:line="319" w:lineRule="auto"/>
      </w:pPr>
    </w:p>
    <w:p w14:paraId="34118F7B">
      <w:pPr>
        <w:spacing w:before="91" w:line="222" w:lineRule="auto"/>
        <w:ind w:left="3909"/>
        <w:rPr>
          <w:rFonts w:ascii="黑体" w:hAnsi="黑体" w:eastAsia="黑体" w:cs="黑体"/>
          <w:sz w:val="28"/>
          <w:szCs w:val="28"/>
        </w:rPr>
      </w:pPr>
      <w:r>
        <w:rPr>
          <w:rFonts w:ascii="黑体" w:hAnsi="黑体" w:eastAsia="黑体" w:cs="黑体"/>
          <w:spacing w:val="-26"/>
          <w:sz w:val="28"/>
          <w:szCs w:val="28"/>
        </w:rPr>
        <w:t>四</w:t>
      </w:r>
      <w:r>
        <w:rPr>
          <w:rFonts w:ascii="黑体" w:hAnsi="黑体" w:eastAsia="黑体" w:cs="黑体"/>
          <w:spacing w:val="22"/>
          <w:sz w:val="28"/>
          <w:szCs w:val="28"/>
        </w:rPr>
        <w:t xml:space="preserve"> </w:t>
      </w:r>
      <w:r>
        <w:rPr>
          <w:rFonts w:ascii="黑体" w:hAnsi="黑体" w:eastAsia="黑体" w:cs="黑体"/>
          <w:spacing w:val="-26"/>
          <w:sz w:val="28"/>
          <w:szCs w:val="28"/>
        </w:rPr>
        <w:t>、填</w:t>
      </w:r>
      <w:r>
        <w:rPr>
          <w:rFonts w:ascii="黑体" w:hAnsi="黑体" w:eastAsia="黑体" w:cs="黑体"/>
          <w:spacing w:val="84"/>
          <w:sz w:val="28"/>
          <w:szCs w:val="28"/>
        </w:rPr>
        <w:t xml:space="preserve"> </w:t>
      </w:r>
      <w:r>
        <w:rPr>
          <w:rFonts w:ascii="黑体" w:hAnsi="黑体" w:eastAsia="黑体" w:cs="黑体"/>
          <w:spacing w:val="-26"/>
          <w:sz w:val="28"/>
          <w:szCs w:val="28"/>
        </w:rPr>
        <w:t>报  目</w:t>
      </w:r>
      <w:r>
        <w:rPr>
          <w:rFonts w:ascii="黑体" w:hAnsi="黑体" w:eastAsia="黑体" w:cs="黑体"/>
          <w:spacing w:val="88"/>
          <w:sz w:val="28"/>
          <w:szCs w:val="28"/>
        </w:rPr>
        <w:t xml:space="preserve"> </w:t>
      </w:r>
      <w:r>
        <w:rPr>
          <w:rFonts w:ascii="黑体" w:hAnsi="黑体" w:eastAsia="黑体" w:cs="黑体"/>
          <w:spacing w:val="-26"/>
          <w:sz w:val="28"/>
          <w:szCs w:val="28"/>
        </w:rPr>
        <w:t>录</w:t>
      </w:r>
    </w:p>
    <w:p w14:paraId="780C2AAC">
      <w:pPr>
        <w:spacing w:before="312" w:line="221" w:lineRule="auto"/>
        <w:ind w:left="1139"/>
        <w:rPr>
          <w:rFonts w:ascii="黑体" w:hAnsi="黑体" w:eastAsia="黑体" w:cs="黑体"/>
          <w:sz w:val="28"/>
          <w:szCs w:val="28"/>
        </w:rPr>
      </w:pPr>
      <w:r>
        <w:rPr>
          <w:rFonts w:ascii="黑体" w:hAnsi="黑体" w:eastAsia="黑体" w:cs="黑体"/>
          <w:spacing w:val="3"/>
          <w:sz w:val="28"/>
          <w:szCs w:val="28"/>
        </w:rPr>
        <w:t>(一)能源购进、消费与库存和能源加工转换与回收利用目录</w:t>
      </w:r>
    </w:p>
    <w:p w14:paraId="3E76C69E">
      <w:pPr>
        <w:pStyle w:val="2"/>
        <w:spacing w:line="256" w:lineRule="auto"/>
      </w:pPr>
    </w:p>
    <w:p w14:paraId="34206EA4">
      <w:pPr>
        <w:pStyle w:val="2"/>
        <w:spacing w:line="256" w:lineRule="auto"/>
      </w:pPr>
    </w:p>
    <w:p w14:paraId="593178D5">
      <w:pPr>
        <w:pStyle w:val="2"/>
        <w:spacing w:line="256" w:lineRule="auto"/>
      </w:pPr>
    </w:p>
    <w:p w14:paraId="256EBF18">
      <w:pPr>
        <w:spacing w:before="91" w:line="223" w:lineRule="auto"/>
        <w:ind w:left="3493"/>
        <w:rPr>
          <w:rFonts w:ascii="黑体" w:hAnsi="黑体" w:eastAsia="黑体" w:cs="黑体"/>
          <w:sz w:val="28"/>
          <w:szCs w:val="28"/>
        </w:rPr>
      </w:pPr>
      <w:r>
        <w:rPr>
          <w:rFonts w:ascii="黑体" w:hAnsi="黑体" w:eastAsia="黑体" w:cs="黑体"/>
          <w:b/>
          <w:bCs/>
          <w:spacing w:val="-6"/>
          <w:sz w:val="28"/>
          <w:szCs w:val="28"/>
        </w:rPr>
        <w:t>(205-1</w:t>
      </w:r>
      <w:r>
        <w:rPr>
          <w:rFonts w:ascii="黑体" w:hAnsi="黑体" w:eastAsia="黑体" w:cs="黑体"/>
          <w:spacing w:val="-57"/>
          <w:sz w:val="28"/>
          <w:szCs w:val="28"/>
        </w:rPr>
        <w:t xml:space="preserve"> </w:t>
      </w:r>
      <w:r>
        <w:rPr>
          <w:rFonts w:ascii="黑体" w:hAnsi="黑体" w:eastAsia="黑体" w:cs="黑体"/>
          <w:b/>
          <w:bCs/>
          <w:spacing w:val="-6"/>
          <w:sz w:val="28"/>
          <w:szCs w:val="28"/>
        </w:rPr>
        <w:t>表、205-2表)</w:t>
      </w:r>
    </w:p>
    <w:p w14:paraId="6314D228">
      <w:pPr>
        <w:spacing w:before="7"/>
      </w:pPr>
    </w:p>
    <w:tbl>
      <w:tblPr>
        <w:tblStyle w:val="5"/>
        <w:tblW w:w="9480"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2390"/>
        <w:gridCol w:w="1000"/>
        <w:gridCol w:w="710"/>
        <w:gridCol w:w="2840"/>
        <w:gridCol w:w="2540"/>
      </w:tblGrid>
      <w:tr w14:paraId="0363FB3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45" w:hRule="atLeast"/>
        </w:trPr>
        <w:tc>
          <w:tcPr>
            <w:tcW w:w="2390" w:type="dxa"/>
            <w:tcBorders>
              <w:top w:val="single" w:color="000000" w:sz="4" w:space="0"/>
              <w:bottom w:val="single" w:color="000000" w:sz="4" w:space="0"/>
              <w:right w:val="single" w:color="000000" w:sz="4" w:space="0"/>
            </w:tcBorders>
            <w:vAlign w:val="top"/>
          </w:tcPr>
          <w:p w14:paraId="0CE87682">
            <w:pPr>
              <w:pStyle w:val="6"/>
              <w:spacing w:before="133" w:line="221" w:lineRule="auto"/>
              <w:ind w:left="839"/>
            </w:pPr>
            <w:r>
              <w:rPr>
                <w:spacing w:val="2"/>
              </w:rPr>
              <w:t>能源名称</w:t>
            </w:r>
          </w:p>
        </w:tc>
        <w:tc>
          <w:tcPr>
            <w:tcW w:w="1000" w:type="dxa"/>
            <w:tcBorders>
              <w:top w:val="single" w:color="000000" w:sz="4" w:space="0"/>
              <w:left w:val="single" w:color="000000" w:sz="4" w:space="0"/>
              <w:bottom w:val="single" w:color="000000" w:sz="4" w:space="0"/>
              <w:right w:val="single" w:color="000000" w:sz="4" w:space="0"/>
            </w:tcBorders>
            <w:vAlign w:val="top"/>
          </w:tcPr>
          <w:p w14:paraId="327E570F">
            <w:pPr>
              <w:pStyle w:val="6"/>
              <w:spacing w:before="132" w:line="220" w:lineRule="auto"/>
              <w:ind w:left="134"/>
            </w:pPr>
            <w:r>
              <w:rPr>
                <w:spacing w:val="-2"/>
              </w:rPr>
              <w:t>计量单位</w:t>
            </w:r>
          </w:p>
        </w:tc>
        <w:tc>
          <w:tcPr>
            <w:tcW w:w="710" w:type="dxa"/>
            <w:tcBorders>
              <w:top w:val="single" w:color="000000" w:sz="4" w:space="0"/>
              <w:left w:val="single" w:color="000000" w:sz="4" w:space="0"/>
              <w:bottom w:val="single" w:color="000000" w:sz="4" w:space="0"/>
              <w:right w:val="single" w:color="000000" w:sz="4" w:space="0"/>
            </w:tcBorders>
            <w:vAlign w:val="top"/>
          </w:tcPr>
          <w:p w14:paraId="71E4F06E">
            <w:pPr>
              <w:pStyle w:val="6"/>
              <w:spacing w:before="132" w:line="219" w:lineRule="auto"/>
              <w:ind w:left="164"/>
            </w:pPr>
            <w:r>
              <w:rPr>
                <w:spacing w:val="-2"/>
              </w:rPr>
              <w:t>代码</w:t>
            </w:r>
          </w:p>
        </w:tc>
        <w:tc>
          <w:tcPr>
            <w:tcW w:w="2840" w:type="dxa"/>
            <w:tcBorders>
              <w:top w:val="single" w:color="000000" w:sz="4" w:space="0"/>
              <w:left w:val="single" w:color="000000" w:sz="4" w:space="0"/>
              <w:bottom w:val="single" w:color="000000" w:sz="4" w:space="0"/>
              <w:right w:val="single" w:color="000000" w:sz="4" w:space="0"/>
            </w:tcBorders>
            <w:vAlign w:val="top"/>
          </w:tcPr>
          <w:p w14:paraId="4EC4624D">
            <w:pPr>
              <w:pStyle w:val="6"/>
              <w:spacing w:before="132" w:line="219" w:lineRule="auto"/>
              <w:ind w:left="704"/>
            </w:pPr>
            <w:r>
              <w:rPr>
                <w:spacing w:val="-1"/>
              </w:rPr>
              <w:t>参考折标准煤系数</w:t>
            </w:r>
          </w:p>
        </w:tc>
        <w:tc>
          <w:tcPr>
            <w:tcW w:w="2540" w:type="dxa"/>
            <w:tcBorders>
              <w:top w:val="single" w:color="000000" w:sz="4" w:space="0"/>
              <w:left w:val="single" w:color="000000" w:sz="4" w:space="0"/>
              <w:bottom w:val="single" w:color="000000" w:sz="4" w:space="0"/>
            </w:tcBorders>
            <w:vAlign w:val="top"/>
          </w:tcPr>
          <w:p w14:paraId="763B1FEB">
            <w:pPr>
              <w:pStyle w:val="6"/>
              <w:spacing w:before="132" w:line="219" w:lineRule="auto"/>
              <w:ind w:left="834"/>
            </w:pPr>
            <w:r>
              <w:rPr>
                <w:spacing w:val="-2"/>
              </w:rPr>
              <w:t>参考发热量</w:t>
            </w:r>
          </w:p>
        </w:tc>
      </w:tr>
      <w:tr w14:paraId="0C43601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65" w:hRule="atLeast"/>
        </w:trPr>
        <w:tc>
          <w:tcPr>
            <w:tcW w:w="2390" w:type="dxa"/>
            <w:tcBorders>
              <w:top w:val="single" w:color="000000" w:sz="4" w:space="0"/>
              <w:right w:val="single" w:color="000000" w:sz="4" w:space="0"/>
            </w:tcBorders>
            <w:vAlign w:val="top"/>
          </w:tcPr>
          <w:p w14:paraId="79A8AB6C">
            <w:pPr>
              <w:pStyle w:val="6"/>
              <w:spacing w:before="48" w:line="212" w:lineRule="auto"/>
              <w:ind w:left="99"/>
            </w:pPr>
            <w:r>
              <w:rPr>
                <w:spacing w:val="-3"/>
              </w:rPr>
              <w:t>原煤</w:t>
            </w:r>
          </w:p>
        </w:tc>
        <w:tc>
          <w:tcPr>
            <w:tcW w:w="1000" w:type="dxa"/>
            <w:tcBorders>
              <w:top w:val="single" w:color="000000" w:sz="4" w:space="0"/>
              <w:left w:val="single" w:color="000000" w:sz="4" w:space="0"/>
              <w:right w:val="single" w:color="000000" w:sz="4" w:space="0"/>
            </w:tcBorders>
            <w:textDirection w:val="tbRlV"/>
            <w:vAlign w:val="top"/>
          </w:tcPr>
          <w:p w14:paraId="4905C701">
            <w:pPr>
              <w:spacing w:line="334" w:lineRule="auto"/>
              <w:rPr>
                <w:rFonts w:ascii="Arial"/>
                <w:sz w:val="21"/>
              </w:rPr>
            </w:pPr>
          </w:p>
          <w:p w14:paraId="62F41A1D">
            <w:pPr>
              <w:pStyle w:val="6"/>
              <w:spacing w:before="60" w:line="225" w:lineRule="auto"/>
              <w:ind w:left="40"/>
            </w:pPr>
            <w:r>
              <w:t>吨</w:t>
            </w:r>
          </w:p>
        </w:tc>
        <w:tc>
          <w:tcPr>
            <w:tcW w:w="710" w:type="dxa"/>
            <w:tcBorders>
              <w:top w:val="single" w:color="000000" w:sz="4" w:space="0"/>
              <w:left w:val="single" w:color="000000" w:sz="4" w:space="0"/>
              <w:right w:val="single" w:color="000000" w:sz="4" w:space="0"/>
            </w:tcBorders>
            <w:vAlign w:val="top"/>
          </w:tcPr>
          <w:p w14:paraId="7D1D4A7A">
            <w:pPr>
              <w:pStyle w:val="6"/>
              <w:spacing w:before="103" w:line="151" w:lineRule="exact"/>
              <w:ind w:left="254"/>
            </w:pPr>
            <w:r>
              <w:rPr>
                <w:spacing w:val="-3"/>
                <w:position w:val="-2"/>
              </w:rPr>
              <w:t>01</w:t>
            </w:r>
          </w:p>
        </w:tc>
        <w:tc>
          <w:tcPr>
            <w:tcW w:w="2840" w:type="dxa"/>
            <w:tcBorders>
              <w:top w:val="single" w:color="000000" w:sz="4" w:space="0"/>
              <w:left w:val="single" w:color="000000" w:sz="4" w:space="0"/>
              <w:right w:val="single" w:color="000000" w:sz="4" w:space="0"/>
            </w:tcBorders>
            <w:vAlign w:val="top"/>
          </w:tcPr>
          <w:p w14:paraId="3E2E396A">
            <w:pPr>
              <w:rPr>
                <w:rFonts w:ascii="Arial"/>
                <w:sz w:val="21"/>
              </w:rPr>
            </w:pPr>
          </w:p>
        </w:tc>
        <w:tc>
          <w:tcPr>
            <w:tcW w:w="2540" w:type="dxa"/>
            <w:tcBorders>
              <w:top w:val="single" w:color="000000" w:sz="4" w:space="0"/>
              <w:left w:val="single" w:color="000000" w:sz="4" w:space="0"/>
            </w:tcBorders>
            <w:vAlign w:val="top"/>
          </w:tcPr>
          <w:p w14:paraId="0555F464">
            <w:pPr>
              <w:rPr>
                <w:rFonts w:ascii="Arial"/>
                <w:sz w:val="21"/>
              </w:rPr>
            </w:pPr>
          </w:p>
        </w:tc>
      </w:tr>
      <w:tr w14:paraId="1AD9E6C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66" w:hRule="atLeast"/>
        </w:trPr>
        <w:tc>
          <w:tcPr>
            <w:tcW w:w="2390" w:type="dxa"/>
            <w:tcBorders>
              <w:right w:val="single" w:color="000000" w:sz="4" w:space="0"/>
            </w:tcBorders>
            <w:vAlign w:val="top"/>
          </w:tcPr>
          <w:p w14:paraId="73188710">
            <w:pPr>
              <w:pStyle w:val="6"/>
              <w:spacing w:before="42" w:line="219" w:lineRule="auto"/>
              <w:ind w:left="289"/>
            </w:pPr>
            <w:r>
              <w:rPr>
                <w:spacing w:val="-2"/>
              </w:rPr>
              <w:t>无烟煤</w:t>
            </w:r>
          </w:p>
        </w:tc>
        <w:tc>
          <w:tcPr>
            <w:tcW w:w="1000" w:type="dxa"/>
            <w:tcBorders>
              <w:left w:val="single" w:color="000000" w:sz="4" w:space="0"/>
              <w:right w:val="single" w:color="000000" w:sz="4" w:space="0"/>
            </w:tcBorders>
            <w:textDirection w:val="tbRlV"/>
            <w:vAlign w:val="top"/>
          </w:tcPr>
          <w:p w14:paraId="1BD483DE">
            <w:pPr>
              <w:spacing w:line="334" w:lineRule="auto"/>
              <w:rPr>
                <w:rFonts w:ascii="Arial"/>
                <w:sz w:val="21"/>
              </w:rPr>
            </w:pPr>
          </w:p>
          <w:p w14:paraId="071DBD7E">
            <w:pPr>
              <w:pStyle w:val="6"/>
              <w:spacing w:before="60" w:line="225" w:lineRule="auto"/>
              <w:ind w:left="37"/>
            </w:pPr>
            <w:r>
              <w:t>吨</w:t>
            </w:r>
          </w:p>
        </w:tc>
        <w:tc>
          <w:tcPr>
            <w:tcW w:w="710" w:type="dxa"/>
            <w:tcBorders>
              <w:left w:val="single" w:color="000000" w:sz="4" w:space="0"/>
              <w:right w:val="single" w:color="000000" w:sz="4" w:space="0"/>
            </w:tcBorders>
            <w:vAlign w:val="top"/>
          </w:tcPr>
          <w:p w14:paraId="6A7E21D5">
            <w:pPr>
              <w:pStyle w:val="6"/>
              <w:spacing w:before="108" w:line="147" w:lineRule="exact"/>
              <w:ind w:left="254"/>
            </w:pPr>
            <w:r>
              <w:rPr>
                <w:spacing w:val="-3"/>
                <w:position w:val="-2"/>
              </w:rPr>
              <w:t>02</w:t>
            </w:r>
          </w:p>
        </w:tc>
        <w:tc>
          <w:tcPr>
            <w:tcW w:w="2840" w:type="dxa"/>
            <w:tcBorders>
              <w:left w:val="single" w:color="000000" w:sz="4" w:space="0"/>
              <w:right w:val="single" w:color="000000" w:sz="4" w:space="0"/>
            </w:tcBorders>
            <w:vAlign w:val="top"/>
          </w:tcPr>
          <w:p w14:paraId="0A00098B">
            <w:pPr>
              <w:pStyle w:val="6"/>
              <w:spacing w:before="42" w:line="219" w:lineRule="auto"/>
              <w:ind w:left="114"/>
            </w:pPr>
            <w:r>
              <w:rPr>
                <w:spacing w:val="-1"/>
              </w:rPr>
              <w:t>0.9428吨标准煤/吨</w:t>
            </w:r>
          </w:p>
        </w:tc>
        <w:tc>
          <w:tcPr>
            <w:tcW w:w="2540" w:type="dxa"/>
            <w:tcBorders>
              <w:left w:val="single" w:color="000000" w:sz="4" w:space="0"/>
            </w:tcBorders>
            <w:vAlign w:val="top"/>
          </w:tcPr>
          <w:p w14:paraId="5333E141">
            <w:pPr>
              <w:pStyle w:val="6"/>
              <w:spacing w:before="42" w:line="219" w:lineRule="auto"/>
              <w:ind w:left="84"/>
            </w:pPr>
            <w:r>
              <w:rPr>
                <w:spacing w:val="-1"/>
              </w:rPr>
              <w:t>约6000千卡/千克以上</w:t>
            </w:r>
          </w:p>
        </w:tc>
      </w:tr>
      <w:tr w14:paraId="678C384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53" w:hRule="atLeast"/>
        </w:trPr>
        <w:tc>
          <w:tcPr>
            <w:tcW w:w="2390" w:type="dxa"/>
            <w:tcBorders>
              <w:right w:val="single" w:color="000000" w:sz="4" w:space="0"/>
            </w:tcBorders>
            <w:vAlign w:val="top"/>
          </w:tcPr>
          <w:p w14:paraId="03862407">
            <w:pPr>
              <w:pStyle w:val="6"/>
              <w:spacing w:before="37" w:line="211" w:lineRule="auto"/>
              <w:ind w:left="289"/>
            </w:pPr>
            <w:r>
              <w:rPr>
                <w:spacing w:val="-2"/>
              </w:rPr>
              <w:t>炼焦烟煤</w:t>
            </w:r>
          </w:p>
        </w:tc>
        <w:tc>
          <w:tcPr>
            <w:tcW w:w="1000" w:type="dxa"/>
            <w:tcBorders>
              <w:left w:val="single" w:color="000000" w:sz="4" w:space="0"/>
              <w:right w:val="single" w:color="000000" w:sz="4" w:space="0"/>
            </w:tcBorders>
            <w:textDirection w:val="tbRlV"/>
            <w:vAlign w:val="top"/>
          </w:tcPr>
          <w:p w14:paraId="48EA568D">
            <w:pPr>
              <w:spacing w:line="334" w:lineRule="auto"/>
              <w:rPr>
                <w:rFonts w:ascii="Arial"/>
                <w:sz w:val="21"/>
              </w:rPr>
            </w:pPr>
          </w:p>
          <w:p w14:paraId="20504D8D">
            <w:pPr>
              <w:pStyle w:val="6"/>
              <w:spacing w:before="60" w:line="225" w:lineRule="auto"/>
              <w:ind w:left="34"/>
            </w:pPr>
            <w:r>
              <w:t>吨</w:t>
            </w:r>
          </w:p>
        </w:tc>
        <w:tc>
          <w:tcPr>
            <w:tcW w:w="710" w:type="dxa"/>
            <w:tcBorders>
              <w:left w:val="single" w:color="000000" w:sz="4" w:space="0"/>
              <w:right w:val="single" w:color="000000" w:sz="4" w:space="0"/>
            </w:tcBorders>
            <w:vAlign w:val="top"/>
          </w:tcPr>
          <w:p w14:paraId="105C4A85">
            <w:pPr>
              <w:pStyle w:val="6"/>
              <w:spacing w:before="92" w:line="151" w:lineRule="exact"/>
              <w:ind w:left="254"/>
            </w:pPr>
            <w:r>
              <w:rPr>
                <w:spacing w:val="-3"/>
                <w:position w:val="-2"/>
              </w:rPr>
              <w:t>03</w:t>
            </w:r>
          </w:p>
        </w:tc>
        <w:tc>
          <w:tcPr>
            <w:tcW w:w="2840" w:type="dxa"/>
            <w:tcBorders>
              <w:left w:val="single" w:color="000000" w:sz="4" w:space="0"/>
              <w:right w:val="single" w:color="000000" w:sz="4" w:space="0"/>
            </w:tcBorders>
            <w:vAlign w:val="top"/>
          </w:tcPr>
          <w:p w14:paraId="26CBB9C9">
            <w:pPr>
              <w:pStyle w:val="6"/>
              <w:spacing w:before="37" w:line="211" w:lineRule="auto"/>
              <w:ind w:left="114"/>
            </w:pPr>
            <w:r>
              <w:rPr>
                <w:spacing w:val="-1"/>
              </w:rPr>
              <w:t>0.9吨标准煤/吨</w:t>
            </w:r>
          </w:p>
        </w:tc>
        <w:tc>
          <w:tcPr>
            <w:tcW w:w="2540" w:type="dxa"/>
            <w:tcBorders>
              <w:left w:val="single" w:color="000000" w:sz="4" w:space="0"/>
            </w:tcBorders>
            <w:vAlign w:val="top"/>
          </w:tcPr>
          <w:p w14:paraId="34300E01">
            <w:pPr>
              <w:pStyle w:val="6"/>
              <w:spacing w:before="36" w:line="212" w:lineRule="auto"/>
              <w:ind w:left="84"/>
            </w:pPr>
            <w:r>
              <w:rPr>
                <w:spacing w:val="-1"/>
              </w:rPr>
              <w:t>约6000千卡/千克以上</w:t>
            </w:r>
          </w:p>
        </w:tc>
      </w:tr>
      <w:tr w14:paraId="1A57A7B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66" w:hRule="atLeast"/>
        </w:trPr>
        <w:tc>
          <w:tcPr>
            <w:tcW w:w="2390" w:type="dxa"/>
            <w:tcBorders>
              <w:right w:val="single" w:color="000000" w:sz="4" w:space="0"/>
            </w:tcBorders>
            <w:vAlign w:val="top"/>
          </w:tcPr>
          <w:p w14:paraId="20027989">
            <w:pPr>
              <w:pStyle w:val="6"/>
              <w:spacing w:before="43" w:line="218" w:lineRule="auto"/>
              <w:ind w:left="289"/>
            </w:pPr>
            <w:r>
              <w:rPr>
                <w:spacing w:val="-3"/>
              </w:rPr>
              <w:t>一般烟煤</w:t>
            </w:r>
          </w:p>
        </w:tc>
        <w:tc>
          <w:tcPr>
            <w:tcW w:w="1000" w:type="dxa"/>
            <w:tcBorders>
              <w:left w:val="single" w:color="000000" w:sz="4" w:space="0"/>
              <w:right w:val="single" w:color="000000" w:sz="4" w:space="0"/>
            </w:tcBorders>
            <w:textDirection w:val="tbRlV"/>
            <w:vAlign w:val="top"/>
          </w:tcPr>
          <w:p w14:paraId="35B40C80">
            <w:pPr>
              <w:spacing w:line="334" w:lineRule="auto"/>
              <w:rPr>
                <w:rFonts w:ascii="Arial"/>
                <w:sz w:val="21"/>
              </w:rPr>
            </w:pPr>
          </w:p>
          <w:p w14:paraId="5E3E3EDF">
            <w:pPr>
              <w:pStyle w:val="6"/>
              <w:spacing w:before="60" w:line="225" w:lineRule="auto"/>
              <w:ind w:left="43"/>
            </w:pPr>
            <w:r>
              <w:t>吨</w:t>
            </w:r>
          </w:p>
        </w:tc>
        <w:tc>
          <w:tcPr>
            <w:tcW w:w="710" w:type="dxa"/>
            <w:tcBorders>
              <w:left w:val="single" w:color="000000" w:sz="4" w:space="0"/>
              <w:right w:val="single" w:color="000000" w:sz="4" w:space="0"/>
            </w:tcBorders>
            <w:vAlign w:val="top"/>
          </w:tcPr>
          <w:p w14:paraId="7B2054B3">
            <w:pPr>
              <w:pStyle w:val="6"/>
              <w:spacing w:before="109" w:line="146" w:lineRule="exact"/>
              <w:ind w:left="254"/>
            </w:pPr>
            <w:r>
              <w:rPr>
                <w:spacing w:val="-3"/>
                <w:position w:val="-2"/>
              </w:rPr>
              <w:t>04</w:t>
            </w:r>
          </w:p>
        </w:tc>
        <w:tc>
          <w:tcPr>
            <w:tcW w:w="2840" w:type="dxa"/>
            <w:tcBorders>
              <w:left w:val="single" w:color="000000" w:sz="4" w:space="0"/>
              <w:right w:val="single" w:color="000000" w:sz="4" w:space="0"/>
            </w:tcBorders>
            <w:vAlign w:val="top"/>
          </w:tcPr>
          <w:p w14:paraId="443C8B0E">
            <w:pPr>
              <w:pStyle w:val="6"/>
              <w:spacing w:before="63" w:line="197" w:lineRule="auto"/>
              <w:ind w:left="114"/>
            </w:pPr>
            <w:r>
              <w:rPr>
                <w:spacing w:val="-1"/>
              </w:rPr>
              <w:t>0.7143吨标准煤/吨</w:t>
            </w:r>
          </w:p>
        </w:tc>
        <w:tc>
          <w:tcPr>
            <w:tcW w:w="2540" w:type="dxa"/>
            <w:tcBorders>
              <w:left w:val="single" w:color="000000" w:sz="4" w:space="0"/>
            </w:tcBorders>
            <w:vAlign w:val="top"/>
          </w:tcPr>
          <w:p w14:paraId="3D3FF493">
            <w:pPr>
              <w:pStyle w:val="6"/>
              <w:spacing w:before="33" w:line="219" w:lineRule="auto"/>
              <w:ind w:left="84"/>
            </w:pPr>
            <w:r>
              <w:t>约4500-5500千卡/千克</w:t>
            </w:r>
          </w:p>
        </w:tc>
      </w:tr>
      <w:tr w14:paraId="047CE4C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55" w:hRule="atLeast"/>
        </w:trPr>
        <w:tc>
          <w:tcPr>
            <w:tcW w:w="2390" w:type="dxa"/>
            <w:tcBorders>
              <w:right w:val="single" w:color="000000" w:sz="4" w:space="0"/>
            </w:tcBorders>
            <w:vAlign w:val="top"/>
          </w:tcPr>
          <w:p w14:paraId="195892FB">
            <w:pPr>
              <w:pStyle w:val="6"/>
              <w:spacing w:before="27" w:line="219" w:lineRule="auto"/>
              <w:ind w:left="289"/>
            </w:pPr>
            <w:r>
              <w:rPr>
                <w:spacing w:val="-2"/>
              </w:rPr>
              <w:t>褐煤</w:t>
            </w:r>
          </w:p>
        </w:tc>
        <w:tc>
          <w:tcPr>
            <w:tcW w:w="1000" w:type="dxa"/>
            <w:tcBorders>
              <w:left w:val="single" w:color="000000" w:sz="4" w:space="0"/>
              <w:right w:val="single" w:color="000000" w:sz="4" w:space="0"/>
            </w:tcBorders>
            <w:textDirection w:val="tbRlV"/>
            <w:vAlign w:val="top"/>
          </w:tcPr>
          <w:p w14:paraId="7F619A8F">
            <w:pPr>
              <w:spacing w:line="334" w:lineRule="auto"/>
              <w:rPr>
                <w:rFonts w:ascii="Arial"/>
                <w:sz w:val="21"/>
              </w:rPr>
            </w:pPr>
          </w:p>
          <w:p w14:paraId="326468AD">
            <w:pPr>
              <w:pStyle w:val="6"/>
              <w:spacing w:before="60" w:line="225" w:lineRule="auto"/>
              <w:ind w:left="40"/>
            </w:pPr>
            <w:r>
              <w:t>吨</w:t>
            </w:r>
          </w:p>
        </w:tc>
        <w:tc>
          <w:tcPr>
            <w:tcW w:w="710" w:type="dxa"/>
            <w:tcBorders>
              <w:left w:val="single" w:color="000000" w:sz="4" w:space="0"/>
              <w:right w:val="single" w:color="000000" w:sz="4" w:space="0"/>
            </w:tcBorders>
            <w:vAlign w:val="top"/>
          </w:tcPr>
          <w:p w14:paraId="5AE836CF">
            <w:pPr>
              <w:pStyle w:val="6"/>
              <w:spacing w:before="93" w:line="151" w:lineRule="exact"/>
              <w:ind w:left="254"/>
            </w:pPr>
            <w:r>
              <w:rPr>
                <w:spacing w:val="-3"/>
                <w:position w:val="-2"/>
              </w:rPr>
              <w:t>05</w:t>
            </w:r>
          </w:p>
        </w:tc>
        <w:tc>
          <w:tcPr>
            <w:tcW w:w="2840" w:type="dxa"/>
            <w:tcBorders>
              <w:left w:val="single" w:color="000000" w:sz="4" w:space="0"/>
              <w:right w:val="single" w:color="000000" w:sz="4" w:space="0"/>
            </w:tcBorders>
            <w:vAlign w:val="top"/>
          </w:tcPr>
          <w:p w14:paraId="6F7246B2">
            <w:pPr>
              <w:pStyle w:val="6"/>
              <w:spacing w:before="37" w:line="213" w:lineRule="auto"/>
              <w:ind w:left="114"/>
            </w:pPr>
            <w:r>
              <w:rPr>
                <w:spacing w:val="-1"/>
              </w:rPr>
              <w:t>0.4286吨标准煤/吨</w:t>
            </w:r>
          </w:p>
        </w:tc>
        <w:tc>
          <w:tcPr>
            <w:tcW w:w="2540" w:type="dxa"/>
            <w:tcBorders>
              <w:left w:val="single" w:color="000000" w:sz="4" w:space="0"/>
            </w:tcBorders>
            <w:vAlign w:val="top"/>
          </w:tcPr>
          <w:p w14:paraId="31BE01E0">
            <w:pPr>
              <w:pStyle w:val="6"/>
              <w:spacing w:before="37" w:line="213" w:lineRule="auto"/>
              <w:ind w:left="84"/>
            </w:pPr>
            <w:r>
              <w:t>约2500-3500千卡/千克</w:t>
            </w:r>
          </w:p>
        </w:tc>
      </w:tr>
      <w:tr w14:paraId="0D9762F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69" w:hRule="atLeast"/>
        </w:trPr>
        <w:tc>
          <w:tcPr>
            <w:tcW w:w="2390" w:type="dxa"/>
            <w:tcBorders>
              <w:right w:val="single" w:color="000000" w:sz="4" w:space="0"/>
            </w:tcBorders>
            <w:vAlign w:val="top"/>
          </w:tcPr>
          <w:p w14:paraId="475CFC68">
            <w:pPr>
              <w:pStyle w:val="6"/>
              <w:spacing w:before="51" w:line="213" w:lineRule="auto"/>
              <w:ind w:left="99"/>
            </w:pPr>
            <w:r>
              <w:rPr>
                <w:spacing w:val="4"/>
              </w:rPr>
              <w:t>洗精煤(用于炼焦)</w:t>
            </w:r>
          </w:p>
        </w:tc>
        <w:tc>
          <w:tcPr>
            <w:tcW w:w="1000" w:type="dxa"/>
            <w:tcBorders>
              <w:left w:val="single" w:color="000000" w:sz="4" w:space="0"/>
              <w:right w:val="single" w:color="000000" w:sz="4" w:space="0"/>
            </w:tcBorders>
            <w:textDirection w:val="tbRlV"/>
            <w:vAlign w:val="top"/>
          </w:tcPr>
          <w:p w14:paraId="12A19432">
            <w:pPr>
              <w:spacing w:line="334" w:lineRule="auto"/>
              <w:rPr>
                <w:rFonts w:ascii="Arial"/>
                <w:sz w:val="21"/>
              </w:rPr>
            </w:pPr>
          </w:p>
          <w:p w14:paraId="13A5CAA8">
            <w:pPr>
              <w:pStyle w:val="6"/>
              <w:spacing w:before="60" w:line="225" w:lineRule="auto"/>
              <w:ind w:left="47"/>
            </w:pPr>
            <w:r>
              <w:t>吨</w:t>
            </w:r>
          </w:p>
        </w:tc>
        <w:tc>
          <w:tcPr>
            <w:tcW w:w="710" w:type="dxa"/>
            <w:tcBorders>
              <w:left w:val="single" w:color="000000" w:sz="4" w:space="0"/>
              <w:right w:val="single" w:color="000000" w:sz="4" w:space="0"/>
            </w:tcBorders>
            <w:vAlign w:val="top"/>
          </w:tcPr>
          <w:p w14:paraId="65C57694">
            <w:pPr>
              <w:pStyle w:val="6"/>
              <w:spacing w:before="108" w:line="151" w:lineRule="exact"/>
              <w:ind w:left="254"/>
            </w:pPr>
            <w:r>
              <w:rPr>
                <w:spacing w:val="-3"/>
                <w:position w:val="-2"/>
              </w:rPr>
              <w:t>06</w:t>
            </w:r>
          </w:p>
        </w:tc>
        <w:tc>
          <w:tcPr>
            <w:tcW w:w="2840" w:type="dxa"/>
            <w:tcBorders>
              <w:left w:val="single" w:color="000000" w:sz="4" w:space="0"/>
              <w:right w:val="single" w:color="000000" w:sz="4" w:space="0"/>
            </w:tcBorders>
            <w:vAlign w:val="top"/>
          </w:tcPr>
          <w:p w14:paraId="7472DCB1">
            <w:pPr>
              <w:pStyle w:val="6"/>
              <w:spacing w:before="32" w:line="220" w:lineRule="auto"/>
              <w:ind w:left="114"/>
            </w:pPr>
            <w:r>
              <w:rPr>
                <w:spacing w:val="-1"/>
              </w:rPr>
              <w:t>0.9吨标准煤/吨</w:t>
            </w:r>
          </w:p>
        </w:tc>
        <w:tc>
          <w:tcPr>
            <w:tcW w:w="2540" w:type="dxa"/>
            <w:tcBorders>
              <w:left w:val="single" w:color="000000" w:sz="4" w:space="0"/>
            </w:tcBorders>
            <w:vAlign w:val="top"/>
          </w:tcPr>
          <w:p w14:paraId="0ACD4E16">
            <w:pPr>
              <w:pStyle w:val="6"/>
              <w:spacing w:before="62" w:line="202" w:lineRule="auto"/>
              <w:ind w:left="84"/>
            </w:pPr>
            <w:r>
              <w:rPr>
                <w:spacing w:val="-1"/>
              </w:rPr>
              <w:t>约6000千卡/千克以上</w:t>
            </w:r>
          </w:p>
        </w:tc>
      </w:tr>
      <w:tr w14:paraId="508E130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58" w:hRule="atLeast"/>
        </w:trPr>
        <w:tc>
          <w:tcPr>
            <w:tcW w:w="2390" w:type="dxa"/>
            <w:tcBorders>
              <w:right w:val="single" w:color="000000" w:sz="4" w:space="0"/>
            </w:tcBorders>
            <w:vAlign w:val="top"/>
          </w:tcPr>
          <w:p w14:paraId="5FFC33A1">
            <w:pPr>
              <w:pStyle w:val="6"/>
              <w:spacing w:before="33" w:line="220" w:lineRule="auto"/>
              <w:ind w:left="99"/>
            </w:pPr>
            <w:r>
              <w:rPr>
                <w:spacing w:val="-2"/>
              </w:rPr>
              <w:t>其他洗煤</w:t>
            </w:r>
          </w:p>
        </w:tc>
        <w:tc>
          <w:tcPr>
            <w:tcW w:w="1000" w:type="dxa"/>
            <w:tcBorders>
              <w:left w:val="single" w:color="000000" w:sz="4" w:space="0"/>
              <w:right w:val="single" w:color="000000" w:sz="4" w:space="0"/>
            </w:tcBorders>
            <w:textDirection w:val="tbRlV"/>
            <w:vAlign w:val="top"/>
          </w:tcPr>
          <w:p w14:paraId="5B856AA6">
            <w:pPr>
              <w:spacing w:line="334" w:lineRule="auto"/>
              <w:rPr>
                <w:rFonts w:ascii="Arial"/>
                <w:sz w:val="21"/>
              </w:rPr>
            </w:pPr>
          </w:p>
          <w:p w14:paraId="1E8594BA">
            <w:pPr>
              <w:pStyle w:val="6"/>
              <w:spacing w:before="60" w:line="225" w:lineRule="auto"/>
              <w:ind w:left="41"/>
            </w:pPr>
            <w:r>
              <w:t>吨</w:t>
            </w:r>
          </w:p>
        </w:tc>
        <w:tc>
          <w:tcPr>
            <w:tcW w:w="710" w:type="dxa"/>
            <w:tcBorders>
              <w:left w:val="single" w:color="000000" w:sz="4" w:space="0"/>
              <w:right w:val="single" w:color="000000" w:sz="4" w:space="0"/>
            </w:tcBorders>
            <w:vAlign w:val="top"/>
          </w:tcPr>
          <w:p w14:paraId="2DDC6D6B">
            <w:pPr>
              <w:pStyle w:val="6"/>
              <w:spacing w:before="90" w:line="162" w:lineRule="auto"/>
              <w:ind w:left="254"/>
            </w:pPr>
            <w:r>
              <w:rPr>
                <w:spacing w:val="-3"/>
              </w:rPr>
              <w:t>07</w:t>
            </w:r>
          </w:p>
        </w:tc>
        <w:tc>
          <w:tcPr>
            <w:tcW w:w="2840" w:type="dxa"/>
            <w:tcBorders>
              <w:left w:val="single" w:color="000000" w:sz="4" w:space="0"/>
              <w:right w:val="single" w:color="000000" w:sz="4" w:space="0"/>
            </w:tcBorders>
            <w:vAlign w:val="top"/>
          </w:tcPr>
          <w:p w14:paraId="6C9DE06E">
            <w:pPr>
              <w:pStyle w:val="6"/>
              <w:spacing w:before="33" w:line="220" w:lineRule="auto"/>
              <w:ind w:left="114"/>
            </w:pPr>
            <w:r>
              <w:rPr>
                <w:spacing w:val="-1"/>
              </w:rPr>
              <w:t>0.4643-0.9吨标准煤/吨</w:t>
            </w:r>
          </w:p>
        </w:tc>
        <w:tc>
          <w:tcPr>
            <w:tcW w:w="2540" w:type="dxa"/>
            <w:tcBorders>
              <w:left w:val="single" w:color="000000" w:sz="4" w:space="0"/>
            </w:tcBorders>
            <w:vAlign w:val="top"/>
          </w:tcPr>
          <w:p w14:paraId="7A9F3205">
            <w:pPr>
              <w:pStyle w:val="6"/>
              <w:spacing w:before="33" w:line="219" w:lineRule="auto"/>
              <w:ind w:left="84"/>
            </w:pPr>
            <w:r>
              <w:t>约2500-6000千卡/千克</w:t>
            </w:r>
          </w:p>
        </w:tc>
      </w:tr>
      <w:tr w14:paraId="7E3FB2A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58" w:hRule="atLeast"/>
        </w:trPr>
        <w:tc>
          <w:tcPr>
            <w:tcW w:w="2390" w:type="dxa"/>
            <w:tcBorders>
              <w:right w:val="single" w:color="000000" w:sz="4" w:space="0"/>
            </w:tcBorders>
            <w:vAlign w:val="top"/>
          </w:tcPr>
          <w:p w14:paraId="6E91FD4E">
            <w:pPr>
              <w:pStyle w:val="6"/>
              <w:spacing w:before="35" w:line="218" w:lineRule="auto"/>
              <w:ind w:left="99"/>
            </w:pPr>
            <w:r>
              <w:rPr>
                <w:spacing w:val="6"/>
              </w:rPr>
              <w:t>煤制品</w:t>
            </w:r>
          </w:p>
        </w:tc>
        <w:tc>
          <w:tcPr>
            <w:tcW w:w="1000" w:type="dxa"/>
            <w:tcBorders>
              <w:left w:val="single" w:color="000000" w:sz="4" w:space="0"/>
              <w:right w:val="single" w:color="000000" w:sz="4" w:space="0"/>
            </w:tcBorders>
            <w:textDirection w:val="tbRlV"/>
            <w:vAlign w:val="top"/>
          </w:tcPr>
          <w:p w14:paraId="0764EA68">
            <w:pPr>
              <w:spacing w:line="334" w:lineRule="auto"/>
              <w:rPr>
                <w:rFonts w:ascii="Arial"/>
                <w:sz w:val="21"/>
              </w:rPr>
            </w:pPr>
          </w:p>
          <w:p w14:paraId="6CB0639D">
            <w:pPr>
              <w:pStyle w:val="6"/>
              <w:spacing w:before="60" w:line="225" w:lineRule="auto"/>
              <w:ind w:left="45"/>
            </w:pPr>
            <w:r>
              <w:t>吨</w:t>
            </w:r>
          </w:p>
        </w:tc>
        <w:tc>
          <w:tcPr>
            <w:tcW w:w="710" w:type="dxa"/>
            <w:tcBorders>
              <w:left w:val="single" w:color="000000" w:sz="4" w:space="0"/>
              <w:right w:val="single" w:color="000000" w:sz="4" w:space="0"/>
            </w:tcBorders>
            <w:vAlign w:val="top"/>
          </w:tcPr>
          <w:p w14:paraId="765A402B">
            <w:pPr>
              <w:pStyle w:val="6"/>
              <w:spacing w:before="101" w:line="146" w:lineRule="exact"/>
              <w:ind w:left="254"/>
            </w:pPr>
            <w:r>
              <w:rPr>
                <w:spacing w:val="-3"/>
                <w:position w:val="-2"/>
              </w:rPr>
              <w:t>08</w:t>
            </w:r>
          </w:p>
        </w:tc>
        <w:tc>
          <w:tcPr>
            <w:tcW w:w="2840" w:type="dxa"/>
            <w:tcBorders>
              <w:left w:val="single" w:color="000000" w:sz="4" w:space="0"/>
              <w:right w:val="single" w:color="000000" w:sz="4" w:space="0"/>
            </w:tcBorders>
            <w:vAlign w:val="top"/>
          </w:tcPr>
          <w:p w14:paraId="718E51FB">
            <w:pPr>
              <w:pStyle w:val="6"/>
              <w:spacing w:before="46" w:line="207" w:lineRule="auto"/>
              <w:ind w:left="114"/>
            </w:pPr>
            <w:r>
              <w:rPr>
                <w:spacing w:val="-1"/>
              </w:rPr>
              <w:t>0.5286吨标准煤/吨</w:t>
            </w:r>
          </w:p>
        </w:tc>
        <w:tc>
          <w:tcPr>
            <w:tcW w:w="2540" w:type="dxa"/>
            <w:tcBorders>
              <w:left w:val="single" w:color="000000" w:sz="4" w:space="0"/>
            </w:tcBorders>
            <w:vAlign w:val="top"/>
          </w:tcPr>
          <w:p w14:paraId="3B6822F4">
            <w:pPr>
              <w:pStyle w:val="6"/>
              <w:spacing w:before="54" w:line="198" w:lineRule="auto"/>
              <w:ind w:left="84"/>
            </w:pPr>
            <w:r>
              <w:t>约3000-5000千卡/千克</w:t>
            </w:r>
          </w:p>
        </w:tc>
      </w:tr>
      <w:tr w14:paraId="099CDE0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59" w:hRule="atLeast"/>
        </w:trPr>
        <w:tc>
          <w:tcPr>
            <w:tcW w:w="2390" w:type="dxa"/>
            <w:tcBorders>
              <w:right w:val="single" w:color="000000" w:sz="4" w:space="0"/>
            </w:tcBorders>
            <w:vAlign w:val="top"/>
          </w:tcPr>
          <w:p w14:paraId="3C5FEDC1">
            <w:pPr>
              <w:pStyle w:val="6"/>
              <w:spacing w:before="28" w:line="221" w:lineRule="auto"/>
              <w:ind w:left="99"/>
            </w:pPr>
            <w:r>
              <w:rPr>
                <w:spacing w:val="-2"/>
              </w:rPr>
              <w:t>焦炭</w:t>
            </w:r>
          </w:p>
        </w:tc>
        <w:tc>
          <w:tcPr>
            <w:tcW w:w="1000" w:type="dxa"/>
            <w:tcBorders>
              <w:left w:val="single" w:color="000000" w:sz="4" w:space="0"/>
              <w:right w:val="single" w:color="000000" w:sz="4" w:space="0"/>
            </w:tcBorders>
            <w:textDirection w:val="tbRlV"/>
            <w:vAlign w:val="top"/>
          </w:tcPr>
          <w:p w14:paraId="082C1F2B">
            <w:pPr>
              <w:spacing w:line="334" w:lineRule="auto"/>
              <w:rPr>
                <w:rFonts w:ascii="Arial"/>
                <w:sz w:val="21"/>
              </w:rPr>
            </w:pPr>
          </w:p>
          <w:p w14:paraId="4F7F3D05">
            <w:pPr>
              <w:pStyle w:val="6"/>
              <w:spacing w:before="60" w:line="225" w:lineRule="auto"/>
              <w:ind w:left="50"/>
            </w:pPr>
            <w:r>
              <w:t>吨</w:t>
            </w:r>
          </w:p>
        </w:tc>
        <w:tc>
          <w:tcPr>
            <w:tcW w:w="710" w:type="dxa"/>
            <w:tcBorders>
              <w:left w:val="single" w:color="000000" w:sz="4" w:space="0"/>
              <w:right w:val="single" w:color="000000" w:sz="4" w:space="0"/>
            </w:tcBorders>
            <w:vAlign w:val="top"/>
          </w:tcPr>
          <w:p w14:paraId="5E50E53D">
            <w:pPr>
              <w:pStyle w:val="6"/>
              <w:spacing w:before="93" w:line="159" w:lineRule="auto"/>
              <w:ind w:left="254"/>
            </w:pPr>
            <w:r>
              <w:rPr>
                <w:spacing w:val="-3"/>
              </w:rPr>
              <w:t>09</w:t>
            </w:r>
          </w:p>
        </w:tc>
        <w:tc>
          <w:tcPr>
            <w:tcW w:w="2840" w:type="dxa"/>
            <w:tcBorders>
              <w:left w:val="single" w:color="000000" w:sz="4" w:space="0"/>
              <w:right w:val="single" w:color="000000" w:sz="4" w:space="0"/>
            </w:tcBorders>
            <w:vAlign w:val="top"/>
          </w:tcPr>
          <w:p w14:paraId="3C3D86A9">
            <w:pPr>
              <w:pStyle w:val="6"/>
              <w:spacing w:before="37" w:line="217" w:lineRule="auto"/>
              <w:ind w:left="114"/>
            </w:pPr>
            <w:r>
              <w:rPr>
                <w:spacing w:val="-1"/>
              </w:rPr>
              <w:t>0.9714吨标准煤/吨</w:t>
            </w:r>
          </w:p>
        </w:tc>
        <w:tc>
          <w:tcPr>
            <w:tcW w:w="2540" w:type="dxa"/>
            <w:tcBorders>
              <w:left w:val="single" w:color="000000" w:sz="4" w:space="0"/>
            </w:tcBorders>
            <w:vAlign w:val="top"/>
          </w:tcPr>
          <w:p w14:paraId="32DBD7BC">
            <w:pPr>
              <w:pStyle w:val="6"/>
              <w:spacing w:before="37" w:line="217" w:lineRule="auto"/>
              <w:ind w:left="84"/>
            </w:pPr>
            <w:r>
              <w:rPr>
                <w:spacing w:val="1"/>
              </w:rPr>
              <w:t>约6800千卡/千克</w:t>
            </w:r>
          </w:p>
        </w:tc>
      </w:tr>
      <w:tr w14:paraId="625F20A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66" w:hRule="atLeast"/>
        </w:trPr>
        <w:tc>
          <w:tcPr>
            <w:tcW w:w="2390" w:type="dxa"/>
            <w:tcBorders>
              <w:right w:val="single" w:color="000000" w:sz="4" w:space="0"/>
            </w:tcBorders>
            <w:vAlign w:val="top"/>
          </w:tcPr>
          <w:p w14:paraId="7C6A39F2">
            <w:pPr>
              <w:pStyle w:val="6"/>
              <w:spacing w:before="38" w:line="219" w:lineRule="auto"/>
              <w:ind w:left="99"/>
            </w:pPr>
            <w:r>
              <w:rPr>
                <w:spacing w:val="3"/>
              </w:rPr>
              <w:t>其他焦化产品</w:t>
            </w:r>
          </w:p>
        </w:tc>
        <w:tc>
          <w:tcPr>
            <w:tcW w:w="1000" w:type="dxa"/>
            <w:tcBorders>
              <w:left w:val="single" w:color="000000" w:sz="4" w:space="0"/>
              <w:right w:val="single" w:color="000000" w:sz="4" w:space="0"/>
            </w:tcBorders>
            <w:textDirection w:val="tbRlV"/>
            <w:vAlign w:val="top"/>
          </w:tcPr>
          <w:p w14:paraId="121C2AD0">
            <w:pPr>
              <w:spacing w:line="334" w:lineRule="auto"/>
              <w:rPr>
                <w:rFonts w:ascii="Arial"/>
                <w:sz w:val="21"/>
              </w:rPr>
            </w:pPr>
          </w:p>
          <w:p w14:paraId="68F31E14">
            <w:pPr>
              <w:pStyle w:val="6"/>
              <w:spacing w:before="60" w:line="225" w:lineRule="auto"/>
              <w:ind w:left="53"/>
            </w:pPr>
            <w:r>
              <w:t>吨</w:t>
            </w:r>
          </w:p>
        </w:tc>
        <w:tc>
          <w:tcPr>
            <w:tcW w:w="710" w:type="dxa"/>
            <w:tcBorders>
              <w:left w:val="single" w:color="000000" w:sz="4" w:space="0"/>
              <w:right w:val="single" w:color="000000" w:sz="4" w:space="0"/>
            </w:tcBorders>
            <w:vAlign w:val="top"/>
          </w:tcPr>
          <w:p w14:paraId="3EE6A2FD">
            <w:pPr>
              <w:pStyle w:val="6"/>
              <w:spacing w:before="94" w:line="166" w:lineRule="auto"/>
              <w:ind w:left="254"/>
            </w:pPr>
            <w:r>
              <w:rPr>
                <w:spacing w:val="-6"/>
              </w:rPr>
              <w:t>10</w:t>
            </w:r>
          </w:p>
        </w:tc>
        <w:tc>
          <w:tcPr>
            <w:tcW w:w="2840" w:type="dxa"/>
            <w:tcBorders>
              <w:left w:val="single" w:color="000000" w:sz="4" w:space="0"/>
              <w:right w:val="single" w:color="000000" w:sz="4" w:space="0"/>
            </w:tcBorders>
            <w:vAlign w:val="top"/>
          </w:tcPr>
          <w:p w14:paraId="0A31D5FB">
            <w:pPr>
              <w:pStyle w:val="6"/>
              <w:spacing w:before="28" w:line="220" w:lineRule="auto"/>
              <w:ind w:left="114"/>
            </w:pPr>
            <w:r>
              <w:t>1.1-1.5吨标准煤/吨</w:t>
            </w:r>
          </w:p>
        </w:tc>
        <w:tc>
          <w:tcPr>
            <w:tcW w:w="2540" w:type="dxa"/>
            <w:tcBorders>
              <w:left w:val="single" w:color="000000" w:sz="4" w:space="0"/>
            </w:tcBorders>
            <w:vAlign w:val="top"/>
          </w:tcPr>
          <w:p w14:paraId="28BE076C">
            <w:pPr>
              <w:pStyle w:val="6"/>
              <w:spacing w:before="38" w:line="219" w:lineRule="auto"/>
              <w:ind w:left="84"/>
            </w:pPr>
            <w:r>
              <w:t>约7700-10500千卡/千克</w:t>
            </w:r>
          </w:p>
        </w:tc>
      </w:tr>
      <w:tr w14:paraId="5026FDE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52" w:hRule="atLeast"/>
        </w:trPr>
        <w:tc>
          <w:tcPr>
            <w:tcW w:w="2390" w:type="dxa"/>
            <w:tcBorders>
              <w:right w:val="single" w:color="000000" w:sz="4" w:space="0"/>
            </w:tcBorders>
            <w:vAlign w:val="top"/>
          </w:tcPr>
          <w:p w14:paraId="27757895">
            <w:pPr>
              <w:pStyle w:val="6"/>
              <w:spacing w:before="32" w:line="215" w:lineRule="auto"/>
              <w:ind w:left="99"/>
            </w:pPr>
            <w:r>
              <w:rPr>
                <w:spacing w:val="-2"/>
              </w:rPr>
              <w:t>焦炉煤气</w:t>
            </w:r>
          </w:p>
        </w:tc>
        <w:tc>
          <w:tcPr>
            <w:tcW w:w="1000" w:type="dxa"/>
            <w:tcBorders>
              <w:left w:val="single" w:color="000000" w:sz="4" w:space="0"/>
              <w:right w:val="single" w:color="000000" w:sz="4" w:space="0"/>
            </w:tcBorders>
            <w:vAlign w:val="top"/>
          </w:tcPr>
          <w:p w14:paraId="46DC142D">
            <w:pPr>
              <w:pStyle w:val="6"/>
              <w:spacing w:before="32" w:line="215" w:lineRule="auto"/>
              <w:ind w:left="134"/>
            </w:pPr>
            <w:r>
              <w:rPr>
                <w:spacing w:val="-3"/>
              </w:rPr>
              <w:t>万立方米</w:t>
            </w:r>
          </w:p>
        </w:tc>
        <w:tc>
          <w:tcPr>
            <w:tcW w:w="710" w:type="dxa"/>
            <w:tcBorders>
              <w:left w:val="single" w:color="000000" w:sz="4" w:space="0"/>
              <w:right w:val="single" w:color="000000" w:sz="4" w:space="0"/>
            </w:tcBorders>
            <w:vAlign w:val="top"/>
          </w:tcPr>
          <w:p w14:paraId="320AB07B">
            <w:pPr>
              <w:pStyle w:val="6"/>
              <w:spacing w:before="87" w:line="158" w:lineRule="auto"/>
              <w:ind w:left="254"/>
            </w:pPr>
            <w:r>
              <w:rPr>
                <w:spacing w:val="-6"/>
              </w:rPr>
              <w:t>11</w:t>
            </w:r>
          </w:p>
        </w:tc>
        <w:tc>
          <w:tcPr>
            <w:tcW w:w="2840" w:type="dxa"/>
            <w:tcBorders>
              <w:left w:val="single" w:color="000000" w:sz="4" w:space="0"/>
              <w:right w:val="single" w:color="000000" w:sz="4" w:space="0"/>
            </w:tcBorders>
            <w:vAlign w:val="top"/>
          </w:tcPr>
          <w:p w14:paraId="65FDE80D">
            <w:pPr>
              <w:pStyle w:val="6"/>
              <w:spacing w:before="32" w:line="215" w:lineRule="auto"/>
              <w:ind w:left="114"/>
            </w:pPr>
            <w:r>
              <w:rPr>
                <w:spacing w:val="-1"/>
              </w:rPr>
              <w:t>5.714-6.143吨标准煤/万立方米</w:t>
            </w:r>
          </w:p>
        </w:tc>
        <w:tc>
          <w:tcPr>
            <w:tcW w:w="2540" w:type="dxa"/>
            <w:tcBorders>
              <w:left w:val="single" w:color="000000" w:sz="4" w:space="0"/>
            </w:tcBorders>
            <w:vAlign w:val="top"/>
          </w:tcPr>
          <w:p w14:paraId="78786E73">
            <w:pPr>
              <w:pStyle w:val="6"/>
              <w:spacing w:before="32" w:line="215" w:lineRule="auto"/>
              <w:ind w:left="84"/>
            </w:pPr>
            <w:r>
              <w:rPr>
                <w:spacing w:val="-1"/>
              </w:rPr>
              <w:t>约4000-4300千卡/立方米</w:t>
            </w:r>
          </w:p>
        </w:tc>
      </w:tr>
      <w:tr w14:paraId="7F12D37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65" w:hRule="atLeast"/>
        </w:trPr>
        <w:tc>
          <w:tcPr>
            <w:tcW w:w="2390" w:type="dxa"/>
            <w:tcBorders>
              <w:right w:val="single" w:color="000000" w:sz="4" w:space="0"/>
            </w:tcBorders>
            <w:vAlign w:val="top"/>
          </w:tcPr>
          <w:p w14:paraId="7C5F78EF">
            <w:pPr>
              <w:pStyle w:val="6"/>
              <w:spacing w:before="40" w:line="219" w:lineRule="auto"/>
              <w:ind w:left="99"/>
            </w:pPr>
            <w:r>
              <w:rPr>
                <w:spacing w:val="2"/>
              </w:rPr>
              <w:t>高炉煤气</w:t>
            </w:r>
          </w:p>
        </w:tc>
        <w:tc>
          <w:tcPr>
            <w:tcW w:w="1000" w:type="dxa"/>
            <w:tcBorders>
              <w:left w:val="single" w:color="000000" w:sz="4" w:space="0"/>
              <w:right w:val="single" w:color="000000" w:sz="4" w:space="0"/>
            </w:tcBorders>
            <w:vAlign w:val="top"/>
          </w:tcPr>
          <w:p w14:paraId="2A842411">
            <w:pPr>
              <w:pStyle w:val="6"/>
              <w:spacing w:before="40" w:line="219" w:lineRule="auto"/>
              <w:ind w:left="134"/>
            </w:pPr>
            <w:r>
              <w:rPr>
                <w:spacing w:val="-3"/>
              </w:rPr>
              <w:t>万立方米</w:t>
            </w:r>
          </w:p>
        </w:tc>
        <w:tc>
          <w:tcPr>
            <w:tcW w:w="710" w:type="dxa"/>
            <w:tcBorders>
              <w:left w:val="single" w:color="000000" w:sz="4" w:space="0"/>
              <w:right w:val="single" w:color="000000" w:sz="4" w:space="0"/>
            </w:tcBorders>
            <w:vAlign w:val="top"/>
          </w:tcPr>
          <w:p w14:paraId="3A223440">
            <w:pPr>
              <w:pStyle w:val="6"/>
              <w:spacing w:before="116" w:line="138" w:lineRule="exact"/>
              <w:ind w:left="254"/>
            </w:pPr>
            <w:r>
              <w:rPr>
                <w:spacing w:val="-6"/>
                <w:position w:val="-2"/>
              </w:rPr>
              <w:t>12</w:t>
            </w:r>
          </w:p>
        </w:tc>
        <w:tc>
          <w:tcPr>
            <w:tcW w:w="2840" w:type="dxa"/>
            <w:tcBorders>
              <w:left w:val="single" w:color="000000" w:sz="4" w:space="0"/>
              <w:right w:val="single" w:color="000000" w:sz="4" w:space="0"/>
            </w:tcBorders>
            <w:vAlign w:val="top"/>
          </w:tcPr>
          <w:p w14:paraId="0E436839">
            <w:pPr>
              <w:pStyle w:val="6"/>
              <w:spacing w:before="40" w:line="219" w:lineRule="auto"/>
              <w:ind w:left="114"/>
            </w:pPr>
            <w:r>
              <w:t>1.286吨标准煤/万立方米</w:t>
            </w:r>
          </w:p>
        </w:tc>
        <w:tc>
          <w:tcPr>
            <w:tcW w:w="2540" w:type="dxa"/>
            <w:tcBorders>
              <w:left w:val="single" w:color="000000" w:sz="4" w:space="0"/>
            </w:tcBorders>
            <w:vAlign w:val="top"/>
          </w:tcPr>
          <w:p w14:paraId="6CA7115A">
            <w:pPr>
              <w:pStyle w:val="6"/>
              <w:spacing w:before="40" w:line="219" w:lineRule="auto"/>
              <w:ind w:left="84"/>
            </w:pPr>
            <w:r>
              <w:rPr>
                <w:spacing w:val="-1"/>
              </w:rPr>
              <w:t>约900千卡/立方米</w:t>
            </w:r>
          </w:p>
        </w:tc>
      </w:tr>
      <w:tr w14:paraId="589D61D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51" w:hRule="atLeast"/>
        </w:trPr>
        <w:tc>
          <w:tcPr>
            <w:tcW w:w="2390" w:type="dxa"/>
            <w:tcBorders>
              <w:right w:val="single" w:color="000000" w:sz="4" w:space="0"/>
            </w:tcBorders>
            <w:vAlign w:val="top"/>
          </w:tcPr>
          <w:p w14:paraId="2AF78388">
            <w:pPr>
              <w:pStyle w:val="6"/>
              <w:spacing w:before="25" w:line="220" w:lineRule="auto"/>
              <w:ind w:left="99"/>
            </w:pPr>
            <w:r>
              <w:rPr>
                <w:spacing w:val="-2"/>
              </w:rPr>
              <w:t>转炉煤气</w:t>
            </w:r>
          </w:p>
        </w:tc>
        <w:tc>
          <w:tcPr>
            <w:tcW w:w="1000" w:type="dxa"/>
            <w:tcBorders>
              <w:left w:val="single" w:color="000000" w:sz="4" w:space="0"/>
              <w:right w:val="single" w:color="000000" w:sz="4" w:space="0"/>
            </w:tcBorders>
            <w:vAlign w:val="top"/>
          </w:tcPr>
          <w:p w14:paraId="374D1A31">
            <w:pPr>
              <w:pStyle w:val="6"/>
              <w:spacing w:before="25" w:line="219" w:lineRule="auto"/>
              <w:ind w:left="134"/>
            </w:pPr>
            <w:r>
              <w:rPr>
                <w:spacing w:val="-3"/>
              </w:rPr>
              <w:t>万立方米</w:t>
            </w:r>
          </w:p>
        </w:tc>
        <w:tc>
          <w:tcPr>
            <w:tcW w:w="710" w:type="dxa"/>
            <w:tcBorders>
              <w:left w:val="single" w:color="000000" w:sz="4" w:space="0"/>
              <w:right w:val="single" w:color="000000" w:sz="4" w:space="0"/>
            </w:tcBorders>
            <w:vAlign w:val="top"/>
          </w:tcPr>
          <w:p w14:paraId="2F5DECBD">
            <w:pPr>
              <w:pStyle w:val="6"/>
              <w:spacing w:before="81" w:line="164" w:lineRule="auto"/>
              <w:ind w:left="254"/>
            </w:pPr>
            <w:r>
              <w:rPr>
                <w:spacing w:val="-6"/>
              </w:rPr>
              <w:t>13</w:t>
            </w:r>
          </w:p>
        </w:tc>
        <w:tc>
          <w:tcPr>
            <w:tcW w:w="2840" w:type="dxa"/>
            <w:tcBorders>
              <w:left w:val="single" w:color="000000" w:sz="4" w:space="0"/>
              <w:right w:val="single" w:color="000000" w:sz="4" w:space="0"/>
            </w:tcBorders>
            <w:vAlign w:val="top"/>
          </w:tcPr>
          <w:p w14:paraId="2D6DC59E">
            <w:pPr>
              <w:pStyle w:val="6"/>
              <w:spacing w:before="35" w:line="211" w:lineRule="auto"/>
              <w:ind w:left="114"/>
            </w:pPr>
            <w:r>
              <w:rPr>
                <w:spacing w:val="-1"/>
              </w:rPr>
              <w:t>2.714吨标准煤/万立方米</w:t>
            </w:r>
          </w:p>
        </w:tc>
        <w:tc>
          <w:tcPr>
            <w:tcW w:w="2540" w:type="dxa"/>
            <w:tcBorders>
              <w:left w:val="single" w:color="000000" w:sz="4" w:space="0"/>
            </w:tcBorders>
            <w:vAlign w:val="top"/>
          </w:tcPr>
          <w:p w14:paraId="2C40931C">
            <w:pPr>
              <w:pStyle w:val="6"/>
              <w:spacing w:before="35" w:line="211" w:lineRule="auto"/>
              <w:ind w:left="84"/>
            </w:pPr>
            <w:r>
              <w:rPr>
                <w:spacing w:val="-1"/>
              </w:rPr>
              <w:t>约1900千卡/立方米</w:t>
            </w:r>
          </w:p>
        </w:tc>
      </w:tr>
      <w:tr w14:paraId="43CC106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49" w:hRule="atLeast"/>
        </w:trPr>
        <w:tc>
          <w:tcPr>
            <w:tcW w:w="2390" w:type="dxa"/>
            <w:tcBorders>
              <w:right w:val="single" w:color="000000" w:sz="4" w:space="0"/>
            </w:tcBorders>
            <w:vAlign w:val="top"/>
          </w:tcPr>
          <w:p w14:paraId="7FE7C8F9">
            <w:pPr>
              <w:pStyle w:val="6"/>
              <w:spacing w:before="44" w:line="199" w:lineRule="auto"/>
              <w:ind w:left="99"/>
            </w:pPr>
            <w:r>
              <w:rPr>
                <w:spacing w:val="-2"/>
              </w:rPr>
              <w:t>其他煤气</w:t>
            </w:r>
          </w:p>
        </w:tc>
        <w:tc>
          <w:tcPr>
            <w:tcW w:w="1000" w:type="dxa"/>
            <w:tcBorders>
              <w:left w:val="single" w:color="000000" w:sz="4" w:space="0"/>
              <w:right w:val="single" w:color="000000" w:sz="4" w:space="0"/>
            </w:tcBorders>
            <w:vAlign w:val="top"/>
          </w:tcPr>
          <w:p w14:paraId="665F1739">
            <w:pPr>
              <w:pStyle w:val="6"/>
              <w:spacing w:before="44" w:line="200" w:lineRule="auto"/>
              <w:ind w:left="134"/>
            </w:pPr>
            <w:r>
              <w:rPr>
                <w:spacing w:val="-3"/>
              </w:rPr>
              <w:t>万立方米</w:t>
            </w:r>
          </w:p>
        </w:tc>
        <w:tc>
          <w:tcPr>
            <w:tcW w:w="710" w:type="dxa"/>
            <w:tcBorders>
              <w:left w:val="single" w:color="000000" w:sz="4" w:space="0"/>
              <w:right w:val="single" w:color="000000" w:sz="4" w:space="0"/>
            </w:tcBorders>
            <w:vAlign w:val="top"/>
          </w:tcPr>
          <w:p w14:paraId="7F987CCA">
            <w:pPr>
              <w:pStyle w:val="6"/>
              <w:spacing w:before="99" w:line="140" w:lineRule="exact"/>
              <w:ind w:left="254"/>
            </w:pPr>
            <w:r>
              <w:rPr>
                <w:spacing w:val="-6"/>
                <w:position w:val="-2"/>
              </w:rPr>
              <w:t>14</w:t>
            </w:r>
          </w:p>
        </w:tc>
        <w:tc>
          <w:tcPr>
            <w:tcW w:w="2840" w:type="dxa"/>
            <w:tcBorders>
              <w:left w:val="single" w:color="000000" w:sz="4" w:space="0"/>
              <w:right w:val="single" w:color="000000" w:sz="4" w:space="0"/>
            </w:tcBorders>
            <w:vAlign w:val="top"/>
          </w:tcPr>
          <w:p w14:paraId="43B1F493">
            <w:pPr>
              <w:pStyle w:val="6"/>
              <w:spacing w:before="44" w:line="200" w:lineRule="auto"/>
              <w:ind w:left="114"/>
            </w:pPr>
            <w:r>
              <w:t>1.786吨标准煤/万立方米</w:t>
            </w:r>
          </w:p>
        </w:tc>
        <w:tc>
          <w:tcPr>
            <w:tcW w:w="2540" w:type="dxa"/>
            <w:tcBorders>
              <w:left w:val="single" w:color="000000" w:sz="4" w:space="0"/>
            </w:tcBorders>
            <w:vAlign w:val="top"/>
          </w:tcPr>
          <w:p w14:paraId="217D3689">
            <w:pPr>
              <w:pStyle w:val="6"/>
              <w:spacing w:before="44" w:line="200" w:lineRule="auto"/>
              <w:ind w:left="84"/>
            </w:pPr>
            <w:r>
              <w:rPr>
                <w:spacing w:val="-1"/>
              </w:rPr>
              <w:t>约1250千卡/立方米</w:t>
            </w:r>
          </w:p>
        </w:tc>
      </w:tr>
      <w:tr w14:paraId="6929DDB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84" w:hRule="atLeast"/>
        </w:trPr>
        <w:tc>
          <w:tcPr>
            <w:tcW w:w="2390" w:type="dxa"/>
            <w:tcBorders>
              <w:right w:val="single" w:color="000000" w:sz="4" w:space="0"/>
            </w:tcBorders>
            <w:vAlign w:val="top"/>
          </w:tcPr>
          <w:p w14:paraId="526A28F2">
            <w:pPr>
              <w:pStyle w:val="6"/>
              <w:spacing w:before="25" w:line="220" w:lineRule="auto"/>
              <w:ind w:left="99"/>
            </w:pPr>
            <w:r>
              <w:rPr>
                <w:spacing w:val="3"/>
              </w:rPr>
              <w:t>天然气</w:t>
            </w:r>
          </w:p>
        </w:tc>
        <w:tc>
          <w:tcPr>
            <w:tcW w:w="1000" w:type="dxa"/>
            <w:tcBorders>
              <w:left w:val="single" w:color="000000" w:sz="4" w:space="0"/>
              <w:right w:val="single" w:color="000000" w:sz="4" w:space="0"/>
            </w:tcBorders>
            <w:vAlign w:val="top"/>
          </w:tcPr>
          <w:p w14:paraId="43B6844C">
            <w:pPr>
              <w:pStyle w:val="6"/>
              <w:spacing w:before="45" w:line="219" w:lineRule="auto"/>
              <w:ind w:left="134"/>
            </w:pPr>
            <w:r>
              <w:rPr>
                <w:spacing w:val="-3"/>
              </w:rPr>
              <w:t>万立方米</w:t>
            </w:r>
          </w:p>
        </w:tc>
        <w:tc>
          <w:tcPr>
            <w:tcW w:w="710" w:type="dxa"/>
            <w:tcBorders>
              <w:left w:val="single" w:color="000000" w:sz="4" w:space="0"/>
              <w:right w:val="single" w:color="000000" w:sz="4" w:space="0"/>
            </w:tcBorders>
            <w:vAlign w:val="top"/>
          </w:tcPr>
          <w:p w14:paraId="4440924C">
            <w:pPr>
              <w:pStyle w:val="6"/>
              <w:spacing w:before="131" w:line="143" w:lineRule="exact"/>
              <w:ind w:left="254"/>
            </w:pPr>
            <w:r>
              <w:rPr>
                <w:spacing w:val="-6"/>
                <w:position w:val="-2"/>
              </w:rPr>
              <w:t>15</w:t>
            </w:r>
          </w:p>
        </w:tc>
        <w:tc>
          <w:tcPr>
            <w:tcW w:w="2840" w:type="dxa"/>
            <w:tcBorders>
              <w:left w:val="single" w:color="000000" w:sz="4" w:space="0"/>
              <w:right w:val="single" w:color="000000" w:sz="4" w:space="0"/>
            </w:tcBorders>
            <w:vAlign w:val="top"/>
          </w:tcPr>
          <w:p w14:paraId="343E570E">
            <w:pPr>
              <w:pStyle w:val="6"/>
              <w:spacing w:before="55" w:line="219" w:lineRule="auto"/>
              <w:ind w:left="114"/>
            </w:pPr>
            <w:r>
              <w:t>11.0-13.3吨标准煤/万立方米</w:t>
            </w:r>
          </w:p>
        </w:tc>
        <w:tc>
          <w:tcPr>
            <w:tcW w:w="2540" w:type="dxa"/>
            <w:tcBorders>
              <w:left w:val="single" w:color="000000" w:sz="4" w:space="0"/>
            </w:tcBorders>
            <w:vAlign w:val="top"/>
          </w:tcPr>
          <w:p w14:paraId="6D508CFF">
            <w:pPr>
              <w:pStyle w:val="6"/>
              <w:spacing w:before="55" w:line="219" w:lineRule="auto"/>
              <w:ind w:left="84"/>
            </w:pPr>
            <w:r>
              <w:rPr>
                <w:spacing w:val="-1"/>
              </w:rPr>
              <w:t>约7700-9300千卡/立方米</w:t>
            </w:r>
          </w:p>
        </w:tc>
      </w:tr>
      <w:tr w14:paraId="4D999A8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45" w:hRule="atLeast"/>
        </w:trPr>
        <w:tc>
          <w:tcPr>
            <w:tcW w:w="2390" w:type="dxa"/>
            <w:tcBorders>
              <w:right w:val="single" w:color="000000" w:sz="4" w:space="0"/>
            </w:tcBorders>
            <w:vAlign w:val="top"/>
          </w:tcPr>
          <w:p w14:paraId="566C7A7B">
            <w:pPr>
              <w:pStyle w:val="6"/>
              <w:spacing w:before="32" w:line="208" w:lineRule="auto"/>
              <w:ind w:left="99"/>
            </w:pPr>
            <w:r>
              <w:rPr>
                <w:spacing w:val="2"/>
              </w:rPr>
              <w:t>液化天然气</w:t>
            </w:r>
          </w:p>
        </w:tc>
        <w:tc>
          <w:tcPr>
            <w:tcW w:w="1000" w:type="dxa"/>
            <w:tcBorders>
              <w:left w:val="single" w:color="000000" w:sz="4" w:space="0"/>
              <w:right w:val="single" w:color="000000" w:sz="4" w:space="0"/>
            </w:tcBorders>
            <w:vAlign w:val="top"/>
          </w:tcPr>
          <w:p w14:paraId="284FB69B">
            <w:pPr>
              <w:pStyle w:val="6"/>
              <w:spacing w:before="39" w:line="200" w:lineRule="auto"/>
              <w:ind w:left="404"/>
            </w:pPr>
            <w:r>
              <w:t>吨</w:t>
            </w:r>
          </w:p>
        </w:tc>
        <w:tc>
          <w:tcPr>
            <w:tcW w:w="710" w:type="dxa"/>
            <w:tcBorders>
              <w:left w:val="single" w:color="000000" w:sz="4" w:space="0"/>
              <w:right w:val="single" w:color="000000" w:sz="4" w:space="0"/>
            </w:tcBorders>
            <w:vAlign w:val="top"/>
          </w:tcPr>
          <w:p w14:paraId="175FA689">
            <w:pPr>
              <w:pStyle w:val="6"/>
              <w:spacing w:before="87" w:line="148" w:lineRule="exact"/>
              <w:ind w:left="254"/>
            </w:pPr>
            <w:r>
              <w:rPr>
                <w:spacing w:val="-6"/>
                <w:position w:val="-2"/>
              </w:rPr>
              <w:t>16</w:t>
            </w:r>
          </w:p>
        </w:tc>
        <w:tc>
          <w:tcPr>
            <w:tcW w:w="2840" w:type="dxa"/>
            <w:tcBorders>
              <w:left w:val="single" w:color="000000" w:sz="4" w:space="0"/>
              <w:right w:val="single" w:color="000000" w:sz="4" w:space="0"/>
            </w:tcBorders>
            <w:vAlign w:val="top"/>
          </w:tcPr>
          <w:p w14:paraId="4C8D6796">
            <w:pPr>
              <w:pStyle w:val="6"/>
              <w:spacing w:before="32" w:line="208" w:lineRule="auto"/>
              <w:ind w:left="114"/>
            </w:pPr>
            <w:r>
              <w:t>1.7572吨标准煤/吨</w:t>
            </w:r>
          </w:p>
        </w:tc>
        <w:tc>
          <w:tcPr>
            <w:tcW w:w="2540" w:type="dxa"/>
            <w:tcBorders>
              <w:left w:val="single" w:color="000000" w:sz="4" w:space="0"/>
            </w:tcBorders>
            <w:vAlign w:val="top"/>
          </w:tcPr>
          <w:p w14:paraId="419395D7">
            <w:pPr>
              <w:pStyle w:val="6"/>
              <w:spacing w:before="31" w:line="209" w:lineRule="auto"/>
              <w:ind w:left="84"/>
            </w:pPr>
            <w:r>
              <w:t>约12300千卡/千克</w:t>
            </w:r>
          </w:p>
        </w:tc>
      </w:tr>
      <w:tr w14:paraId="4B1AE62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34" w:hRule="atLeast"/>
        </w:trPr>
        <w:tc>
          <w:tcPr>
            <w:tcW w:w="2390" w:type="dxa"/>
            <w:tcBorders>
              <w:right w:val="single" w:color="000000" w:sz="4" w:space="0"/>
            </w:tcBorders>
            <w:vAlign w:val="top"/>
          </w:tcPr>
          <w:p w14:paraId="4B291612">
            <w:pPr>
              <w:pStyle w:val="6"/>
              <w:spacing w:before="37" w:line="191" w:lineRule="auto"/>
              <w:ind w:left="99"/>
            </w:pPr>
            <w:r>
              <w:rPr>
                <w:spacing w:val="-2"/>
              </w:rPr>
              <w:t>氢气</w:t>
            </w:r>
          </w:p>
        </w:tc>
        <w:tc>
          <w:tcPr>
            <w:tcW w:w="1000" w:type="dxa"/>
            <w:tcBorders>
              <w:left w:val="single" w:color="000000" w:sz="4" w:space="0"/>
              <w:right w:val="single" w:color="000000" w:sz="4" w:space="0"/>
            </w:tcBorders>
            <w:vAlign w:val="top"/>
          </w:tcPr>
          <w:p w14:paraId="755CB131">
            <w:pPr>
              <w:pStyle w:val="6"/>
              <w:spacing w:before="46" w:line="182" w:lineRule="auto"/>
              <w:ind w:left="134"/>
            </w:pPr>
            <w:r>
              <w:rPr>
                <w:spacing w:val="-3"/>
              </w:rPr>
              <w:t>万立方米</w:t>
            </w:r>
          </w:p>
        </w:tc>
        <w:tc>
          <w:tcPr>
            <w:tcW w:w="710" w:type="dxa"/>
            <w:tcBorders>
              <w:left w:val="single" w:color="000000" w:sz="4" w:space="0"/>
              <w:right w:val="single" w:color="000000" w:sz="4" w:space="0"/>
            </w:tcBorders>
            <w:vAlign w:val="top"/>
          </w:tcPr>
          <w:p w14:paraId="24E89C8C">
            <w:pPr>
              <w:pStyle w:val="6"/>
              <w:spacing w:before="92" w:line="132" w:lineRule="exact"/>
              <w:ind w:left="254"/>
            </w:pPr>
            <w:r>
              <w:rPr>
                <w:spacing w:val="-6"/>
                <w:position w:val="-2"/>
              </w:rPr>
              <w:t>17</w:t>
            </w:r>
          </w:p>
        </w:tc>
        <w:tc>
          <w:tcPr>
            <w:tcW w:w="2840" w:type="dxa"/>
            <w:tcBorders>
              <w:left w:val="single" w:color="000000" w:sz="4" w:space="0"/>
              <w:right w:val="single" w:color="000000" w:sz="4" w:space="0"/>
            </w:tcBorders>
            <w:vAlign w:val="top"/>
          </w:tcPr>
          <w:p w14:paraId="2E1E4D18">
            <w:pPr>
              <w:pStyle w:val="6"/>
              <w:spacing w:before="46" w:line="182" w:lineRule="auto"/>
              <w:ind w:left="114"/>
            </w:pPr>
            <w:r>
              <w:rPr>
                <w:spacing w:val="-1"/>
              </w:rPr>
              <w:t>4.361吨标准煤/万立方米</w:t>
            </w:r>
          </w:p>
        </w:tc>
        <w:tc>
          <w:tcPr>
            <w:tcW w:w="2540" w:type="dxa"/>
            <w:tcBorders>
              <w:left w:val="single" w:color="000000" w:sz="4" w:space="0"/>
            </w:tcBorders>
            <w:vAlign w:val="top"/>
          </w:tcPr>
          <w:p w14:paraId="386369FF">
            <w:pPr>
              <w:pStyle w:val="6"/>
              <w:spacing w:before="46" w:line="182" w:lineRule="auto"/>
              <w:ind w:left="84"/>
            </w:pPr>
            <w:r>
              <w:t>约142000千焦耳/千克</w:t>
            </w:r>
          </w:p>
        </w:tc>
      </w:tr>
      <w:tr w14:paraId="48C6878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66" w:hRule="atLeast"/>
        </w:trPr>
        <w:tc>
          <w:tcPr>
            <w:tcW w:w="2390" w:type="dxa"/>
            <w:tcBorders>
              <w:right w:val="single" w:color="000000" w:sz="4" w:space="0"/>
            </w:tcBorders>
            <w:vAlign w:val="top"/>
          </w:tcPr>
          <w:p w14:paraId="4A778D6F">
            <w:pPr>
              <w:pStyle w:val="6"/>
              <w:spacing w:before="76" w:line="184" w:lineRule="auto"/>
              <w:ind w:left="99"/>
            </w:pPr>
            <w:r>
              <w:rPr>
                <w:spacing w:val="9"/>
              </w:rPr>
              <w:t>原油</w:t>
            </w:r>
          </w:p>
        </w:tc>
        <w:tc>
          <w:tcPr>
            <w:tcW w:w="1000" w:type="dxa"/>
            <w:tcBorders>
              <w:left w:val="single" w:color="000000" w:sz="4" w:space="0"/>
              <w:right w:val="single" w:color="000000" w:sz="4" w:space="0"/>
            </w:tcBorders>
            <w:textDirection w:val="tbRlV"/>
            <w:vAlign w:val="top"/>
          </w:tcPr>
          <w:p w14:paraId="0EFC5DA7">
            <w:pPr>
              <w:spacing w:line="334" w:lineRule="auto"/>
              <w:rPr>
                <w:rFonts w:ascii="Arial"/>
                <w:sz w:val="21"/>
              </w:rPr>
            </w:pPr>
          </w:p>
          <w:p w14:paraId="6C4C67E8">
            <w:pPr>
              <w:pStyle w:val="6"/>
              <w:spacing w:before="60" w:line="225" w:lineRule="auto"/>
              <w:ind w:left="25"/>
            </w:pPr>
            <w:r>
              <w:t>吨</w:t>
            </w:r>
          </w:p>
        </w:tc>
        <w:tc>
          <w:tcPr>
            <w:tcW w:w="710" w:type="dxa"/>
            <w:tcBorders>
              <w:left w:val="single" w:color="000000" w:sz="4" w:space="0"/>
              <w:right w:val="single" w:color="000000" w:sz="4" w:space="0"/>
            </w:tcBorders>
            <w:vAlign w:val="top"/>
          </w:tcPr>
          <w:p w14:paraId="1ACAA4F5">
            <w:pPr>
              <w:pStyle w:val="6"/>
              <w:spacing w:before="128" w:line="127" w:lineRule="exact"/>
              <w:ind w:left="254"/>
            </w:pPr>
            <w:r>
              <w:rPr>
                <w:spacing w:val="-6"/>
                <w:position w:val="-2"/>
              </w:rPr>
              <w:t>18</w:t>
            </w:r>
          </w:p>
        </w:tc>
        <w:tc>
          <w:tcPr>
            <w:tcW w:w="2840" w:type="dxa"/>
            <w:tcBorders>
              <w:left w:val="single" w:color="000000" w:sz="4" w:space="0"/>
              <w:right w:val="single" w:color="000000" w:sz="4" w:space="0"/>
            </w:tcBorders>
            <w:vAlign w:val="top"/>
          </w:tcPr>
          <w:p w14:paraId="47BC59D7">
            <w:pPr>
              <w:pStyle w:val="6"/>
              <w:spacing w:before="72" w:line="188" w:lineRule="auto"/>
              <w:ind w:left="114"/>
            </w:pPr>
            <w:r>
              <w:t>1.4286吨标准煤/吨</w:t>
            </w:r>
          </w:p>
        </w:tc>
        <w:tc>
          <w:tcPr>
            <w:tcW w:w="2540" w:type="dxa"/>
            <w:tcBorders>
              <w:left w:val="single" w:color="000000" w:sz="4" w:space="0"/>
            </w:tcBorders>
            <w:vAlign w:val="top"/>
          </w:tcPr>
          <w:p w14:paraId="62940664">
            <w:pPr>
              <w:pStyle w:val="6"/>
              <w:spacing w:before="71" w:line="189" w:lineRule="auto"/>
              <w:ind w:left="84"/>
            </w:pPr>
            <w:r>
              <w:t>约10000千卡/千克</w:t>
            </w:r>
          </w:p>
        </w:tc>
      </w:tr>
      <w:tr w14:paraId="1A7E335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67" w:hRule="atLeast"/>
        </w:trPr>
        <w:tc>
          <w:tcPr>
            <w:tcW w:w="2390" w:type="dxa"/>
            <w:tcBorders>
              <w:right w:val="single" w:color="000000" w:sz="4" w:space="0"/>
            </w:tcBorders>
            <w:vAlign w:val="top"/>
          </w:tcPr>
          <w:p w14:paraId="7CA1A862">
            <w:pPr>
              <w:pStyle w:val="6"/>
              <w:spacing w:before="69" w:line="192" w:lineRule="auto"/>
              <w:ind w:left="99"/>
            </w:pPr>
            <w:r>
              <w:rPr>
                <w:spacing w:val="9"/>
              </w:rPr>
              <w:t>汽油</w:t>
            </w:r>
          </w:p>
        </w:tc>
        <w:tc>
          <w:tcPr>
            <w:tcW w:w="1000" w:type="dxa"/>
            <w:tcBorders>
              <w:left w:val="single" w:color="000000" w:sz="4" w:space="0"/>
              <w:right w:val="single" w:color="000000" w:sz="4" w:space="0"/>
            </w:tcBorders>
            <w:textDirection w:val="tbRlV"/>
            <w:vAlign w:val="top"/>
          </w:tcPr>
          <w:p w14:paraId="1FA8BB33">
            <w:pPr>
              <w:spacing w:line="334" w:lineRule="auto"/>
              <w:rPr>
                <w:rFonts w:ascii="Arial"/>
                <w:sz w:val="21"/>
              </w:rPr>
            </w:pPr>
          </w:p>
          <w:p w14:paraId="3C5206BF">
            <w:pPr>
              <w:pStyle w:val="6"/>
              <w:spacing w:before="60" w:line="225" w:lineRule="auto"/>
              <w:ind w:left="23"/>
            </w:pPr>
            <w:r>
              <w:t>吨</w:t>
            </w:r>
          </w:p>
        </w:tc>
        <w:tc>
          <w:tcPr>
            <w:tcW w:w="710" w:type="dxa"/>
            <w:tcBorders>
              <w:left w:val="single" w:color="000000" w:sz="4" w:space="0"/>
              <w:right w:val="single" w:color="000000" w:sz="4" w:space="0"/>
            </w:tcBorders>
            <w:vAlign w:val="top"/>
          </w:tcPr>
          <w:p w14:paraId="7596734D">
            <w:pPr>
              <w:pStyle w:val="6"/>
              <w:spacing w:before="131" w:line="126" w:lineRule="exact"/>
              <w:ind w:left="254"/>
            </w:pPr>
            <w:r>
              <w:rPr>
                <w:spacing w:val="-6"/>
                <w:position w:val="-3"/>
              </w:rPr>
              <w:t>19</w:t>
            </w:r>
          </w:p>
        </w:tc>
        <w:tc>
          <w:tcPr>
            <w:tcW w:w="2840" w:type="dxa"/>
            <w:tcBorders>
              <w:left w:val="single" w:color="000000" w:sz="4" w:space="0"/>
              <w:right w:val="single" w:color="000000" w:sz="4" w:space="0"/>
            </w:tcBorders>
            <w:vAlign w:val="top"/>
          </w:tcPr>
          <w:p w14:paraId="4D2F04BA">
            <w:pPr>
              <w:pStyle w:val="6"/>
              <w:spacing w:before="76" w:line="185" w:lineRule="auto"/>
              <w:ind w:left="114"/>
            </w:pPr>
            <w:r>
              <w:t>1.4714吨标准煤/吨</w:t>
            </w:r>
          </w:p>
        </w:tc>
        <w:tc>
          <w:tcPr>
            <w:tcW w:w="2540" w:type="dxa"/>
            <w:tcBorders>
              <w:left w:val="single" w:color="000000" w:sz="4" w:space="0"/>
            </w:tcBorders>
            <w:vAlign w:val="top"/>
          </w:tcPr>
          <w:p w14:paraId="0214144B">
            <w:pPr>
              <w:pStyle w:val="6"/>
              <w:spacing w:before="65" w:line="196" w:lineRule="auto"/>
              <w:ind w:left="84"/>
            </w:pPr>
            <w:r>
              <w:t>约10300千卡/千克</w:t>
            </w:r>
          </w:p>
        </w:tc>
      </w:tr>
      <w:tr w14:paraId="3A3DC0F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57" w:hRule="atLeast"/>
        </w:trPr>
        <w:tc>
          <w:tcPr>
            <w:tcW w:w="2390" w:type="dxa"/>
            <w:tcBorders>
              <w:right w:val="single" w:color="000000" w:sz="4" w:space="0"/>
            </w:tcBorders>
            <w:vAlign w:val="top"/>
          </w:tcPr>
          <w:p w14:paraId="3E063932">
            <w:pPr>
              <w:pStyle w:val="6"/>
              <w:spacing w:before="59" w:line="192" w:lineRule="auto"/>
              <w:ind w:left="99"/>
            </w:pPr>
            <w:r>
              <w:rPr>
                <w:spacing w:val="9"/>
              </w:rPr>
              <w:t>煤油</w:t>
            </w:r>
          </w:p>
        </w:tc>
        <w:tc>
          <w:tcPr>
            <w:tcW w:w="1000" w:type="dxa"/>
            <w:tcBorders>
              <w:left w:val="single" w:color="000000" w:sz="4" w:space="0"/>
              <w:right w:val="single" w:color="000000" w:sz="4" w:space="0"/>
            </w:tcBorders>
            <w:textDirection w:val="tbRlV"/>
            <w:vAlign w:val="top"/>
          </w:tcPr>
          <w:p w14:paraId="7048BBF4">
            <w:pPr>
              <w:spacing w:line="334" w:lineRule="auto"/>
              <w:rPr>
                <w:rFonts w:ascii="Arial"/>
                <w:sz w:val="21"/>
              </w:rPr>
            </w:pPr>
          </w:p>
          <w:p w14:paraId="76EF3415">
            <w:pPr>
              <w:pStyle w:val="6"/>
              <w:spacing w:before="60" w:line="225" w:lineRule="auto"/>
              <w:ind w:left="21"/>
            </w:pPr>
            <w:r>
              <w:t>吨</w:t>
            </w:r>
          </w:p>
        </w:tc>
        <w:tc>
          <w:tcPr>
            <w:tcW w:w="710" w:type="dxa"/>
            <w:tcBorders>
              <w:left w:val="single" w:color="000000" w:sz="4" w:space="0"/>
              <w:right w:val="single" w:color="000000" w:sz="4" w:space="0"/>
            </w:tcBorders>
            <w:vAlign w:val="top"/>
          </w:tcPr>
          <w:p w14:paraId="7A02F259">
            <w:pPr>
              <w:pStyle w:val="6"/>
              <w:spacing w:before="115" w:line="132" w:lineRule="exact"/>
              <w:ind w:left="254"/>
            </w:pPr>
            <w:r>
              <w:rPr>
                <w:spacing w:val="-3"/>
                <w:position w:val="-2"/>
              </w:rPr>
              <w:t>20</w:t>
            </w:r>
          </w:p>
        </w:tc>
        <w:tc>
          <w:tcPr>
            <w:tcW w:w="2840" w:type="dxa"/>
            <w:tcBorders>
              <w:left w:val="single" w:color="000000" w:sz="4" w:space="0"/>
              <w:right w:val="single" w:color="000000" w:sz="4" w:space="0"/>
            </w:tcBorders>
            <w:vAlign w:val="top"/>
          </w:tcPr>
          <w:p w14:paraId="3B3D390F">
            <w:pPr>
              <w:pStyle w:val="6"/>
              <w:spacing w:before="59" w:line="192" w:lineRule="auto"/>
              <w:ind w:left="114"/>
            </w:pPr>
            <w:r>
              <w:t>1.4714吨标准煤/吨</w:t>
            </w:r>
          </w:p>
        </w:tc>
        <w:tc>
          <w:tcPr>
            <w:tcW w:w="2540" w:type="dxa"/>
            <w:tcBorders>
              <w:left w:val="single" w:color="000000" w:sz="4" w:space="0"/>
            </w:tcBorders>
            <w:vAlign w:val="top"/>
          </w:tcPr>
          <w:p w14:paraId="4D20F28F">
            <w:pPr>
              <w:pStyle w:val="6"/>
              <w:spacing w:before="58" w:line="193" w:lineRule="auto"/>
              <w:ind w:left="84"/>
            </w:pPr>
            <w:r>
              <w:t>约10300千卡/千克</w:t>
            </w:r>
          </w:p>
        </w:tc>
      </w:tr>
      <w:tr w14:paraId="033B445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72" w:hRule="atLeast"/>
        </w:trPr>
        <w:tc>
          <w:tcPr>
            <w:tcW w:w="2390" w:type="dxa"/>
            <w:tcBorders>
              <w:right w:val="single" w:color="000000" w:sz="4" w:space="0"/>
            </w:tcBorders>
            <w:vAlign w:val="top"/>
          </w:tcPr>
          <w:p w14:paraId="05501680">
            <w:pPr>
              <w:pStyle w:val="6"/>
              <w:spacing w:before="63" w:line="204" w:lineRule="auto"/>
              <w:ind w:left="99"/>
            </w:pPr>
            <w:r>
              <w:rPr>
                <w:spacing w:val="9"/>
              </w:rPr>
              <w:t>柴油</w:t>
            </w:r>
          </w:p>
        </w:tc>
        <w:tc>
          <w:tcPr>
            <w:tcW w:w="1000" w:type="dxa"/>
            <w:tcBorders>
              <w:left w:val="single" w:color="000000" w:sz="4" w:space="0"/>
              <w:right w:val="single" w:color="000000" w:sz="4" w:space="0"/>
            </w:tcBorders>
            <w:textDirection w:val="tbRlV"/>
            <w:vAlign w:val="top"/>
          </w:tcPr>
          <w:p w14:paraId="7081CDC0">
            <w:pPr>
              <w:spacing w:line="334" w:lineRule="auto"/>
              <w:rPr>
                <w:rFonts w:ascii="Arial"/>
                <w:sz w:val="21"/>
              </w:rPr>
            </w:pPr>
          </w:p>
          <w:p w14:paraId="57506906">
            <w:pPr>
              <w:pStyle w:val="6"/>
              <w:spacing w:before="60" w:line="225" w:lineRule="auto"/>
              <w:ind w:left="29"/>
            </w:pPr>
            <w:r>
              <w:t>吨</w:t>
            </w:r>
          </w:p>
        </w:tc>
        <w:tc>
          <w:tcPr>
            <w:tcW w:w="710" w:type="dxa"/>
            <w:tcBorders>
              <w:left w:val="single" w:color="000000" w:sz="4" w:space="0"/>
              <w:right w:val="single" w:color="000000" w:sz="4" w:space="0"/>
            </w:tcBorders>
            <w:vAlign w:val="top"/>
          </w:tcPr>
          <w:p w14:paraId="2367733D">
            <w:pPr>
              <w:pStyle w:val="6"/>
              <w:spacing w:before="138" w:line="124" w:lineRule="exact"/>
              <w:ind w:left="254"/>
            </w:pPr>
            <w:r>
              <w:rPr>
                <w:spacing w:val="-3"/>
                <w:position w:val="-3"/>
              </w:rPr>
              <w:t>21</w:t>
            </w:r>
          </w:p>
        </w:tc>
        <w:tc>
          <w:tcPr>
            <w:tcW w:w="2840" w:type="dxa"/>
            <w:tcBorders>
              <w:left w:val="single" w:color="000000" w:sz="4" w:space="0"/>
              <w:right w:val="single" w:color="000000" w:sz="4" w:space="0"/>
            </w:tcBorders>
            <w:vAlign w:val="top"/>
          </w:tcPr>
          <w:p w14:paraId="00888329">
            <w:pPr>
              <w:pStyle w:val="6"/>
              <w:spacing w:before="63" w:line="204" w:lineRule="auto"/>
              <w:ind w:left="114"/>
            </w:pPr>
            <w:r>
              <w:t>1.4571吨标准煤/</w:t>
            </w:r>
          </w:p>
        </w:tc>
        <w:tc>
          <w:tcPr>
            <w:tcW w:w="2540" w:type="dxa"/>
            <w:tcBorders>
              <w:left w:val="single" w:color="000000" w:sz="4" w:space="0"/>
            </w:tcBorders>
            <w:vAlign w:val="top"/>
          </w:tcPr>
          <w:p w14:paraId="69A169D0">
            <w:pPr>
              <w:pStyle w:val="6"/>
              <w:spacing w:before="52" w:line="215" w:lineRule="auto"/>
              <w:ind w:left="84"/>
            </w:pPr>
            <w:r>
              <w:t>约10200千卡/千克</w:t>
            </w:r>
          </w:p>
        </w:tc>
      </w:tr>
      <w:tr w14:paraId="1C012B6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57" w:hRule="atLeast"/>
        </w:trPr>
        <w:tc>
          <w:tcPr>
            <w:tcW w:w="2390" w:type="dxa"/>
            <w:tcBorders>
              <w:right w:val="single" w:color="000000" w:sz="4" w:space="0"/>
            </w:tcBorders>
            <w:vAlign w:val="top"/>
          </w:tcPr>
          <w:p w14:paraId="04E6EBFA">
            <w:pPr>
              <w:pStyle w:val="6"/>
              <w:spacing w:before="51" w:line="201" w:lineRule="auto"/>
              <w:ind w:left="99"/>
            </w:pPr>
            <w:r>
              <w:rPr>
                <w:spacing w:val="6"/>
              </w:rPr>
              <w:t>燃料油</w:t>
            </w:r>
          </w:p>
        </w:tc>
        <w:tc>
          <w:tcPr>
            <w:tcW w:w="1000" w:type="dxa"/>
            <w:tcBorders>
              <w:left w:val="single" w:color="000000" w:sz="4" w:space="0"/>
              <w:right w:val="single" w:color="000000" w:sz="4" w:space="0"/>
            </w:tcBorders>
            <w:textDirection w:val="tbRlV"/>
            <w:vAlign w:val="top"/>
          </w:tcPr>
          <w:p w14:paraId="19BC3751">
            <w:pPr>
              <w:spacing w:line="334" w:lineRule="auto"/>
              <w:rPr>
                <w:rFonts w:ascii="Arial"/>
                <w:sz w:val="21"/>
              </w:rPr>
            </w:pPr>
          </w:p>
          <w:p w14:paraId="3179C442">
            <w:pPr>
              <w:pStyle w:val="6"/>
              <w:spacing w:before="60" w:line="225" w:lineRule="auto"/>
              <w:ind w:left="22"/>
            </w:pPr>
            <w:r>
              <w:t>吨</w:t>
            </w:r>
          </w:p>
        </w:tc>
        <w:tc>
          <w:tcPr>
            <w:tcW w:w="710" w:type="dxa"/>
            <w:tcBorders>
              <w:left w:val="single" w:color="000000" w:sz="4" w:space="0"/>
              <w:right w:val="single" w:color="000000" w:sz="4" w:space="0"/>
            </w:tcBorders>
            <w:vAlign w:val="top"/>
          </w:tcPr>
          <w:p w14:paraId="600466E1">
            <w:pPr>
              <w:pStyle w:val="6"/>
              <w:spacing w:before="116" w:line="131" w:lineRule="exact"/>
              <w:ind w:left="254"/>
            </w:pPr>
            <w:r>
              <w:rPr>
                <w:spacing w:val="-3"/>
                <w:position w:val="-2"/>
              </w:rPr>
              <w:t>22</w:t>
            </w:r>
          </w:p>
        </w:tc>
        <w:tc>
          <w:tcPr>
            <w:tcW w:w="2840" w:type="dxa"/>
            <w:tcBorders>
              <w:left w:val="single" w:color="000000" w:sz="4" w:space="0"/>
              <w:right w:val="single" w:color="000000" w:sz="4" w:space="0"/>
            </w:tcBorders>
            <w:vAlign w:val="top"/>
          </w:tcPr>
          <w:p w14:paraId="291192D2">
            <w:pPr>
              <w:pStyle w:val="6"/>
              <w:spacing w:before="51" w:line="201" w:lineRule="auto"/>
              <w:ind w:left="114"/>
            </w:pPr>
            <w:r>
              <w:t>1.4286吨标准煤/吨</w:t>
            </w:r>
          </w:p>
        </w:tc>
        <w:tc>
          <w:tcPr>
            <w:tcW w:w="2540" w:type="dxa"/>
            <w:tcBorders>
              <w:left w:val="single" w:color="000000" w:sz="4" w:space="0"/>
            </w:tcBorders>
            <w:vAlign w:val="top"/>
          </w:tcPr>
          <w:p w14:paraId="13615419">
            <w:pPr>
              <w:pStyle w:val="6"/>
              <w:spacing w:before="50" w:line="202" w:lineRule="auto"/>
              <w:ind w:left="84"/>
            </w:pPr>
            <w:r>
              <w:t>约10000千卡/千克</w:t>
            </w:r>
          </w:p>
        </w:tc>
      </w:tr>
      <w:tr w14:paraId="2033059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68" w:hRule="atLeast"/>
        </w:trPr>
        <w:tc>
          <w:tcPr>
            <w:tcW w:w="2390" w:type="dxa"/>
            <w:tcBorders>
              <w:right w:val="single" w:color="000000" w:sz="4" w:space="0"/>
            </w:tcBorders>
            <w:vAlign w:val="top"/>
          </w:tcPr>
          <w:p w14:paraId="22F9E271">
            <w:pPr>
              <w:pStyle w:val="6"/>
              <w:spacing w:before="54" w:line="209" w:lineRule="auto"/>
              <w:ind w:left="99"/>
            </w:pPr>
            <w:r>
              <w:rPr>
                <w:spacing w:val="2"/>
              </w:rPr>
              <w:t>液化石油气</w:t>
            </w:r>
          </w:p>
        </w:tc>
        <w:tc>
          <w:tcPr>
            <w:tcW w:w="1000" w:type="dxa"/>
            <w:tcBorders>
              <w:left w:val="single" w:color="000000" w:sz="4" w:space="0"/>
              <w:right w:val="single" w:color="000000" w:sz="4" w:space="0"/>
            </w:tcBorders>
            <w:textDirection w:val="tbRlV"/>
            <w:vAlign w:val="top"/>
          </w:tcPr>
          <w:p w14:paraId="17DA9C4B">
            <w:pPr>
              <w:spacing w:line="334" w:lineRule="auto"/>
              <w:rPr>
                <w:rFonts w:ascii="Arial"/>
                <w:sz w:val="21"/>
              </w:rPr>
            </w:pPr>
          </w:p>
          <w:p w14:paraId="13A5F926">
            <w:pPr>
              <w:pStyle w:val="6"/>
              <w:spacing w:before="60" w:line="225" w:lineRule="auto"/>
              <w:ind w:left="30"/>
            </w:pPr>
            <w:r>
              <w:t>吨</w:t>
            </w:r>
          </w:p>
        </w:tc>
        <w:tc>
          <w:tcPr>
            <w:tcW w:w="710" w:type="dxa"/>
            <w:tcBorders>
              <w:left w:val="single" w:color="000000" w:sz="4" w:space="0"/>
              <w:right w:val="single" w:color="000000" w:sz="4" w:space="0"/>
            </w:tcBorders>
            <w:vAlign w:val="top"/>
          </w:tcPr>
          <w:p w14:paraId="7B63C191">
            <w:pPr>
              <w:pStyle w:val="6"/>
              <w:spacing w:before="129" w:line="128" w:lineRule="exact"/>
              <w:ind w:left="254"/>
            </w:pPr>
            <w:r>
              <w:rPr>
                <w:spacing w:val="-3"/>
                <w:position w:val="-2"/>
              </w:rPr>
              <w:t>23</w:t>
            </w:r>
          </w:p>
        </w:tc>
        <w:tc>
          <w:tcPr>
            <w:tcW w:w="2840" w:type="dxa"/>
            <w:tcBorders>
              <w:left w:val="single" w:color="000000" w:sz="4" w:space="0"/>
              <w:right w:val="single" w:color="000000" w:sz="4" w:space="0"/>
            </w:tcBorders>
            <w:vAlign w:val="top"/>
          </w:tcPr>
          <w:p w14:paraId="1B588403">
            <w:pPr>
              <w:pStyle w:val="6"/>
              <w:spacing w:before="33" w:line="220" w:lineRule="auto"/>
              <w:ind w:left="114"/>
            </w:pPr>
            <w:r>
              <w:t>1.7143吨标准煤/吨</w:t>
            </w:r>
          </w:p>
        </w:tc>
        <w:tc>
          <w:tcPr>
            <w:tcW w:w="2540" w:type="dxa"/>
            <w:tcBorders>
              <w:left w:val="single" w:color="000000" w:sz="4" w:space="0"/>
            </w:tcBorders>
            <w:vAlign w:val="top"/>
          </w:tcPr>
          <w:p w14:paraId="1568B3F5">
            <w:pPr>
              <w:pStyle w:val="6"/>
              <w:spacing w:before="53" w:line="210" w:lineRule="auto"/>
              <w:ind w:left="84"/>
            </w:pPr>
            <w:r>
              <w:t>约12000千卡/千克</w:t>
            </w:r>
          </w:p>
        </w:tc>
      </w:tr>
      <w:tr w14:paraId="698FD4D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56" w:hRule="atLeast"/>
        </w:trPr>
        <w:tc>
          <w:tcPr>
            <w:tcW w:w="2390" w:type="dxa"/>
            <w:tcBorders>
              <w:right w:val="single" w:color="000000" w:sz="4" w:space="0"/>
            </w:tcBorders>
            <w:vAlign w:val="top"/>
          </w:tcPr>
          <w:p w14:paraId="181BB667">
            <w:pPr>
              <w:pStyle w:val="6"/>
              <w:spacing w:before="44" w:line="207" w:lineRule="auto"/>
              <w:ind w:left="99"/>
            </w:pPr>
            <w:r>
              <w:rPr>
                <w:spacing w:val="2"/>
              </w:rPr>
              <w:t>炼厂干气</w:t>
            </w:r>
          </w:p>
        </w:tc>
        <w:tc>
          <w:tcPr>
            <w:tcW w:w="1000" w:type="dxa"/>
            <w:tcBorders>
              <w:left w:val="single" w:color="000000" w:sz="4" w:space="0"/>
              <w:right w:val="single" w:color="000000" w:sz="4" w:space="0"/>
            </w:tcBorders>
            <w:textDirection w:val="tbRlV"/>
            <w:vAlign w:val="top"/>
          </w:tcPr>
          <w:p w14:paraId="244994D6">
            <w:pPr>
              <w:spacing w:line="334" w:lineRule="auto"/>
              <w:rPr>
                <w:rFonts w:ascii="Arial"/>
                <w:sz w:val="21"/>
              </w:rPr>
            </w:pPr>
          </w:p>
          <w:p w14:paraId="63CCC250">
            <w:pPr>
              <w:pStyle w:val="6"/>
              <w:spacing w:before="60" w:line="225" w:lineRule="auto"/>
              <w:ind w:left="26"/>
            </w:pPr>
            <w:r>
              <w:t>吨</w:t>
            </w:r>
          </w:p>
        </w:tc>
        <w:tc>
          <w:tcPr>
            <w:tcW w:w="710" w:type="dxa"/>
            <w:tcBorders>
              <w:left w:val="single" w:color="000000" w:sz="4" w:space="0"/>
              <w:right w:val="single" w:color="000000" w:sz="4" w:space="0"/>
            </w:tcBorders>
            <w:vAlign w:val="top"/>
          </w:tcPr>
          <w:p w14:paraId="19EC37FB">
            <w:pPr>
              <w:pStyle w:val="6"/>
              <w:spacing w:before="111" w:line="134" w:lineRule="exact"/>
              <w:ind w:left="254"/>
            </w:pPr>
            <w:r>
              <w:rPr>
                <w:spacing w:val="-3"/>
                <w:position w:val="-2"/>
              </w:rPr>
              <w:t>24</w:t>
            </w:r>
          </w:p>
        </w:tc>
        <w:tc>
          <w:tcPr>
            <w:tcW w:w="2840" w:type="dxa"/>
            <w:tcBorders>
              <w:left w:val="single" w:color="000000" w:sz="4" w:space="0"/>
              <w:right w:val="single" w:color="000000" w:sz="4" w:space="0"/>
            </w:tcBorders>
            <w:vAlign w:val="top"/>
          </w:tcPr>
          <w:p w14:paraId="08451B36">
            <w:pPr>
              <w:pStyle w:val="6"/>
              <w:spacing w:before="46" w:line="205" w:lineRule="auto"/>
              <w:ind w:left="114"/>
            </w:pPr>
            <w:r>
              <w:t>1.5714吨标准煤/吨</w:t>
            </w:r>
          </w:p>
        </w:tc>
        <w:tc>
          <w:tcPr>
            <w:tcW w:w="2540" w:type="dxa"/>
            <w:tcBorders>
              <w:left w:val="single" w:color="000000" w:sz="4" w:space="0"/>
            </w:tcBorders>
            <w:vAlign w:val="top"/>
          </w:tcPr>
          <w:p w14:paraId="17A5B254">
            <w:pPr>
              <w:pStyle w:val="6"/>
              <w:spacing w:before="45" w:line="206" w:lineRule="auto"/>
              <w:ind w:left="84"/>
            </w:pPr>
            <w:r>
              <w:t>约11000千卡/千克</w:t>
            </w:r>
          </w:p>
        </w:tc>
      </w:tr>
      <w:tr w14:paraId="1D7DA0D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64" w:hRule="atLeast"/>
        </w:trPr>
        <w:tc>
          <w:tcPr>
            <w:tcW w:w="2390" w:type="dxa"/>
            <w:tcBorders>
              <w:right w:val="single" w:color="000000" w:sz="4" w:space="0"/>
            </w:tcBorders>
            <w:vAlign w:val="top"/>
          </w:tcPr>
          <w:p w14:paraId="10B2B354">
            <w:pPr>
              <w:pStyle w:val="6"/>
              <w:spacing w:before="50" w:line="209" w:lineRule="auto"/>
              <w:ind w:left="99"/>
            </w:pPr>
            <w:r>
              <w:rPr>
                <w:spacing w:val="6"/>
              </w:rPr>
              <w:t>石脑油</w:t>
            </w:r>
          </w:p>
        </w:tc>
        <w:tc>
          <w:tcPr>
            <w:tcW w:w="1000" w:type="dxa"/>
            <w:tcBorders>
              <w:left w:val="single" w:color="000000" w:sz="4" w:space="0"/>
              <w:right w:val="single" w:color="000000" w:sz="4" w:space="0"/>
            </w:tcBorders>
            <w:textDirection w:val="tbRlV"/>
            <w:vAlign w:val="top"/>
          </w:tcPr>
          <w:p w14:paraId="1362830A">
            <w:pPr>
              <w:spacing w:line="334" w:lineRule="auto"/>
              <w:rPr>
                <w:rFonts w:ascii="Arial"/>
                <w:sz w:val="21"/>
              </w:rPr>
            </w:pPr>
          </w:p>
          <w:p w14:paraId="1E6E09B1">
            <w:pPr>
              <w:pStyle w:val="6"/>
              <w:spacing w:before="60" w:line="225" w:lineRule="auto"/>
              <w:ind w:left="35"/>
            </w:pPr>
            <w:r>
              <w:t>吨</w:t>
            </w:r>
          </w:p>
        </w:tc>
        <w:tc>
          <w:tcPr>
            <w:tcW w:w="710" w:type="dxa"/>
            <w:tcBorders>
              <w:left w:val="single" w:color="000000" w:sz="4" w:space="0"/>
              <w:right w:val="single" w:color="000000" w:sz="4" w:space="0"/>
            </w:tcBorders>
            <w:vAlign w:val="top"/>
          </w:tcPr>
          <w:p w14:paraId="085FD65D">
            <w:pPr>
              <w:pStyle w:val="6"/>
              <w:spacing w:before="115" w:line="139" w:lineRule="exact"/>
              <w:ind w:left="254"/>
            </w:pPr>
            <w:r>
              <w:rPr>
                <w:spacing w:val="-3"/>
                <w:position w:val="-2"/>
              </w:rPr>
              <w:t>25</w:t>
            </w:r>
          </w:p>
        </w:tc>
        <w:tc>
          <w:tcPr>
            <w:tcW w:w="2840" w:type="dxa"/>
            <w:tcBorders>
              <w:left w:val="single" w:color="000000" w:sz="4" w:space="0"/>
              <w:right w:val="single" w:color="000000" w:sz="4" w:space="0"/>
            </w:tcBorders>
            <w:vAlign w:val="top"/>
          </w:tcPr>
          <w:p w14:paraId="722F0949">
            <w:pPr>
              <w:pStyle w:val="6"/>
              <w:spacing w:before="29" w:line="220" w:lineRule="auto"/>
              <w:ind w:left="114"/>
            </w:pPr>
            <w:r>
              <w:rPr>
                <w:spacing w:val="1"/>
              </w:rPr>
              <w:t>1.5吨标准煤/吨</w:t>
            </w:r>
          </w:p>
        </w:tc>
        <w:tc>
          <w:tcPr>
            <w:tcW w:w="2540" w:type="dxa"/>
            <w:tcBorders>
              <w:left w:val="single" w:color="000000" w:sz="4" w:space="0"/>
            </w:tcBorders>
            <w:vAlign w:val="top"/>
          </w:tcPr>
          <w:p w14:paraId="2D32E3DA">
            <w:pPr>
              <w:pStyle w:val="6"/>
              <w:spacing w:before="49" w:line="210" w:lineRule="auto"/>
              <w:ind w:left="84"/>
            </w:pPr>
            <w:r>
              <w:t>约10500千卡/千克</w:t>
            </w:r>
          </w:p>
        </w:tc>
      </w:tr>
      <w:tr w14:paraId="46F77BD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62" w:hRule="atLeast"/>
        </w:trPr>
        <w:tc>
          <w:tcPr>
            <w:tcW w:w="2390" w:type="dxa"/>
            <w:tcBorders>
              <w:right w:val="single" w:color="000000" w:sz="4" w:space="0"/>
            </w:tcBorders>
            <w:vAlign w:val="top"/>
          </w:tcPr>
          <w:p w14:paraId="616C41EF">
            <w:pPr>
              <w:pStyle w:val="6"/>
              <w:spacing w:before="56" w:line="201" w:lineRule="auto"/>
              <w:ind w:left="99"/>
            </w:pPr>
            <w:r>
              <w:rPr>
                <w:spacing w:val="6"/>
              </w:rPr>
              <w:t>润滑油</w:t>
            </w:r>
          </w:p>
        </w:tc>
        <w:tc>
          <w:tcPr>
            <w:tcW w:w="1000" w:type="dxa"/>
            <w:tcBorders>
              <w:left w:val="single" w:color="000000" w:sz="4" w:space="0"/>
              <w:right w:val="single" w:color="000000" w:sz="4" w:space="0"/>
            </w:tcBorders>
            <w:textDirection w:val="tbRlV"/>
            <w:vAlign w:val="top"/>
          </w:tcPr>
          <w:p w14:paraId="20D73FB1">
            <w:pPr>
              <w:spacing w:line="334" w:lineRule="auto"/>
              <w:rPr>
                <w:rFonts w:ascii="Arial"/>
                <w:sz w:val="21"/>
              </w:rPr>
            </w:pPr>
          </w:p>
          <w:p w14:paraId="4CC3EB18">
            <w:pPr>
              <w:pStyle w:val="6"/>
              <w:spacing w:before="60" w:line="225" w:lineRule="auto"/>
              <w:ind w:left="36"/>
            </w:pPr>
            <w:r>
              <w:t>吨</w:t>
            </w:r>
          </w:p>
        </w:tc>
        <w:tc>
          <w:tcPr>
            <w:tcW w:w="710" w:type="dxa"/>
            <w:tcBorders>
              <w:left w:val="single" w:color="000000" w:sz="4" w:space="0"/>
              <w:right w:val="single" w:color="000000" w:sz="4" w:space="0"/>
            </w:tcBorders>
            <w:vAlign w:val="top"/>
          </w:tcPr>
          <w:p w14:paraId="2364FE67">
            <w:pPr>
              <w:pStyle w:val="6"/>
              <w:spacing w:before="111" w:line="141" w:lineRule="exact"/>
              <w:ind w:left="254"/>
            </w:pPr>
            <w:r>
              <w:rPr>
                <w:spacing w:val="-3"/>
                <w:position w:val="-2"/>
              </w:rPr>
              <w:t>26</w:t>
            </w:r>
          </w:p>
        </w:tc>
        <w:tc>
          <w:tcPr>
            <w:tcW w:w="2840" w:type="dxa"/>
            <w:tcBorders>
              <w:left w:val="single" w:color="000000" w:sz="4" w:space="0"/>
              <w:right w:val="single" w:color="000000" w:sz="4" w:space="0"/>
            </w:tcBorders>
            <w:vAlign w:val="top"/>
          </w:tcPr>
          <w:p w14:paraId="37E23636">
            <w:pPr>
              <w:pStyle w:val="6"/>
              <w:spacing w:before="46" w:line="211" w:lineRule="auto"/>
              <w:ind w:left="114"/>
            </w:pPr>
            <w:r>
              <w:t>1.4143吨标准煤/吨</w:t>
            </w:r>
          </w:p>
        </w:tc>
        <w:tc>
          <w:tcPr>
            <w:tcW w:w="2540" w:type="dxa"/>
            <w:tcBorders>
              <w:left w:val="single" w:color="000000" w:sz="4" w:space="0"/>
            </w:tcBorders>
            <w:vAlign w:val="top"/>
          </w:tcPr>
          <w:p w14:paraId="1C7E8357">
            <w:pPr>
              <w:pStyle w:val="6"/>
              <w:spacing w:before="45" w:line="212" w:lineRule="auto"/>
              <w:ind w:left="84"/>
            </w:pPr>
            <w:r>
              <w:rPr>
                <w:spacing w:val="1"/>
              </w:rPr>
              <w:t>约9900千卡/千克</w:t>
            </w:r>
          </w:p>
        </w:tc>
      </w:tr>
      <w:tr w14:paraId="617FEFE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67" w:hRule="atLeast"/>
        </w:trPr>
        <w:tc>
          <w:tcPr>
            <w:tcW w:w="2390" w:type="dxa"/>
            <w:tcBorders>
              <w:right w:val="single" w:color="000000" w:sz="4" w:space="0"/>
            </w:tcBorders>
            <w:vAlign w:val="top"/>
          </w:tcPr>
          <w:p w14:paraId="2EBE430A">
            <w:pPr>
              <w:pStyle w:val="6"/>
              <w:spacing w:before="54" w:line="208" w:lineRule="auto"/>
              <w:ind w:left="99"/>
            </w:pPr>
            <w:r>
              <w:rPr>
                <w:spacing w:val="-2"/>
              </w:rPr>
              <w:t>石蜡</w:t>
            </w:r>
          </w:p>
        </w:tc>
        <w:tc>
          <w:tcPr>
            <w:tcW w:w="1000" w:type="dxa"/>
            <w:tcBorders>
              <w:left w:val="single" w:color="000000" w:sz="4" w:space="0"/>
              <w:right w:val="single" w:color="000000" w:sz="4" w:space="0"/>
            </w:tcBorders>
            <w:textDirection w:val="tbRlV"/>
            <w:vAlign w:val="top"/>
          </w:tcPr>
          <w:p w14:paraId="53947686">
            <w:pPr>
              <w:spacing w:line="334" w:lineRule="auto"/>
              <w:rPr>
                <w:rFonts w:ascii="Arial"/>
                <w:sz w:val="21"/>
              </w:rPr>
            </w:pPr>
          </w:p>
          <w:p w14:paraId="0D880A71">
            <w:pPr>
              <w:pStyle w:val="6"/>
              <w:spacing w:before="60" w:line="225" w:lineRule="auto"/>
              <w:ind w:left="39"/>
            </w:pPr>
            <w:r>
              <w:t>吨</w:t>
            </w:r>
          </w:p>
        </w:tc>
        <w:tc>
          <w:tcPr>
            <w:tcW w:w="710" w:type="dxa"/>
            <w:tcBorders>
              <w:left w:val="single" w:color="000000" w:sz="4" w:space="0"/>
              <w:right w:val="single" w:color="000000" w:sz="4" w:space="0"/>
            </w:tcBorders>
            <w:vAlign w:val="top"/>
          </w:tcPr>
          <w:p w14:paraId="799BF2E4">
            <w:pPr>
              <w:pStyle w:val="6"/>
              <w:spacing w:before="119" w:line="138" w:lineRule="exact"/>
              <w:ind w:left="254"/>
            </w:pPr>
            <w:r>
              <w:rPr>
                <w:spacing w:val="-3"/>
                <w:position w:val="-2"/>
              </w:rPr>
              <w:t>27</w:t>
            </w:r>
          </w:p>
        </w:tc>
        <w:tc>
          <w:tcPr>
            <w:tcW w:w="2840" w:type="dxa"/>
            <w:tcBorders>
              <w:left w:val="single" w:color="000000" w:sz="4" w:space="0"/>
              <w:right w:val="single" w:color="000000" w:sz="4" w:space="0"/>
            </w:tcBorders>
            <w:vAlign w:val="top"/>
          </w:tcPr>
          <w:p w14:paraId="10DD2D51">
            <w:pPr>
              <w:pStyle w:val="6"/>
              <w:spacing w:before="43" w:line="219" w:lineRule="auto"/>
              <w:ind w:left="114"/>
            </w:pPr>
            <w:r>
              <w:t>1.3648吨标准煤/吨</w:t>
            </w:r>
          </w:p>
        </w:tc>
        <w:tc>
          <w:tcPr>
            <w:tcW w:w="2540" w:type="dxa"/>
            <w:tcBorders>
              <w:left w:val="single" w:color="000000" w:sz="4" w:space="0"/>
            </w:tcBorders>
            <w:vAlign w:val="top"/>
          </w:tcPr>
          <w:p w14:paraId="28E5F74C">
            <w:pPr>
              <w:pStyle w:val="6"/>
              <w:spacing w:before="53" w:line="209" w:lineRule="auto"/>
              <w:ind w:left="84"/>
            </w:pPr>
            <w:r>
              <w:rPr>
                <w:spacing w:val="1"/>
              </w:rPr>
              <w:t>约9550千卡/千克</w:t>
            </w:r>
          </w:p>
        </w:tc>
      </w:tr>
      <w:tr w14:paraId="6D6E65D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61" w:hRule="atLeast"/>
        </w:trPr>
        <w:tc>
          <w:tcPr>
            <w:tcW w:w="2390" w:type="dxa"/>
            <w:tcBorders>
              <w:right w:val="single" w:color="000000" w:sz="4" w:space="0"/>
            </w:tcBorders>
            <w:vAlign w:val="top"/>
          </w:tcPr>
          <w:p w14:paraId="07843B4A">
            <w:pPr>
              <w:pStyle w:val="6"/>
              <w:spacing w:before="35" w:line="219" w:lineRule="auto"/>
              <w:ind w:left="99"/>
            </w:pPr>
            <w:r>
              <w:rPr>
                <w:spacing w:val="6"/>
              </w:rPr>
              <w:t>溶剂油</w:t>
            </w:r>
          </w:p>
        </w:tc>
        <w:tc>
          <w:tcPr>
            <w:tcW w:w="1000" w:type="dxa"/>
            <w:tcBorders>
              <w:left w:val="single" w:color="000000" w:sz="4" w:space="0"/>
              <w:right w:val="single" w:color="000000" w:sz="4" w:space="0"/>
            </w:tcBorders>
            <w:textDirection w:val="tbRlV"/>
            <w:vAlign w:val="top"/>
          </w:tcPr>
          <w:p w14:paraId="1414F2B2">
            <w:pPr>
              <w:spacing w:line="334" w:lineRule="auto"/>
              <w:rPr>
                <w:rFonts w:ascii="Arial"/>
                <w:sz w:val="21"/>
              </w:rPr>
            </w:pPr>
          </w:p>
          <w:p w14:paraId="290C3B99">
            <w:pPr>
              <w:pStyle w:val="6"/>
              <w:spacing w:before="60" w:line="225" w:lineRule="auto"/>
              <w:ind w:left="37"/>
            </w:pPr>
            <w:r>
              <w:t>吨</w:t>
            </w:r>
          </w:p>
        </w:tc>
        <w:tc>
          <w:tcPr>
            <w:tcW w:w="710" w:type="dxa"/>
            <w:tcBorders>
              <w:left w:val="single" w:color="000000" w:sz="4" w:space="0"/>
              <w:right w:val="single" w:color="000000" w:sz="4" w:space="0"/>
            </w:tcBorders>
            <w:vAlign w:val="top"/>
          </w:tcPr>
          <w:p w14:paraId="578D953C">
            <w:pPr>
              <w:pStyle w:val="6"/>
              <w:spacing w:before="112" w:line="139" w:lineRule="exact"/>
              <w:ind w:left="254"/>
            </w:pPr>
            <w:r>
              <w:rPr>
                <w:spacing w:val="-3"/>
                <w:position w:val="-2"/>
              </w:rPr>
              <w:t>28</w:t>
            </w:r>
          </w:p>
        </w:tc>
        <w:tc>
          <w:tcPr>
            <w:tcW w:w="2840" w:type="dxa"/>
            <w:tcBorders>
              <w:left w:val="single" w:color="000000" w:sz="4" w:space="0"/>
              <w:right w:val="single" w:color="000000" w:sz="4" w:space="0"/>
            </w:tcBorders>
            <w:vAlign w:val="top"/>
          </w:tcPr>
          <w:p w14:paraId="2C1E187A">
            <w:pPr>
              <w:pStyle w:val="6"/>
              <w:spacing w:before="36" w:line="220" w:lineRule="auto"/>
              <w:ind w:left="114"/>
            </w:pPr>
            <w:r>
              <w:t>1.4672吨标准煤/吨</w:t>
            </w:r>
          </w:p>
        </w:tc>
        <w:tc>
          <w:tcPr>
            <w:tcW w:w="2540" w:type="dxa"/>
            <w:tcBorders>
              <w:left w:val="single" w:color="000000" w:sz="4" w:space="0"/>
            </w:tcBorders>
            <w:vAlign w:val="top"/>
          </w:tcPr>
          <w:p w14:paraId="28E62D7D">
            <w:pPr>
              <w:pStyle w:val="6"/>
              <w:spacing w:before="36" w:line="219" w:lineRule="auto"/>
              <w:ind w:left="84"/>
            </w:pPr>
            <w:r>
              <w:t>约10270千卡/千克</w:t>
            </w:r>
          </w:p>
        </w:tc>
      </w:tr>
      <w:tr w14:paraId="658B70A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50" w:hRule="atLeast"/>
        </w:trPr>
        <w:tc>
          <w:tcPr>
            <w:tcW w:w="2390" w:type="dxa"/>
            <w:tcBorders>
              <w:right w:val="single" w:color="000000" w:sz="4" w:space="0"/>
            </w:tcBorders>
            <w:vAlign w:val="top"/>
          </w:tcPr>
          <w:p w14:paraId="5AA716BC">
            <w:pPr>
              <w:pStyle w:val="6"/>
              <w:spacing w:before="46" w:line="198" w:lineRule="auto"/>
              <w:ind w:left="99"/>
            </w:pPr>
            <w:r>
              <w:rPr>
                <w:spacing w:val="-2"/>
              </w:rPr>
              <w:t>石油焦</w:t>
            </w:r>
          </w:p>
        </w:tc>
        <w:tc>
          <w:tcPr>
            <w:tcW w:w="1000" w:type="dxa"/>
            <w:tcBorders>
              <w:left w:val="single" w:color="000000" w:sz="4" w:space="0"/>
              <w:right w:val="single" w:color="000000" w:sz="4" w:space="0"/>
            </w:tcBorders>
            <w:textDirection w:val="tbRlV"/>
            <w:vAlign w:val="top"/>
          </w:tcPr>
          <w:p w14:paraId="56EACF4B">
            <w:pPr>
              <w:spacing w:line="334" w:lineRule="auto"/>
              <w:rPr>
                <w:rFonts w:ascii="Arial"/>
                <w:sz w:val="21"/>
              </w:rPr>
            </w:pPr>
          </w:p>
          <w:p w14:paraId="7287C1F2">
            <w:pPr>
              <w:pStyle w:val="6"/>
              <w:spacing w:before="60" w:line="225" w:lineRule="auto"/>
              <w:ind w:left="40"/>
            </w:pPr>
            <w:r>
              <w:t>吨</w:t>
            </w:r>
          </w:p>
        </w:tc>
        <w:tc>
          <w:tcPr>
            <w:tcW w:w="710" w:type="dxa"/>
            <w:tcBorders>
              <w:left w:val="single" w:color="000000" w:sz="4" w:space="0"/>
              <w:right w:val="single" w:color="000000" w:sz="4" w:space="0"/>
            </w:tcBorders>
            <w:vAlign w:val="top"/>
          </w:tcPr>
          <w:p w14:paraId="2FEC2F69">
            <w:pPr>
              <w:pStyle w:val="6"/>
              <w:spacing w:before="101" w:line="138" w:lineRule="exact"/>
              <w:ind w:left="254"/>
            </w:pPr>
            <w:r>
              <w:rPr>
                <w:spacing w:val="-3"/>
                <w:position w:val="-2"/>
              </w:rPr>
              <w:t>29</w:t>
            </w:r>
          </w:p>
        </w:tc>
        <w:tc>
          <w:tcPr>
            <w:tcW w:w="2840" w:type="dxa"/>
            <w:tcBorders>
              <w:left w:val="single" w:color="000000" w:sz="4" w:space="0"/>
              <w:right w:val="single" w:color="000000" w:sz="4" w:space="0"/>
            </w:tcBorders>
            <w:vAlign w:val="top"/>
          </w:tcPr>
          <w:p w14:paraId="0BF7096E">
            <w:pPr>
              <w:pStyle w:val="6"/>
              <w:spacing w:before="36" w:line="209" w:lineRule="auto"/>
              <w:ind w:left="114"/>
            </w:pPr>
            <w:r>
              <w:t>1.0918吨标准煤/吨</w:t>
            </w:r>
          </w:p>
        </w:tc>
        <w:tc>
          <w:tcPr>
            <w:tcW w:w="2540" w:type="dxa"/>
            <w:tcBorders>
              <w:left w:val="single" w:color="000000" w:sz="4" w:space="0"/>
            </w:tcBorders>
            <w:vAlign w:val="top"/>
          </w:tcPr>
          <w:p w14:paraId="38617DC1">
            <w:pPr>
              <w:pStyle w:val="6"/>
              <w:spacing w:before="35" w:line="210" w:lineRule="auto"/>
              <w:ind w:left="84"/>
            </w:pPr>
            <w:r>
              <w:rPr>
                <w:spacing w:val="1"/>
              </w:rPr>
              <w:t>约7640千卡/千克</w:t>
            </w:r>
          </w:p>
        </w:tc>
      </w:tr>
      <w:tr w14:paraId="3BA75A0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65" w:hRule="atLeast"/>
        </w:trPr>
        <w:tc>
          <w:tcPr>
            <w:tcW w:w="2390" w:type="dxa"/>
            <w:tcBorders>
              <w:right w:val="single" w:color="000000" w:sz="4" w:space="0"/>
            </w:tcBorders>
            <w:vAlign w:val="top"/>
          </w:tcPr>
          <w:p w14:paraId="587345B4">
            <w:pPr>
              <w:pStyle w:val="6"/>
              <w:spacing w:before="44" w:line="216" w:lineRule="auto"/>
              <w:ind w:left="99"/>
            </w:pPr>
            <w:r>
              <w:rPr>
                <w:spacing w:val="-2"/>
              </w:rPr>
              <w:t>石油沥青</w:t>
            </w:r>
          </w:p>
        </w:tc>
        <w:tc>
          <w:tcPr>
            <w:tcW w:w="1000" w:type="dxa"/>
            <w:tcBorders>
              <w:left w:val="single" w:color="000000" w:sz="4" w:space="0"/>
              <w:right w:val="single" w:color="000000" w:sz="4" w:space="0"/>
            </w:tcBorders>
            <w:textDirection w:val="tbRlV"/>
            <w:vAlign w:val="top"/>
          </w:tcPr>
          <w:p w14:paraId="6EA94967">
            <w:pPr>
              <w:spacing w:line="334" w:lineRule="auto"/>
              <w:rPr>
                <w:rFonts w:ascii="Arial"/>
                <w:sz w:val="21"/>
              </w:rPr>
            </w:pPr>
          </w:p>
          <w:p w14:paraId="0DE69627">
            <w:pPr>
              <w:pStyle w:val="6"/>
              <w:spacing w:before="60" w:line="225" w:lineRule="auto"/>
              <w:ind w:left="55"/>
            </w:pPr>
            <w:r>
              <w:t>吨</w:t>
            </w:r>
          </w:p>
        </w:tc>
        <w:tc>
          <w:tcPr>
            <w:tcW w:w="710" w:type="dxa"/>
            <w:tcBorders>
              <w:left w:val="single" w:color="000000" w:sz="4" w:space="0"/>
              <w:right w:val="single" w:color="000000" w:sz="4" w:space="0"/>
            </w:tcBorders>
            <w:vAlign w:val="top"/>
          </w:tcPr>
          <w:p w14:paraId="4D2DF55D">
            <w:pPr>
              <w:pStyle w:val="6"/>
              <w:spacing w:before="121" w:line="133" w:lineRule="exact"/>
              <w:ind w:left="254"/>
            </w:pPr>
            <w:r>
              <w:rPr>
                <w:spacing w:val="-3"/>
                <w:position w:val="-2"/>
              </w:rPr>
              <w:t>30</w:t>
            </w:r>
          </w:p>
        </w:tc>
        <w:tc>
          <w:tcPr>
            <w:tcW w:w="2840" w:type="dxa"/>
            <w:tcBorders>
              <w:left w:val="single" w:color="000000" w:sz="4" w:space="0"/>
              <w:right w:val="single" w:color="000000" w:sz="4" w:space="0"/>
            </w:tcBorders>
            <w:vAlign w:val="top"/>
          </w:tcPr>
          <w:p w14:paraId="25E8EC2F">
            <w:pPr>
              <w:pStyle w:val="6"/>
              <w:spacing w:before="35" w:line="220" w:lineRule="auto"/>
              <w:ind w:left="114"/>
            </w:pPr>
            <w:r>
              <w:t>1.3307吨标准煤/吨</w:t>
            </w:r>
          </w:p>
        </w:tc>
        <w:tc>
          <w:tcPr>
            <w:tcW w:w="2540" w:type="dxa"/>
            <w:tcBorders>
              <w:left w:val="single" w:color="000000" w:sz="4" w:space="0"/>
            </w:tcBorders>
            <w:vAlign w:val="top"/>
          </w:tcPr>
          <w:p w14:paraId="20BBD055">
            <w:pPr>
              <w:pStyle w:val="6"/>
              <w:spacing w:before="45" w:line="215" w:lineRule="auto"/>
              <w:ind w:left="84"/>
            </w:pPr>
            <w:r>
              <w:rPr>
                <w:spacing w:val="1"/>
              </w:rPr>
              <w:t>约9310千卡/千克</w:t>
            </w:r>
          </w:p>
        </w:tc>
      </w:tr>
      <w:tr w14:paraId="52F3C5E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61" w:hRule="atLeast"/>
        </w:trPr>
        <w:tc>
          <w:tcPr>
            <w:tcW w:w="2390" w:type="dxa"/>
            <w:tcBorders>
              <w:right w:val="single" w:color="000000" w:sz="4" w:space="0"/>
            </w:tcBorders>
            <w:vAlign w:val="top"/>
          </w:tcPr>
          <w:p w14:paraId="5CE36321">
            <w:pPr>
              <w:pStyle w:val="6"/>
              <w:spacing w:before="40" w:line="216" w:lineRule="auto"/>
              <w:ind w:left="99"/>
            </w:pPr>
            <w:r>
              <w:rPr>
                <w:spacing w:val="3"/>
              </w:rPr>
              <w:t>其他石油制品</w:t>
            </w:r>
          </w:p>
        </w:tc>
        <w:tc>
          <w:tcPr>
            <w:tcW w:w="1000" w:type="dxa"/>
            <w:tcBorders>
              <w:left w:val="single" w:color="000000" w:sz="4" w:space="0"/>
              <w:right w:val="single" w:color="000000" w:sz="4" w:space="0"/>
            </w:tcBorders>
            <w:textDirection w:val="tbRlV"/>
            <w:vAlign w:val="top"/>
          </w:tcPr>
          <w:p w14:paraId="24180F35">
            <w:pPr>
              <w:spacing w:line="334" w:lineRule="auto"/>
              <w:rPr>
                <w:rFonts w:ascii="Arial"/>
                <w:sz w:val="21"/>
              </w:rPr>
            </w:pPr>
          </w:p>
          <w:p w14:paraId="710506C4">
            <w:pPr>
              <w:pStyle w:val="6"/>
              <w:spacing w:before="60" w:line="225" w:lineRule="auto"/>
              <w:ind w:left="55"/>
            </w:pPr>
            <w:r>
              <w:t>吨</w:t>
            </w:r>
          </w:p>
        </w:tc>
        <w:tc>
          <w:tcPr>
            <w:tcW w:w="710" w:type="dxa"/>
            <w:tcBorders>
              <w:left w:val="single" w:color="000000" w:sz="4" w:space="0"/>
              <w:right w:val="single" w:color="000000" w:sz="4" w:space="0"/>
            </w:tcBorders>
            <w:vAlign w:val="top"/>
          </w:tcPr>
          <w:p w14:paraId="58F0FEB3">
            <w:pPr>
              <w:pStyle w:val="6"/>
              <w:spacing w:before="106" w:line="145" w:lineRule="exact"/>
              <w:ind w:left="254"/>
            </w:pPr>
            <w:r>
              <w:rPr>
                <w:spacing w:val="-3"/>
                <w:position w:val="-2"/>
              </w:rPr>
              <w:t>31</w:t>
            </w:r>
          </w:p>
        </w:tc>
        <w:tc>
          <w:tcPr>
            <w:tcW w:w="2840" w:type="dxa"/>
            <w:tcBorders>
              <w:left w:val="single" w:color="000000" w:sz="4" w:space="0"/>
              <w:right w:val="single" w:color="000000" w:sz="4" w:space="0"/>
            </w:tcBorders>
            <w:vAlign w:val="top"/>
          </w:tcPr>
          <w:p w14:paraId="7B69A6D9">
            <w:pPr>
              <w:pStyle w:val="6"/>
              <w:spacing w:before="30" w:line="220" w:lineRule="auto"/>
              <w:ind w:left="114"/>
            </w:pPr>
            <w:r>
              <w:rPr>
                <w:spacing w:val="1"/>
              </w:rPr>
              <w:t>1.4吨标准煤/吨</w:t>
            </w:r>
          </w:p>
        </w:tc>
        <w:tc>
          <w:tcPr>
            <w:tcW w:w="2540" w:type="dxa"/>
            <w:tcBorders>
              <w:left w:val="single" w:color="000000" w:sz="4" w:space="0"/>
            </w:tcBorders>
            <w:vAlign w:val="top"/>
          </w:tcPr>
          <w:p w14:paraId="08D1963D">
            <w:pPr>
              <w:pStyle w:val="6"/>
              <w:spacing w:before="40" w:line="216" w:lineRule="auto"/>
              <w:ind w:left="84"/>
            </w:pPr>
            <w:r>
              <w:rPr>
                <w:spacing w:val="1"/>
              </w:rPr>
              <w:t>约9800千卡/千克</w:t>
            </w:r>
          </w:p>
        </w:tc>
      </w:tr>
      <w:tr w14:paraId="5CD78C4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63" w:hRule="atLeast"/>
        </w:trPr>
        <w:tc>
          <w:tcPr>
            <w:tcW w:w="2390" w:type="dxa"/>
            <w:tcBorders>
              <w:right w:val="single" w:color="000000" w:sz="4" w:space="0"/>
            </w:tcBorders>
            <w:vAlign w:val="top"/>
          </w:tcPr>
          <w:p w14:paraId="36A97476">
            <w:pPr>
              <w:pStyle w:val="6"/>
              <w:spacing w:before="39" w:line="219" w:lineRule="auto"/>
              <w:ind w:left="99"/>
            </w:pPr>
            <w:r>
              <w:rPr>
                <w:spacing w:val="7"/>
              </w:rPr>
              <w:t>热力</w:t>
            </w:r>
          </w:p>
        </w:tc>
        <w:tc>
          <w:tcPr>
            <w:tcW w:w="1000" w:type="dxa"/>
            <w:tcBorders>
              <w:left w:val="single" w:color="000000" w:sz="4" w:space="0"/>
              <w:right w:val="single" w:color="000000" w:sz="4" w:space="0"/>
            </w:tcBorders>
            <w:vAlign w:val="top"/>
          </w:tcPr>
          <w:p w14:paraId="36EA0588">
            <w:pPr>
              <w:pStyle w:val="6"/>
              <w:spacing w:before="39" w:line="219" w:lineRule="auto"/>
              <w:ind w:left="134"/>
            </w:pPr>
            <w:r>
              <w:rPr>
                <w:spacing w:val="2"/>
              </w:rPr>
              <w:t>百万千焦</w:t>
            </w:r>
          </w:p>
        </w:tc>
        <w:tc>
          <w:tcPr>
            <w:tcW w:w="710" w:type="dxa"/>
            <w:tcBorders>
              <w:left w:val="single" w:color="000000" w:sz="4" w:space="0"/>
              <w:right w:val="single" w:color="000000" w:sz="4" w:space="0"/>
            </w:tcBorders>
            <w:vAlign w:val="top"/>
          </w:tcPr>
          <w:p w14:paraId="247CB1D3">
            <w:pPr>
              <w:pStyle w:val="6"/>
              <w:spacing w:before="115" w:line="137" w:lineRule="exact"/>
              <w:ind w:left="254"/>
            </w:pPr>
            <w:r>
              <w:rPr>
                <w:spacing w:val="-3"/>
                <w:position w:val="-2"/>
              </w:rPr>
              <w:t>32</w:t>
            </w:r>
          </w:p>
        </w:tc>
        <w:tc>
          <w:tcPr>
            <w:tcW w:w="2840" w:type="dxa"/>
            <w:tcBorders>
              <w:left w:val="single" w:color="000000" w:sz="4" w:space="0"/>
              <w:right w:val="single" w:color="000000" w:sz="4" w:space="0"/>
            </w:tcBorders>
            <w:vAlign w:val="top"/>
          </w:tcPr>
          <w:p w14:paraId="020F81E7">
            <w:pPr>
              <w:pStyle w:val="6"/>
              <w:spacing w:before="39" w:line="219" w:lineRule="auto"/>
              <w:ind w:left="114"/>
            </w:pPr>
            <w:r>
              <w:rPr>
                <w:spacing w:val="-1"/>
              </w:rPr>
              <w:t>0.0341吨标准煤/百万千焦</w:t>
            </w:r>
          </w:p>
        </w:tc>
        <w:tc>
          <w:tcPr>
            <w:tcW w:w="2540" w:type="dxa"/>
            <w:tcBorders>
              <w:left w:val="single" w:color="000000" w:sz="4" w:space="0"/>
            </w:tcBorders>
            <w:vAlign w:val="top"/>
          </w:tcPr>
          <w:p w14:paraId="2882F9A7">
            <w:pPr>
              <w:rPr>
                <w:rFonts w:ascii="Arial"/>
                <w:sz w:val="21"/>
              </w:rPr>
            </w:pPr>
          </w:p>
        </w:tc>
      </w:tr>
      <w:tr w14:paraId="4CBF498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56" w:hRule="atLeast"/>
        </w:trPr>
        <w:tc>
          <w:tcPr>
            <w:tcW w:w="2390" w:type="dxa"/>
            <w:tcBorders>
              <w:right w:val="single" w:color="000000" w:sz="4" w:space="0"/>
            </w:tcBorders>
            <w:vAlign w:val="top"/>
          </w:tcPr>
          <w:p w14:paraId="0A6F03FE">
            <w:pPr>
              <w:pStyle w:val="6"/>
              <w:spacing w:before="36" w:line="215" w:lineRule="auto"/>
              <w:ind w:left="99"/>
            </w:pPr>
            <w:r>
              <w:rPr>
                <w:spacing w:val="12"/>
              </w:rPr>
              <w:t>电力</w:t>
            </w:r>
          </w:p>
        </w:tc>
        <w:tc>
          <w:tcPr>
            <w:tcW w:w="1000" w:type="dxa"/>
            <w:tcBorders>
              <w:left w:val="single" w:color="000000" w:sz="4" w:space="0"/>
              <w:right w:val="single" w:color="000000" w:sz="4" w:space="0"/>
            </w:tcBorders>
            <w:vAlign w:val="top"/>
          </w:tcPr>
          <w:p w14:paraId="5536F91F">
            <w:pPr>
              <w:pStyle w:val="6"/>
              <w:spacing w:before="47" w:line="204" w:lineRule="auto"/>
              <w:ind w:left="134"/>
            </w:pPr>
            <w:r>
              <w:rPr>
                <w:spacing w:val="2"/>
              </w:rPr>
              <w:t>万千瓦时</w:t>
            </w:r>
          </w:p>
        </w:tc>
        <w:tc>
          <w:tcPr>
            <w:tcW w:w="710" w:type="dxa"/>
            <w:tcBorders>
              <w:left w:val="single" w:color="000000" w:sz="4" w:space="0"/>
              <w:right w:val="single" w:color="000000" w:sz="4" w:space="0"/>
            </w:tcBorders>
            <w:vAlign w:val="top"/>
          </w:tcPr>
          <w:p w14:paraId="1074863D">
            <w:pPr>
              <w:pStyle w:val="6"/>
              <w:spacing w:before="102" w:line="144" w:lineRule="exact"/>
              <w:ind w:left="254"/>
            </w:pPr>
            <w:r>
              <w:rPr>
                <w:spacing w:val="-3"/>
                <w:position w:val="-2"/>
              </w:rPr>
              <w:t>33</w:t>
            </w:r>
          </w:p>
        </w:tc>
        <w:tc>
          <w:tcPr>
            <w:tcW w:w="2840" w:type="dxa"/>
            <w:tcBorders>
              <w:left w:val="single" w:color="000000" w:sz="4" w:space="0"/>
              <w:right w:val="single" w:color="000000" w:sz="4" w:space="0"/>
            </w:tcBorders>
            <w:vAlign w:val="top"/>
          </w:tcPr>
          <w:p w14:paraId="0F4B081D">
            <w:pPr>
              <w:pStyle w:val="6"/>
              <w:spacing w:before="56" w:line="194" w:lineRule="auto"/>
              <w:ind w:left="114"/>
            </w:pPr>
            <w:r>
              <w:t>1.229吨标准煤/万千瓦时</w:t>
            </w:r>
          </w:p>
        </w:tc>
        <w:tc>
          <w:tcPr>
            <w:tcW w:w="2540" w:type="dxa"/>
            <w:tcBorders>
              <w:left w:val="single" w:color="000000" w:sz="4" w:space="0"/>
            </w:tcBorders>
            <w:vAlign w:val="top"/>
          </w:tcPr>
          <w:p w14:paraId="6A04C8B9">
            <w:pPr>
              <w:pStyle w:val="6"/>
              <w:spacing w:before="37" w:line="214" w:lineRule="auto"/>
              <w:ind w:left="84"/>
            </w:pPr>
            <w:r>
              <w:rPr>
                <w:spacing w:val="-1"/>
              </w:rPr>
              <w:t>860千卡/千瓦时</w:t>
            </w:r>
          </w:p>
        </w:tc>
      </w:tr>
      <w:tr w14:paraId="46EBD99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54" w:hRule="atLeast"/>
        </w:trPr>
        <w:tc>
          <w:tcPr>
            <w:tcW w:w="2390" w:type="dxa"/>
            <w:tcBorders>
              <w:right w:val="single" w:color="000000" w:sz="4" w:space="0"/>
            </w:tcBorders>
            <w:vAlign w:val="top"/>
          </w:tcPr>
          <w:p w14:paraId="4D300456">
            <w:pPr>
              <w:pStyle w:val="6"/>
              <w:spacing w:before="50" w:line="198" w:lineRule="auto"/>
              <w:ind w:left="99"/>
            </w:pPr>
            <w:r>
              <w:rPr>
                <w:spacing w:val="4"/>
              </w:rPr>
              <w:t>煤矸石(用于燃料)</w:t>
            </w:r>
          </w:p>
        </w:tc>
        <w:tc>
          <w:tcPr>
            <w:tcW w:w="1000" w:type="dxa"/>
            <w:tcBorders>
              <w:left w:val="single" w:color="000000" w:sz="4" w:space="0"/>
              <w:right w:val="single" w:color="000000" w:sz="4" w:space="0"/>
            </w:tcBorders>
            <w:vAlign w:val="top"/>
          </w:tcPr>
          <w:p w14:paraId="323341BD">
            <w:pPr>
              <w:pStyle w:val="6"/>
              <w:spacing w:before="39" w:line="210" w:lineRule="auto"/>
              <w:ind w:left="404"/>
            </w:pPr>
            <w:r>
              <w:t>吨</w:t>
            </w:r>
          </w:p>
        </w:tc>
        <w:tc>
          <w:tcPr>
            <w:tcW w:w="710" w:type="dxa"/>
            <w:tcBorders>
              <w:left w:val="single" w:color="000000" w:sz="4" w:space="0"/>
              <w:right w:val="single" w:color="000000" w:sz="4" w:space="0"/>
            </w:tcBorders>
            <w:vAlign w:val="top"/>
          </w:tcPr>
          <w:p w14:paraId="4BAC7AA5">
            <w:pPr>
              <w:pStyle w:val="6"/>
              <w:spacing w:before="116" w:line="127" w:lineRule="exact"/>
              <w:ind w:left="254"/>
            </w:pPr>
            <w:r>
              <w:rPr>
                <w:spacing w:val="-3"/>
                <w:position w:val="-2"/>
              </w:rPr>
              <w:t>34</w:t>
            </w:r>
          </w:p>
        </w:tc>
        <w:tc>
          <w:tcPr>
            <w:tcW w:w="2840" w:type="dxa"/>
            <w:tcBorders>
              <w:left w:val="single" w:color="000000" w:sz="4" w:space="0"/>
              <w:right w:val="single" w:color="000000" w:sz="4" w:space="0"/>
            </w:tcBorders>
            <w:vAlign w:val="top"/>
          </w:tcPr>
          <w:p w14:paraId="6CEE55DB">
            <w:pPr>
              <w:pStyle w:val="6"/>
              <w:spacing w:before="50" w:line="198" w:lineRule="auto"/>
              <w:ind w:left="114"/>
            </w:pPr>
            <w:r>
              <w:rPr>
                <w:spacing w:val="-1"/>
              </w:rPr>
              <w:t>0.2857吨标准煤/吨</w:t>
            </w:r>
          </w:p>
        </w:tc>
        <w:tc>
          <w:tcPr>
            <w:tcW w:w="2540" w:type="dxa"/>
            <w:tcBorders>
              <w:left w:val="single" w:color="000000" w:sz="4" w:space="0"/>
            </w:tcBorders>
            <w:vAlign w:val="top"/>
          </w:tcPr>
          <w:p w14:paraId="0E1BB500">
            <w:pPr>
              <w:pStyle w:val="6"/>
              <w:spacing w:before="49" w:line="199" w:lineRule="auto"/>
              <w:ind w:left="84"/>
            </w:pPr>
            <w:r>
              <w:rPr>
                <w:spacing w:val="1"/>
              </w:rPr>
              <w:t>约2000千卡/千克</w:t>
            </w:r>
          </w:p>
        </w:tc>
      </w:tr>
      <w:tr w14:paraId="6B609C4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55" w:hRule="atLeast"/>
        </w:trPr>
        <w:tc>
          <w:tcPr>
            <w:tcW w:w="2390" w:type="dxa"/>
            <w:tcBorders>
              <w:right w:val="single" w:color="000000" w:sz="4" w:space="0"/>
            </w:tcBorders>
            <w:vAlign w:val="top"/>
          </w:tcPr>
          <w:p w14:paraId="0D38BED4">
            <w:pPr>
              <w:pStyle w:val="6"/>
              <w:spacing w:before="46" w:line="204" w:lineRule="auto"/>
              <w:ind w:left="109"/>
            </w:pPr>
            <w:r>
              <w:rPr>
                <w:spacing w:val="3"/>
              </w:rPr>
              <w:t>城市生活垃圾(用于燃料)</w:t>
            </w:r>
          </w:p>
        </w:tc>
        <w:tc>
          <w:tcPr>
            <w:tcW w:w="1000" w:type="dxa"/>
            <w:tcBorders>
              <w:left w:val="single" w:color="000000" w:sz="4" w:space="0"/>
              <w:right w:val="single" w:color="000000" w:sz="4" w:space="0"/>
            </w:tcBorders>
            <w:vAlign w:val="top"/>
          </w:tcPr>
          <w:p w14:paraId="77602214">
            <w:pPr>
              <w:pStyle w:val="6"/>
              <w:spacing w:before="25" w:line="225" w:lineRule="auto"/>
              <w:ind w:left="404"/>
            </w:pPr>
            <w:r>
              <w:t>吨</w:t>
            </w:r>
          </w:p>
        </w:tc>
        <w:tc>
          <w:tcPr>
            <w:tcW w:w="710" w:type="dxa"/>
            <w:tcBorders>
              <w:left w:val="single" w:color="000000" w:sz="4" w:space="0"/>
              <w:right w:val="single" w:color="000000" w:sz="4" w:space="0"/>
            </w:tcBorders>
            <w:vAlign w:val="top"/>
          </w:tcPr>
          <w:p w14:paraId="3629E715">
            <w:pPr>
              <w:pStyle w:val="6"/>
              <w:spacing w:before="92" w:line="153" w:lineRule="exact"/>
              <w:ind w:left="254"/>
            </w:pPr>
            <w:r>
              <w:rPr>
                <w:spacing w:val="-3"/>
                <w:position w:val="-2"/>
              </w:rPr>
              <w:t>35</w:t>
            </w:r>
          </w:p>
        </w:tc>
        <w:tc>
          <w:tcPr>
            <w:tcW w:w="2840" w:type="dxa"/>
            <w:tcBorders>
              <w:left w:val="single" w:color="000000" w:sz="4" w:space="0"/>
              <w:right w:val="single" w:color="000000" w:sz="4" w:space="0"/>
            </w:tcBorders>
            <w:vAlign w:val="top"/>
          </w:tcPr>
          <w:p w14:paraId="16857722">
            <w:pPr>
              <w:pStyle w:val="6"/>
              <w:spacing w:before="47" w:line="203" w:lineRule="auto"/>
              <w:ind w:left="114"/>
            </w:pPr>
            <w:r>
              <w:rPr>
                <w:spacing w:val="-1"/>
              </w:rPr>
              <w:t>0.2714吨标准煤/吨</w:t>
            </w:r>
          </w:p>
        </w:tc>
        <w:tc>
          <w:tcPr>
            <w:tcW w:w="2540" w:type="dxa"/>
            <w:tcBorders>
              <w:left w:val="single" w:color="000000" w:sz="4" w:space="0"/>
            </w:tcBorders>
            <w:vAlign w:val="top"/>
          </w:tcPr>
          <w:p w14:paraId="20FEDFDD">
            <w:pPr>
              <w:pStyle w:val="6"/>
              <w:spacing w:before="46" w:line="204" w:lineRule="auto"/>
              <w:ind w:left="84"/>
            </w:pPr>
            <w:r>
              <w:rPr>
                <w:spacing w:val="1"/>
              </w:rPr>
              <w:t>约1900千卡/千克</w:t>
            </w:r>
          </w:p>
        </w:tc>
      </w:tr>
      <w:tr w14:paraId="5089731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84" w:hRule="atLeast"/>
        </w:trPr>
        <w:tc>
          <w:tcPr>
            <w:tcW w:w="2390" w:type="dxa"/>
            <w:tcBorders>
              <w:right w:val="single" w:color="000000" w:sz="4" w:space="0"/>
            </w:tcBorders>
            <w:vAlign w:val="top"/>
          </w:tcPr>
          <w:p w14:paraId="5459CF7F">
            <w:pPr>
              <w:pStyle w:val="6"/>
              <w:spacing w:before="61" w:line="218" w:lineRule="auto"/>
              <w:ind w:left="99"/>
            </w:pPr>
            <w:r>
              <w:rPr>
                <w:spacing w:val="3"/>
              </w:rPr>
              <w:t>生物质能(用于燃料)</w:t>
            </w:r>
          </w:p>
        </w:tc>
        <w:tc>
          <w:tcPr>
            <w:tcW w:w="1000" w:type="dxa"/>
            <w:tcBorders>
              <w:left w:val="single" w:color="000000" w:sz="4" w:space="0"/>
              <w:right w:val="single" w:color="000000" w:sz="4" w:space="0"/>
            </w:tcBorders>
            <w:vAlign w:val="top"/>
          </w:tcPr>
          <w:p w14:paraId="7380EDF3">
            <w:pPr>
              <w:pStyle w:val="6"/>
              <w:spacing w:before="51" w:line="220" w:lineRule="auto"/>
              <w:ind w:left="134"/>
            </w:pPr>
            <w:r>
              <w:rPr>
                <w:spacing w:val="1"/>
              </w:rPr>
              <w:t>吨标准煤</w:t>
            </w:r>
          </w:p>
        </w:tc>
        <w:tc>
          <w:tcPr>
            <w:tcW w:w="710" w:type="dxa"/>
            <w:tcBorders>
              <w:left w:val="single" w:color="000000" w:sz="4" w:space="0"/>
              <w:right w:val="single" w:color="000000" w:sz="4" w:space="0"/>
            </w:tcBorders>
            <w:vAlign w:val="top"/>
          </w:tcPr>
          <w:p w14:paraId="3EF5DE4E">
            <w:pPr>
              <w:pStyle w:val="6"/>
              <w:spacing w:before="127" w:line="146" w:lineRule="exact"/>
              <w:ind w:left="254"/>
            </w:pPr>
            <w:r>
              <w:rPr>
                <w:spacing w:val="-3"/>
                <w:position w:val="-2"/>
              </w:rPr>
              <w:t>36</w:t>
            </w:r>
          </w:p>
        </w:tc>
        <w:tc>
          <w:tcPr>
            <w:tcW w:w="2840" w:type="dxa"/>
            <w:tcBorders>
              <w:left w:val="single" w:color="000000" w:sz="4" w:space="0"/>
              <w:right w:val="single" w:color="000000" w:sz="4" w:space="0"/>
            </w:tcBorders>
            <w:vAlign w:val="top"/>
          </w:tcPr>
          <w:p w14:paraId="710852B2">
            <w:pPr>
              <w:pStyle w:val="6"/>
              <w:spacing w:before="147" w:line="126" w:lineRule="exact"/>
              <w:ind w:left="114"/>
            </w:pPr>
            <w:r>
              <w:rPr>
                <w:position w:val="-3"/>
              </w:rPr>
              <w:t>1</w:t>
            </w:r>
          </w:p>
        </w:tc>
        <w:tc>
          <w:tcPr>
            <w:tcW w:w="2540" w:type="dxa"/>
            <w:tcBorders>
              <w:left w:val="single" w:color="000000" w:sz="4" w:space="0"/>
            </w:tcBorders>
            <w:vAlign w:val="top"/>
          </w:tcPr>
          <w:p w14:paraId="0ADECB4F">
            <w:pPr>
              <w:pStyle w:val="6"/>
              <w:spacing w:before="51" w:line="219" w:lineRule="auto"/>
              <w:ind w:left="84"/>
            </w:pPr>
            <w:r>
              <w:rPr>
                <w:spacing w:val="-1"/>
              </w:rPr>
              <w:t>7000千卡/千克标准煤</w:t>
            </w:r>
          </w:p>
        </w:tc>
      </w:tr>
      <w:tr w14:paraId="28B3159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50" w:hRule="atLeast"/>
        </w:trPr>
        <w:tc>
          <w:tcPr>
            <w:tcW w:w="2390" w:type="dxa"/>
            <w:tcBorders>
              <w:right w:val="single" w:color="000000" w:sz="4" w:space="0"/>
            </w:tcBorders>
            <w:vAlign w:val="top"/>
          </w:tcPr>
          <w:p w14:paraId="63FB56CB">
            <w:pPr>
              <w:pStyle w:val="6"/>
              <w:spacing w:before="27" w:line="218" w:lineRule="auto"/>
              <w:ind w:left="99"/>
            </w:pPr>
            <w:r>
              <w:rPr>
                <w:spacing w:val="-2"/>
              </w:rPr>
              <w:t>余热余压</w:t>
            </w:r>
          </w:p>
        </w:tc>
        <w:tc>
          <w:tcPr>
            <w:tcW w:w="1000" w:type="dxa"/>
            <w:tcBorders>
              <w:left w:val="single" w:color="000000" w:sz="4" w:space="0"/>
              <w:right w:val="single" w:color="000000" w:sz="4" w:space="0"/>
            </w:tcBorders>
            <w:vAlign w:val="top"/>
          </w:tcPr>
          <w:p w14:paraId="6B1C8827">
            <w:pPr>
              <w:pStyle w:val="6"/>
              <w:spacing w:before="38" w:line="207" w:lineRule="auto"/>
              <w:ind w:left="134"/>
            </w:pPr>
            <w:r>
              <w:rPr>
                <w:spacing w:val="2"/>
              </w:rPr>
              <w:t>百万千焦</w:t>
            </w:r>
          </w:p>
        </w:tc>
        <w:tc>
          <w:tcPr>
            <w:tcW w:w="710" w:type="dxa"/>
            <w:tcBorders>
              <w:left w:val="single" w:color="000000" w:sz="4" w:space="0"/>
              <w:right w:val="single" w:color="000000" w:sz="4" w:space="0"/>
            </w:tcBorders>
            <w:vAlign w:val="top"/>
          </w:tcPr>
          <w:p w14:paraId="4DE23C14">
            <w:pPr>
              <w:pStyle w:val="6"/>
              <w:spacing w:before="93" w:line="146" w:lineRule="exact"/>
              <w:ind w:left="254"/>
            </w:pPr>
            <w:r>
              <w:rPr>
                <w:spacing w:val="-3"/>
                <w:position w:val="-2"/>
              </w:rPr>
              <w:t>37</w:t>
            </w:r>
          </w:p>
        </w:tc>
        <w:tc>
          <w:tcPr>
            <w:tcW w:w="2840" w:type="dxa"/>
            <w:tcBorders>
              <w:left w:val="single" w:color="000000" w:sz="4" w:space="0"/>
              <w:right w:val="single" w:color="000000" w:sz="4" w:space="0"/>
            </w:tcBorders>
            <w:vAlign w:val="top"/>
          </w:tcPr>
          <w:p w14:paraId="04BD689B">
            <w:pPr>
              <w:pStyle w:val="6"/>
              <w:spacing w:before="27" w:line="218" w:lineRule="auto"/>
              <w:ind w:left="114"/>
            </w:pPr>
            <w:r>
              <w:rPr>
                <w:spacing w:val="-1"/>
              </w:rPr>
              <w:t>0.0341吨标准煤/百万千焦</w:t>
            </w:r>
          </w:p>
        </w:tc>
        <w:tc>
          <w:tcPr>
            <w:tcW w:w="2540" w:type="dxa"/>
            <w:tcBorders>
              <w:left w:val="single" w:color="000000" w:sz="4" w:space="0"/>
            </w:tcBorders>
            <w:vAlign w:val="top"/>
          </w:tcPr>
          <w:p w14:paraId="190D9753">
            <w:pPr>
              <w:spacing w:line="240" w:lineRule="exact"/>
              <w:rPr>
                <w:rFonts w:ascii="Arial"/>
                <w:sz w:val="20"/>
              </w:rPr>
            </w:pPr>
          </w:p>
        </w:tc>
      </w:tr>
      <w:tr w14:paraId="53F43D8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55" w:hRule="atLeast"/>
        </w:trPr>
        <w:tc>
          <w:tcPr>
            <w:tcW w:w="2390" w:type="dxa"/>
            <w:tcBorders>
              <w:right w:val="single" w:color="000000" w:sz="4" w:space="0"/>
            </w:tcBorders>
            <w:vAlign w:val="top"/>
          </w:tcPr>
          <w:p w14:paraId="50E5595F">
            <w:pPr>
              <w:pStyle w:val="6"/>
              <w:spacing w:before="57" w:line="192" w:lineRule="auto"/>
              <w:ind w:left="99"/>
            </w:pPr>
            <w:r>
              <w:rPr>
                <w:spacing w:val="3"/>
              </w:rPr>
              <w:t>工业废料(用于燃料)</w:t>
            </w:r>
          </w:p>
        </w:tc>
        <w:tc>
          <w:tcPr>
            <w:tcW w:w="1000" w:type="dxa"/>
            <w:tcBorders>
              <w:left w:val="single" w:color="000000" w:sz="4" w:space="0"/>
              <w:right w:val="single" w:color="000000" w:sz="4" w:space="0"/>
            </w:tcBorders>
            <w:vAlign w:val="top"/>
          </w:tcPr>
          <w:p w14:paraId="694D9F91">
            <w:pPr>
              <w:pStyle w:val="6"/>
              <w:spacing w:before="46" w:line="204" w:lineRule="auto"/>
              <w:ind w:left="404"/>
            </w:pPr>
            <w:r>
              <w:t>吨</w:t>
            </w:r>
          </w:p>
        </w:tc>
        <w:tc>
          <w:tcPr>
            <w:tcW w:w="710" w:type="dxa"/>
            <w:tcBorders>
              <w:left w:val="single" w:color="000000" w:sz="4" w:space="0"/>
              <w:right w:val="single" w:color="000000" w:sz="4" w:space="0"/>
            </w:tcBorders>
            <w:vAlign w:val="top"/>
          </w:tcPr>
          <w:p w14:paraId="4893DD1A">
            <w:pPr>
              <w:pStyle w:val="6"/>
              <w:spacing w:before="103" w:line="141" w:lineRule="exact"/>
              <w:ind w:left="254"/>
            </w:pPr>
            <w:r>
              <w:rPr>
                <w:spacing w:val="-3"/>
                <w:position w:val="-2"/>
              </w:rPr>
              <w:t>38</w:t>
            </w:r>
          </w:p>
        </w:tc>
        <w:tc>
          <w:tcPr>
            <w:tcW w:w="2840" w:type="dxa"/>
            <w:tcBorders>
              <w:left w:val="single" w:color="000000" w:sz="4" w:space="0"/>
              <w:right w:val="single" w:color="000000" w:sz="4" w:space="0"/>
            </w:tcBorders>
            <w:vAlign w:val="top"/>
          </w:tcPr>
          <w:p w14:paraId="64A24691">
            <w:pPr>
              <w:pStyle w:val="6"/>
              <w:spacing w:before="57" w:line="192" w:lineRule="auto"/>
              <w:ind w:left="114"/>
            </w:pPr>
            <w:r>
              <w:rPr>
                <w:spacing w:val="-1"/>
              </w:rPr>
              <w:t>0.4285吨标准煤/吨</w:t>
            </w:r>
          </w:p>
        </w:tc>
        <w:tc>
          <w:tcPr>
            <w:tcW w:w="2540" w:type="dxa"/>
            <w:tcBorders>
              <w:left w:val="single" w:color="000000" w:sz="4" w:space="0"/>
            </w:tcBorders>
            <w:vAlign w:val="top"/>
          </w:tcPr>
          <w:p w14:paraId="611A8962">
            <w:pPr>
              <w:pStyle w:val="6"/>
              <w:spacing w:before="47" w:line="203" w:lineRule="auto"/>
              <w:ind w:left="84"/>
            </w:pPr>
            <w:r>
              <w:rPr>
                <w:spacing w:val="1"/>
              </w:rPr>
              <w:t>约3000千卡/千克</w:t>
            </w:r>
          </w:p>
        </w:tc>
      </w:tr>
      <w:tr w14:paraId="1CE1E5D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50" w:hRule="atLeast"/>
        </w:trPr>
        <w:tc>
          <w:tcPr>
            <w:tcW w:w="2390" w:type="dxa"/>
            <w:tcBorders>
              <w:right w:val="single" w:color="000000" w:sz="4" w:space="0"/>
            </w:tcBorders>
            <w:vAlign w:val="top"/>
          </w:tcPr>
          <w:p w14:paraId="62A9B5C9">
            <w:pPr>
              <w:pStyle w:val="6"/>
              <w:spacing w:before="43" w:line="202" w:lineRule="auto"/>
              <w:ind w:left="99"/>
            </w:pPr>
            <w:r>
              <w:rPr>
                <w:spacing w:val="-2"/>
              </w:rPr>
              <w:t>其他燃料</w:t>
            </w:r>
          </w:p>
        </w:tc>
        <w:tc>
          <w:tcPr>
            <w:tcW w:w="1000" w:type="dxa"/>
            <w:tcBorders>
              <w:left w:val="single" w:color="000000" w:sz="4" w:space="0"/>
              <w:right w:val="single" w:color="000000" w:sz="4" w:space="0"/>
            </w:tcBorders>
            <w:vAlign w:val="top"/>
          </w:tcPr>
          <w:p w14:paraId="59717282">
            <w:pPr>
              <w:pStyle w:val="6"/>
              <w:spacing w:before="43" w:line="202" w:lineRule="auto"/>
              <w:ind w:left="134"/>
            </w:pPr>
            <w:r>
              <w:rPr>
                <w:spacing w:val="1"/>
              </w:rPr>
              <w:t>吨标准煤</w:t>
            </w:r>
          </w:p>
        </w:tc>
        <w:tc>
          <w:tcPr>
            <w:tcW w:w="710" w:type="dxa"/>
            <w:tcBorders>
              <w:left w:val="single" w:color="000000" w:sz="4" w:space="0"/>
              <w:right w:val="single" w:color="000000" w:sz="4" w:space="0"/>
            </w:tcBorders>
            <w:vAlign w:val="top"/>
          </w:tcPr>
          <w:p w14:paraId="1C8F8205">
            <w:pPr>
              <w:pStyle w:val="6"/>
              <w:spacing w:before="108" w:line="131" w:lineRule="exact"/>
              <w:ind w:left="254"/>
            </w:pPr>
            <w:r>
              <w:rPr>
                <w:spacing w:val="-3"/>
                <w:position w:val="-2"/>
              </w:rPr>
              <w:t>39</w:t>
            </w:r>
          </w:p>
        </w:tc>
        <w:tc>
          <w:tcPr>
            <w:tcW w:w="2840" w:type="dxa"/>
            <w:tcBorders>
              <w:left w:val="single" w:color="000000" w:sz="4" w:space="0"/>
              <w:right w:val="single" w:color="000000" w:sz="4" w:space="0"/>
            </w:tcBorders>
            <w:vAlign w:val="top"/>
          </w:tcPr>
          <w:p w14:paraId="7997025D">
            <w:pPr>
              <w:spacing w:line="240" w:lineRule="exact"/>
              <w:rPr>
                <w:rFonts w:ascii="Arial"/>
                <w:sz w:val="20"/>
              </w:rPr>
            </w:pPr>
          </w:p>
        </w:tc>
        <w:tc>
          <w:tcPr>
            <w:tcW w:w="2540" w:type="dxa"/>
            <w:tcBorders>
              <w:left w:val="single" w:color="000000" w:sz="4" w:space="0"/>
            </w:tcBorders>
            <w:vAlign w:val="top"/>
          </w:tcPr>
          <w:p w14:paraId="632508D1">
            <w:pPr>
              <w:pStyle w:val="6"/>
              <w:spacing w:before="42" w:line="203" w:lineRule="auto"/>
              <w:ind w:left="84"/>
            </w:pPr>
            <w:r>
              <w:rPr>
                <w:spacing w:val="-1"/>
              </w:rPr>
              <w:t>7000千卡/千克标准煤</w:t>
            </w:r>
          </w:p>
        </w:tc>
      </w:tr>
      <w:tr w14:paraId="2655FF0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59" w:hRule="atLeast"/>
        </w:trPr>
        <w:tc>
          <w:tcPr>
            <w:tcW w:w="2390" w:type="dxa"/>
            <w:tcBorders>
              <w:bottom w:val="single" w:color="000000" w:sz="4" w:space="0"/>
              <w:right w:val="single" w:color="000000" w:sz="4" w:space="0"/>
            </w:tcBorders>
            <w:vAlign w:val="top"/>
          </w:tcPr>
          <w:p w14:paraId="1910F654">
            <w:pPr>
              <w:pStyle w:val="6"/>
              <w:spacing w:before="53" w:line="201" w:lineRule="auto"/>
              <w:ind w:left="99"/>
            </w:pPr>
            <w:r>
              <w:rPr>
                <w:spacing w:val="1"/>
              </w:rPr>
              <w:t>能源合计</w:t>
            </w:r>
          </w:p>
        </w:tc>
        <w:tc>
          <w:tcPr>
            <w:tcW w:w="1000" w:type="dxa"/>
            <w:tcBorders>
              <w:left w:val="single" w:color="000000" w:sz="4" w:space="0"/>
              <w:bottom w:val="single" w:color="000000" w:sz="4" w:space="0"/>
              <w:right w:val="single" w:color="000000" w:sz="4" w:space="0"/>
            </w:tcBorders>
            <w:vAlign w:val="top"/>
          </w:tcPr>
          <w:p w14:paraId="705F9166">
            <w:pPr>
              <w:pStyle w:val="6"/>
              <w:spacing w:before="32" w:line="220" w:lineRule="auto"/>
              <w:ind w:left="134"/>
            </w:pPr>
            <w:r>
              <w:rPr>
                <w:spacing w:val="1"/>
              </w:rPr>
              <w:t>吨标准煤</w:t>
            </w:r>
          </w:p>
        </w:tc>
        <w:tc>
          <w:tcPr>
            <w:tcW w:w="710" w:type="dxa"/>
            <w:tcBorders>
              <w:left w:val="single" w:color="000000" w:sz="4" w:space="0"/>
              <w:bottom w:val="single" w:color="000000" w:sz="4" w:space="0"/>
              <w:right w:val="single" w:color="000000" w:sz="4" w:space="0"/>
            </w:tcBorders>
            <w:vAlign w:val="top"/>
          </w:tcPr>
          <w:p w14:paraId="16DDFFAE">
            <w:pPr>
              <w:pStyle w:val="6"/>
              <w:spacing w:before="118" w:line="130" w:lineRule="exact"/>
              <w:ind w:left="254"/>
            </w:pPr>
            <w:r>
              <w:rPr>
                <w:spacing w:val="-2"/>
                <w:position w:val="-2"/>
              </w:rPr>
              <w:t>40</w:t>
            </w:r>
          </w:p>
        </w:tc>
        <w:tc>
          <w:tcPr>
            <w:tcW w:w="2840" w:type="dxa"/>
            <w:tcBorders>
              <w:left w:val="single" w:color="000000" w:sz="4" w:space="0"/>
              <w:bottom w:val="single" w:color="000000" w:sz="4" w:space="0"/>
              <w:right w:val="single" w:color="000000" w:sz="4" w:space="0"/>
            </w:tcBorders>
            <w:vAlign w:val="top"/>
          </w:tcPr>
          <w:p w14:paraId="636CD33C">
            <w:pPr>
              <w:rPr>
                <w:rFonts w:ascii="Arial"/>
                <w:sz w:val="21"/>
              </w:rPr>
            </w:pPr>
          </w:p>
        </w:tc>
        <w:tc>
          <w:tcPr>
            <w:tcW w:w="2540" w:type="dxa"/>
            <w:tcBorders>
              <w:left w:val="single" w:color="000000" w:sz="4" w:space="0"/>
              <w:bottom w:val="single" w:color="000000" w:sz="4" w:space="0"/>
            </w:tcBorders>
            <w:vAlign w:val="top"/>
          </w:tcPr>
          <w:p w14:paraId="710B340F">
            <w:pPr>
              <w:rPr>
                <w:rFonts w:ascii="Arial"/>
                <w:sz w:val="21"/>
              </w:rPr>
            </w:pPr>
          </w:p>
        </w:tc>
      </w:tr>
    </w:tbl>
    <w:p w14:paraId="1F251DA5">
      <w:pPr>
        <w:pStyle w:val="2"/>
      </w:pPr>
    </w:p>
    <w:p w14:paraId="651D7C85">
      <w:pPr>
        <w:sectPr>
          <w:headerReference r:id="rId21" w:type="default"/>
          <w:pgSz w:w="11910" w:h="16840"/>
          <w:pgMar w:top="1046" w:right="1219" w:bottom="0" w:left="1210" w:header="876" w:footer="0" w:gutter="0"/>
          <w:cols w:space="720" w:num="1"/>
        </w:sectPr>
      </w:pPr>
    </w:p>
    <w:p w14:paraId="1B05B5BD">
      <w:pPr>
        <w:pStyle w:val="2"/>
        <w:spacing w:line="361" w:lineRule="auto"/>
      </w:pPr>
    </w:p>
    <w:p w14:paraId="02EBD20D">
      <w:pPr>
        <w:spacing w:before="59" w:line="219" w:lineRule="auto"/>
        <w:ind w:left="360"/>
        <w:rPr>
          <w:rFonts w:ascii="宋体" w:hAnsi="宋体" w:eastAsia="宋体" w:cs="宋体"/>
          <w:sz w:val="18"/>
          <w:szCs w:val="18"/>
        </w:rPr>
      </w:pPr>
      <w:bookmarkStart w:id="18" w:name="bookmark21"/>
      <w:bookmarkEnd w:id="18"/>
      <w:r>
        <w:rPr>
          <w:rFonts w:ascii="宋体" w:hAnsi="宋体" w:eastAsia="宋体" w:cs="宋体"/>
          <w:spacing w:val="-7"/>
          <w:sz w:val="18"/>
          <w:szCs w:val="18"/>
        </w:rPr>
        <w:t>填报目录说明：</w:t>
      </w:r>
    </w:p>
    <w:p w14:paraId="117A9E3E">
      <w:pPr>
        <w:spacing w:before="66" w:line="219" w:lineRule="auto"/>
        <w:ind w:left="360"/>
        <w:rPr>
          <w:rFonts w:ascii="宋体" w:hAnsi="宋体" w:eastAsia="宋体" w:cs="宋体"/>
          <w:sz w:val="18"/>
          <w:szCs w:val="18"/>
        </w:rPr>
      </w:pPr>
      <w:r>
        <w:rPr>
          <w:rFonts w:ascii="宋体" w:hAnsi="宋体" w:eastAsia="宋体" w:cs="宋体"/>
          <w:spacing w:val="7"/>
          <w:sz w:val="18"/>
          <w:szCs w:val="18"/>
        </w:rPr>
        <w:t>1.原煤=无烟煤+炼焦烟煤十一般烟煤+褐煤。</w:t>
      </w:r>
    </w:p>
    <w:p w14:paraId="3597B170">
      <w:pPr>
        <w:spacing w:before="96" w:line="219" w:lineRule="auto"/>
        <w:ind w:left="360"/>
        <w:rPr>
          <w:rFonts w:ascii="宋体" w:hAnsi="宋体" w:eastAsia="宋体" w:cs="宋体"/>
          <w:sz w:val="18"/>
          <w:szCs w:val="18"/>
        </w:rPr>
      </w:pPr>
      <w:r>
        <w:rPr>
          <w:rFonts w:ascii="宋体" w:hAnsi="宋体" w:eastAsia="宋体" w:cs="宋体"/>
          <w:spacing w:val="4"/>
          <w:sz w:val="18"/>
          <w:szCs w:val="18"/>
        </w:rPr>
        <w:t>2.能源合计=</w:t>
      </w:r>
      <w:r>
        <w:rPr>
          <w:rFonts w:ascii="Times New Roman" w:hAnsi="Times New Roman" w:eastAsia="Times New Roman" w:cs="Times New Roman"/>
          <w:spacing w:val="4"/>
          <w:sz w:val="18"/>
          <w:szCs w:val="18"/>
        </w:rPr>
        <w:t>Z</w:t>
      </w:r>
      <w:r>
        <w:rPr>
          <w:rFonts w:ascii="宋体" w:hAnsi="宋体" w:eastAsia="宋体" w:cs="宋体"/>
          <w:spacing w:val="4"/>
          <w:sz w:val="18"/>
          <w:szCs w:val="18"/>
        </w:rPr>
        <w:t>能源品种×折标准煤系数(求和时不要重</w:t>
      </w:r>
      <w:r>
        <w:rPr>
          <w:rFonts w:ascii="宋体" w:hAnsi="宋体" w:eastAsia="宋体" w:cs="宋体"/>
          <w:spacing w:val="3"/>
          <w:sz w:val="18"/>
          <w:szCs w:val="18"/>
        </w:rPr>
        <w:t>复计算其中项)。</w:t>
      </w:r>
    </w:p>
    <w:p w14:paraId="44DF8912">
      <w:pPr>
        <w:spacing w:before="45" w:line="253" w:lineRule="auto"/>
        <w:ind w:left="360" w:right="1514"/>
        <w:rPr>
          <w:rFonts w:ascii="宋体" w:hAnsi="宋体" w:eastAsia="宋体" w:cs="宋体"/>
          <w:sz w:val="18"/>
          <w:szCs w:val="18"/>
        </w:rPr>
      </w:pPr>
      <w:r>
        <w:rPr>
          <w:rFonts w:ascii="宋体" w:hAnsi="宋体" w:eastAsia="宋体" w:cs="宋体"/>
          <w:spacing w:val="-2"/>
          <w:sz w:val="18"/>
          <w:szCs w:val="18"/>
        </w:rPr>
        <w:t>3.其他燃料是指代码01-38 以外未列出的作为燃料</w:t>
      </w:r>
      <w:r>
        <w:rPr>
          <w:rFonts w:ascii="宋体" w:hAnsi="宋体" w:eastAsia="宋体" w:cs="宋体"/>
          <w:spacing w:val="-3"/>
          <w:sz w:val="18"/>
          <w:szCs w:val="18"/>
        </w:rPr>
        <w:t>使用的物质，按其发热量折算成吨标准煤统计。</w:t>
      </w:r>
      <w:r>
        <w:rPr>
          <w:rFonts w:ascii="宋体" w:hAnsi="宋体" w:eastAsia="宋体" w:cs="宋体"/>
          <w:sz w:val="18"/>
          <w:szCs w:val="18"/>
        </w:rPr>
        <w:t xml:space="preserve"> </w:t>
      </w:r>
      <w:r>
        <w:rPr>
          <w:rFonts w:ascii="宋体" w:hAnsi="宋体" w:eastAsia="宋体" w:cs="宋体"/>
          <w:spacing w:val="-7"/>
          <w:sz w:val="18"/>
          <w:szCs w:val="18"/>
        </w:rPr>
        <w:t>4.几种产品的单位换算：</w:t>
      </w:r>
    </w:p>
    <w:p w14:paraId="0CB049A4">
      <w:pPr>
        <w:spacing w:before="57" w:line="290" w:lineRule="exact"/>
        <w:ind w:left="360"/>
        <w:rPr>
          <w:rFonts w:ascii="宋体" w:hAnsi="宋体" w:eastAsia="宋体" w:cs="宋体"/>
          <w:sz w:val="18"/>
          <w:szCs w:val="18"/>
        </w:rPr>
      </w:pPr>
      <w:r>
        <w:rPr>
          <w:rFonts w:ascii="宋体" w:hAnsi="宋体" w:eastAsia="宋体" w:cs="宋体"/>
          <w:spacing w:val="-4"/>
          <w:position w:val="8"/>
          <w:sz w:val="18"/>
          <w:szCs w:val="18"/>
        </w:rPr>
        <w:t>(1)1千克液化天然气≈1.38立方米天然气；1</w:t>
      </w:r>
      <w:r>
        <w:rPr>
          <w:rFonts w:ascii="宋体" w:hAnsi="宋体" w:eastAsia="宋体" w:cs="宋体"/>
          <w:spacing w:val="-38"/>
          <w:position w:val="8"/>
          <w:sz w:val="18"/>
          <w:szCs w:val="18"/>
        </w:rPr>
        <w:t xml:space="preserve"> </w:t>
      </w:r>
      <w:r>
        <w:rPr>
          <w:rFonts w:ascii="宋体" w:hAnsi="宋体" w:eastAsia="宋体" w:cs="宋体"/>
          <w:spacing w:val="-4"/>
          <w:position w:val="8"/>
          <w:sz w:val="18"/>
          <w:szCs w:val="18"/>
        </w:rPr>
        <w:t>立方米天然气≈0.</w:t>
      </w:r>
      <w:r>
        <w:rPr>
          <w:rFonts w:ascii="宋体" w:hAnsi="宋体" w:eastAsia="宋体" w:cs="宋体"/>
          <w:spacing w:val="-5"/>
          <w:position w:val="8"/>
          <w:sz w:val="18"/>
          <w:szCs w:val="18"/>
        </w:rPr>
        <w:t>7256千克液化天然气</w:t>
      </w:r>
    </w:p>
    <w:p w14:paraId="3584F8C7">
      <w:pPr>
        <w:spacing w:line="219" w:lineRule="auto"/>
        <w:ind w:left="360"/>
        <w:rPr>
          <w:rFonts w:ascii="宋体" w:hAnsi="宋体" w:eastAsia="宋体" w:cs="宋体"/>
          <w:sz w:val="18"/>
          <w:szCs w:val="18"/>
        </w:rPr>
      </w:pPr>
      <w:r>
        <w:rPr>
          <w:rFonts w:ascii="宋体" w:hAnsi="宋体" w:eastAsia="宋体" w:cs="宋体"/>
          <w:spacing w:val="-2"/>
          <w:sz w:val="18"/>
          <w:szCs w:val="18"/>
        </w:rPr>
        <w:t>(2)氢气，1立方米~0.0899千克，1千克≈11.1235立方米</w:t>
      </w:r>
    </w:p>
    <w:p w14:paraId="1219F171">
      <w:pPr>
        <w:spacing w:before="46" w:line="219" w:lineRule="auto"/>
        <w:ind w:left="360"/>
        <w:rPr>
          <w:rFonts w:ascii="宋体" w:hAnsi="宋体" w:eastAsia="宋体" w:cs="宋体"/>
          <w:sz w:val="18"/>
          <w:szCs w:val="18"/>
        </w:rPr>
      </w:pPr>
      <w:r>
        <w:rPr>
          <w:rFonts w:ascii="宋体" w:hAnsi="宋体" w:eastAsia="宋体" w:cs="宋体"/>
          <w:spacing w:val="-5"/>
          <w:sz w:val="18"/>
          <w:szCs w:val="18"/>
        </w:rPr>
        <w:t>(3)汽油，1升≈0.73千克，1千克≈1.369</w:t>
      </w:r>
      <w:r>
        <w:rPr>
          <w:rFonts w:ascii="宋体" w:hAnsi="宋体" w:eastAsia="宋体" w:cs="宋体"/>
          <w:spacing w:val="-6"/>
          <w:sz w:val="18"/>
          <w:szCs w:val="18"/>
        </w:rPr>
        <w:t>9升</w:t>
      </w:r>
    </w:p>
    <w:p w14:paraId="47063E10">
      <w:pPr>
        <w:spacing w:before="66" w:line="300" w:lineRule="exact"/>
        <w:ind w:left="360"/>
        <w:rPr>
          <w:rFonts w:ascii="宋体" w:hAnsi="宋体" w:eastAsia="宋体" w:cs="宋体"/>
          <w:sz w:val="18"/>
          <w:szCs w:val="18"/>
        </w:rPr>
      </w:pPr>
      <w:r>
        <w:rPr>
          <w:rFonts w:ascii="宋体" w:hAnsi="宋体" w:eastAsia="宋体" w:cs="宋体"/>
          <w:spacing w:val="-5"/>
          <w:position w:val="9"/>
          <w:sz w:val="18"/>
          <w:szCs w:val="18"/>
        </w:rPr>
        <w:t>(4)重柴油，1升≈0.92千克，1千克≈1.0870升</w:t>
      </w:r>
    </w:p>
    <w:p w14:paraId="22865383">
      <w:pPr>
        <w:spacing w:before="1" w:line="219" w:lineRule="auto"/>
        <w:ind w:left="360"/>
        <w:rPr>
          <w:rFonts w:ascii="宋体" w:hAnsi="宋体" w:eastAsia="宋体" w:cs="宋体"/>
          <w:sz w:val="18"/>
          <w:szCs w:val="18"/>
        </w:rPr>
      </w:pPr>
      <w:r>
        <w:rPr>
          <w:rFonts w:ascii="宋体" w:hAnsi="宋体" w:eastAsia="宋体" w:cs="宋体"/>
          <w:spacing w:val="-5"/>
          <w:sz w:val="18"/>
          <w:szCs w:val="18"/>
        </w:rPr>
        <w:t>(5)轻柴油，1升≈0.86千克，1千克≈1.1628升</w:t>
      </w:r>
    </w:p>
    <w:p w14:paraId="6F7B5411">
      <w:pPr>
        <w:spacing w:before="46" w:line="219" w:lineRule="auto"/>
        <w:ind w:left="360"/>
        <w:rPr>
          <w:rFonts w:ascii="宋体" w:hAnsi="宋体" w:eastAsia="宋体" w:cs="宋体"/>
          <w:sz w:val="18"/>
          <w:szCs w:val="18"/>
        </w:rPr>
      </w:pPr>
      <w:r>
        <w:rPr>
          <w:rFonts w:ascii="宋体" w:hAnsi="宋体" w:eastAsia="宋体" w:cs="宋体"/>
          <w:spacing w:val="-5"/>
          <w:sz w:val="18"/>
          <w:szCs w:val="18"/>
        </w:rPr>
        <w:t>(6)煤油，1升≈0.82千克，1千克≈1.219</w:t>
      </w:r>
      <w:r>
        <w:rPr>
          <w:rFonts w:ascii="宋体" w:hAnsi="宋体" w:eastAsia="宋体" w:cs="宋体"/>
          <w:spacing w:val="-6"/>
          <w:sz w:val="18"/>
          <w:szCs w:val="18"/>
        </w:rPr>
        <w:t>5升</w:t>
      </w:r>
    </w:p>
    <w:p w14:paraId="6997161C">
      <w:pPr>
        <w:spacing w:before="76" w:line="280" w:lineRule="exact"/>
        <w:ind w:left="360"/>
        <w:rPr>
          <w:rFonts w:ascii="宋体" w:hAnsi="宋体" w:eastAsia="宋体" w:cs="宋体"/>
          <w:sz w:val="18"/>
          <w:szCs w:val="18"/>
        </w:rPr>
      </w:pPr>
      <w:r>
        <w:rPr>
          <w:rFonts w:ascii="宋体" w:hAnsi="宋体" w:eastAsia="宋体" w:cs="宋体"/>
          <w:spacing w:val="-2"/>
          <w:position w:val="7"/>
          <w:sz w:val="18"/>
          <w:szCs w:val="18"/>
        </w:rPr>
        <w:t>(7)燃料油，1升≈0.91千克，1千克~1.0990升</w:t>
      </w:r>
    </w:p>
    <w:p w14:paraId="1736669A">
      <w:pPr>
        <w:spacing w:line="218" w:lineRule="auto"/>
        <w:ind w:left="360"/>
        <w:rPr>
          <w:rFonts w:ascii="宋体" w:hAnsi="宋体" w:eastAsia="宋体" w:cs="宋体"/>
          <w:sz w:val="18"/>
          <w:szCs w:val="18"/>
        </w:rPr>
      </w:pPr>
      <w:r>
        <w:rPr>
          <w:rFonts w:ascii="宋体" w:hAnsi="宋体" w:eastAsia="宋体" w:cs="宋体"/>
          <w:spacing w:val="-6"/>
          <w:sz w:val="18"/>
          <w:szCs w:val="18"/>
        </w:rPr>
        <w:t>5.几种产品加工转换计算的规定：</w:t>
      </w:r>
    </w:p>
    <w:p w14:paraId="409F965B">
      <w:pPr>
        <w:spacing w:before="68" w:line="258" w:lineRule="auto"/>
        <w:ind w:right="129" w:firstLine="360"/>
        <w:rPr>
          <w:rFonts w:ascii="宋体" w:hAnsi="宋体" w:eastAsia="宋体" w:cs="宋体"/>
          <w:sz w:val="18"/>
          <w:szCs w:val="18"/>
        </w:rPr>
      </w:pPr>
      <w:r>
        <w:rPr>
          <w:rFonts w:ascii="宋体" w:hAnsi="宋体" w:eastAsia="宋体" w:cs="宋体"/>
          <w:spacing w:val="-1"/>
          <w:sz w:val="18"/>
          <w:szCs w:val="18"/>
        </w:rPr>
        <w:t>(1)天然气：企业购入天然气，添加一些其他成分后</w:t>
      </w:r>
      <w:r>
        <w:rPr>
          <w:rFonts w:ascii="宋体" w:hAnsi="宋体" w:eastAsia="宋体" w:cs="宋体"/>
          <w:spacing w:val="-2"/>
          <w:sz w:val="18"/>
          <w:szCs w:val="18"/>
        </w:rPr>
        <w:t>，又以天然气为产品进行销售，这种情况下不作加工转换计算，</w:t>
      </w:r>
      <w:r>
        <w:rPr>
          <w:rFonts w:ascii="宋体" w:hAnsi="宋体" w:eastAsia="宋体" w:cs="宋体"/>
          <w:sz w:val="18"/>
          <w:szCs w:val="18"/>
        </w:rPr>
        <w:t xml:space="preserve"> </w:t>
      </w:r>
      <w:r>
        <w:rPr>
          <w:rFonts w:ascii="宋体" w:hAnsi="宋体" w:eastAsia="宋体" w:cs="宋体"/>
          <w:spacing w:val="4"/>
          <w:sz w:val="18"/>
          <w:szCs w:val="18"/>
        </w:rPr>
        <w:t>天然气消费量只计算加工过程中的损失部分(如果没有损失，则</w:t>
      </w:r>
      <w:r>
        <w:rPr>
          <w:rFonts w:ascii="宋体" w:hAnsi="宋体" w:eastAsia="宋体" w:cs="宋体"/>
          <w:spacing w:val="3"/>
          <w:sz w:val="18"/>
          <w:szCs w:val="18"/>
        </w:rPr>
        <w:t>消费量为“0”)。</w:t>
      </w:r>
    </w:p>
    <w:p w14:paraId="21876F19">
      <w:pPr>
        <w:spacing w:before="65" w:line="263" w:lineRule="auto"/>
        <w:ind w:right="70" w:firstLine="360"/>
        <w:rPr>
          <w:rFonts w:ascii="宋体" w:hAnsi="宋体" w:eastAsia="宋体" w:cs="宋体"/>
          <w:sz w:val="18"/>
          <w:szCs w:val="18"/>
        </w:rPr>
      </w:pPr>
      <w:r>
        <w:rPr>
          <w:rFonts w:ascii="宋体" w:hAnsi="宋体" w:eastAsia="宋体" w:cs="宋体"/>
          <w:spacing w:val="1"/>
          <w:sz w:val="18"/>
          <w:szCs w:val="18"/>
        </w:rPr>
        <w:t>(2)成品油：企业购入某种成品油，添加一些其他成分后，又以这种成品油为产品进行销售(购入和销售的产品在统</w:t>
      </w:r>
      <w:r>
        <w:rPr>
          <w:rFonts w:ascii="宋体" w:hAnsi="宋体" w:eastAsia="宋体" w:cs="宋体"/>
          <w:spacing w:val="5"/>
          <w:sz w:val="18"/>
          <w:szCs w:val="18"/>
        </w:rPr>
        <w:t xml:space="preserve"> </w:t>
      </w:r>
      <w:r>
        <w:rPr>
          <w:rFonts w:ascii="宋体" w:hAnsi="宋体" w:eastAsia="宋体" w:cs="宋体"/>
          <w:spacing w:val="3"/>
          <w:sz w:val="18"/>
          <w:szCs w:val="18"/>
        </w:rPr>
        <w:t>计上为同名称的产品),这种情况下不作加工转换计算，其消费量只计算加工过程中的损失部分(如</w:t>
      </w:r>
      <w:r>
        <w:rPr>
          <w:rFonts w:ascii="宋体" w:hAnsi="宋体" w:eastAsia="宋体" w:cs="宋体"/>
          <w:spacing w:val="2"/>
          <w:sz w:val="18"/>
          <w:szCs w:val="18"/>
        </w:rPr>
        <w:t>果没有损失，则消费</w:t>
      </w:r>
      <w:r>
        <w:rPr>
          <w:rFonts w:ascii="宋体" w:hAnsi="宋体" w:eastAsia="宋体" w:cs="宋体"/>
          <w:sz w:val="18"/>
          <w:szCs w:val="18"/>
        </w:rPr>
        <w:t xml:space="preserve"> </w:t>
      </w:r>
      <w:r>
        <w:rPr>
          <w:rFonts w:ascii="宋体" w:hAnsi="宋体" w:eastAsia="宋体" w:cs="宋体"/>
          <w:spacing w:val="1"/>
          <w:sz w:val="18"/>
          <w:szCs w:val="18"/>
        </w:rPr>
        <w:t>量为“0”)。但是企业购入某种成品油，经过某种生产工艺加工成另外一种产品，比如将重油加工成汽油、煤油等轻质</w:t>
      </w:r>
      <w:r>
        <w:rPr>
          <w:rFonts w:ascii="宋体" w:hAnsi="宋体" w:eastAsia="宋体" w:cs="宋体"/>
          <w:spacing w:val="15"/>
          <w:sz w:val="18"/>
          <w:szCs w:val="18"/>
        </w:rPr>
        <w:t xml:space="preserve"> </w:t>
      </w:r>
      <w:r>
        <w:rPr>
          <w:rFonts w:ascii="宋体" w:hAnsi="宋体" w:eastAsia="宋体" w:cs="宋体"/>
          <w:spacing w:val="-1"/>
          <w:sz w:val="18"/>
          <w:szCs w:val="18"/>
        </w:rPr>
        <w:t>油或其他石油制品，这种情况应视作加工转换，并按照能源加工转换的统计规定，填报相应产品的投入量和产出量。</w:t>
      </w:r>
    </w:p>
    <w:p w14:paraId="11FF08E4">
      <w:pPr>
        <w:spacing w:before="106" w:line="243" w:lineRule="auto"/>
        <w:ind w:right="89" w:firstLine="360"/>
        <w:rPr>
          <w:rFonts w:ascii="宋体" w:hAnsi="宋体" w:eastAsia="宋体" w:cs="宋体"/>
          <w:sz w:val="18"/>
          <w:szCs w:val="18"/>
        </w:rPr>
      </w:pPr>
      <w:r>
        <w:rPr>
          <w:rFonts w:ascii="宋体" w:hAnsi="宋体" w:eastAsia="宋体" w:cs="宋体"/>
          <w:spacing w:val="-1"/>
          <w:sz w:val="18"/>
          <w:szCs w:val="18"/>
        </w:rPr>
        <w:t>(3)蓄能发电：企业用电力进行抽水蓄能，再用蓄水发电，这种情况不应视作能源加工转换。企业电力消费只填报抽</w:t>
      </w:r>
      <w:r>
        <w:rPr>
          <w:rFonts w:ascii="宋体" w:hAnsi="宋体" w:eastAsia="宋体" w:cs="宋体"/>
          <w:spacing w:val="12"/>
          <w:sz w:val="18"/>
          <w:szCs w:val="18"/>
        </w:rPr>
        <w:t xml:space="preserve"> </w:t>
      </w:r>
      <w:r>
        <w:rPr>
          <w:rFonts w:ascii="宋体" w:hAnsi="宋体" w:eastAsia="宋体" w:cs="宋体"/>
          <w:spacing w:val="-1"/>
          <w:sz w:val="18"/>
          <w:szCs w:val="18"/>
        </w:rPr>
        <w:t>水用电和蓄水发电的差额部分以及与抽水蓄能发电没有直接关系的企业其他用电。</w:t>
      </w:r>
    </w:p>
    <w:p w14:paraId="06C90AC1">
      <w:pPr>
        <w:spacing w:before="66" w:line="219" w:lineRule="auto"/>
        <w:ind w:left="360"/>
        <w:rPr>
          <w:rFonts w:ascii="宋体" w:hAnsi="宋体" w:eastAsia="宋体" w:cs="宋体"/>
          <w:sz w:val="18"/>
          <w:szCs w:val="18"/>
        </w:rPr>
      </w:pPr>
      <w:r>
        <w:rPr>
          <w:rFonts w:ascii="宋体" w:hAnsi="宋体" w:eastAsia="宋体" w:cs="宋体"/>
          <w:spacing w:val="-8"/>
          <w:sz w:val="18"/>
          <w:szCs w:val="18"/>
        </w:rPr>
        <w:t>6.主要指标解释：</w:t>
      </w:r>
    </w:p>
    <w:p w14:paraId="505529F0">
      <w:pPr>
        <w:spacing w:before="75" w:line="265" w:lineRule="auto"/>
        <w:ind w:right="8" w:firstLine="360"/>
        <w:rPr>
          <w:rFonts w:ascii="宋体" w:hAnsi="宋体" w:eastAsia="宋体" w:cs="宋体"/>
          <w:sz w:val="18"/>
          <w:szCs w:val="18"/>
        </w:rPr>
      </w:pPr>
      <w:r>
        <w:rPr>
          <w:rFonts w:ascii="宋体" w:hAnsi="宋体" w:eastAsia="宋体" w:cs="宋体"/>
          <w:spacing w:val="-1"/>
          <w:sz w:val="18"/>
          <w:szCs w:val="18"/>
        </w:rPr>
        <w:t>其他焦化产品：指在炼焦过程中，除焦炭、焦炉煤气以外产生的其他副产品，如煤焦油、粗苯等。炼焦的产品很多，</w:t>
      </w:r>
      <w:r>
        <w:rPr>
          <w:rFonts w:ascii="宋体" w:hAnsi="宋体" w:eastAsia="宋体" w:cs="宋体"/>
          <w:spacing w:val="2"/>
          <w:sz w:val="18"/>
          <w:szCs w:val="18"/>
        </w:rPr>
        <w:t xml:space="preserve"> </w:t>
      </w:r>
      <w:r>
        <w:rPr>
          <w:rFonts w:ascii="宋体" w:hAnsi="宋体" w:eastAsia="宋体" w:cs="宋体"/>
          <w:spacing w:val="-2"/>
          <w:sz w:val="18"/>
          <w:szCs w:val="18"/>
        </w:rPr>
        <w:t>目录中只列出了焦炭、焦炉煤气这两个品种，统计时为了简化，把除这两个品种</w:t>
      </w:r>
      <w:r>
        <w:rPr>
          <w:rFonts w:ascii="宋体" w:hAnsi="宋体" w:eastAsia="宋体" w:cs="宋体"/>
          <w:spacing w:val="-3"/>
          <w:sz w:val="18"/>
          <w:szCs w:val="18"/>
        </w:rPr>
        <w:t>以外的其他炼焦副产品归并在“其他焦化</w:t>
      </w:r>
      <w:r>
        <w:rPr>
          <w:rFonts w:ascii="宋体" w:hAnsi="宋体" w:eastAsia="宋体" w:cs="宋体"/>
          <w:sz w:val="18"/>
          <w:szCs w:val="18"/>
        </w:rPr>
        <w:t xml:space="preserve">  </w:t>
      </w:r>
      <w:r>
        <w:rPr>
          <w:rFonts w:ascii="宋体" w:hAnsi="宋体" w:eastAsia="宋体" w:cs="宋体"/>
          <w:spacing w:val="-3"/>
          <w:sz w:val="18"/>
          <w:szCs w:val="18"/>
        </w:rPr>
        <w:t>产品”一个目录下一起填报。</w:t>
      </w:r>
    </w:p>
    <w:p w14:paraId="264A11BC">
      <w:pPr>
        <w:spacing w:before="62" w:line="264" w:lineRule="auto"/>
        <w:ind w:right="62" w:firstLine="360"/>
        <w:rPr>
          <w:rFonts w:ascii="宋体" w:hAnsi="宋体" w:eastAsia="宋体" w:cs="宋体"/>
          <w:sz w:val="18"/>
          <w:szCs w:val="18"/>
        </w:rPr>
      </w:pPr>
      <w:r>
        <w:rPr>
          <w:rFonts w:ascii="宋体" w:hAnsi="宋体" w:eastAsia="宋体" w:cs="宋体"/>
          <w:sz w:val="18"/>
          <w:szCs w:val="18"/>
        </w:rPr>
        <w:t>高炉煤气：指炼铁过程中从高炉炉顶逸出的可燃性气体，是炼铁过程的副产品；其理论燃烧温度</w:t>
      </w:r>
      <w:r>
        <w:rPr>
          <w:rFonts w:ascii="宋体" w:hAnsi="宋体" w:eastAsia="宋体" w:cs="宋体"/>
          <w:spacing w:val="-1"/>
          <w:sz w:val="18"/>
          <w:szCs w:val="18"/>
        </w:rPr>
        <w:t>约为1400—1500℃,</w:t>
      </w:r>
      <w:r>
        <w:rPr>
          <w:rFonts w:ascii="宋体" w:hAnsi="宋体" w:eastAsia="宋体" w:cs="宋体"/>
          <w:sz w:val="18"/>
          <w:szCs w:val="18"/>
        </w:rPr>
        <w:t xml:space="preserve"> </w:t>
      </w:r>
      <w:r>
        <w:rPr>
          <w:rFonts w:ascii="宋体" w:hAnsi="宋体" w:eastAsia="宋体" w:cs="宋体"/>
          <w:spacing w:val="8"/>
          <w:sz w:val="18"/>
          <w:szCs w:val="18"/>
        </w:rPr>
        <w:t>含有大量粉尘(约60—80克/立方米),所以需要除尘处理，并在可能的情况下将其</w:t>
      </w:r>
      <w:r>
        <w:rPr>
          <w:rFonts w:ascii="宋体" w:hAnsi="宋体" w:eastAsia="宋体" w:cs="宋体"/>
          <w:spacing w:val="7"/>
          <w:sz w:val="18"/>
          <w:szCs w:val="18"/>
        </w:rPr>
        <w:t>和空气预热以提高燃烧温度。据统</w:t>
      </w:r>
      <w:r>
        <w:rPr>
          <w:rFonts w:ascii="宋体" w:hAnsi="宋体" w:eastAsia="宋体" w:cs="宋体"/>
          <w:sz w:val="18"/>
          <w:szCs w:val="18"/>
        </w:rPr>
        <w:t xml:space="preserve"> </w:t>
      </w:r>
      <w:r>
        <w:rPr>
          <w:rFonts w:ascii="宋体" w:hAnsi="宋体" w:eastAsia="宋体" w:cs="宋体"/>
          <w:spacing w:val="7"/>
          <w:sz w:val="18"/>
          <w:szCs w:val="18"/>
        </w:rPr>
        <w:t>计，高炉每消耗1吨焦炭约可产出3800—4000立方米高炉煤气(约有60%的燃料转变为高炉煤气)。在冶金联合企业，</w:t>
      </w:r>
      <w:r>
        <w:rPr>
          <w:rFonts w:ascii="宋体" w:hAnsi="宋体" w:eastAsia="宋体" w:cs="宋体"/>
          <w:spacing w:val="9"/>
          <w:sz w:val="18"/>
          <w:szCs w:val="18"/>
        </w:rPr>
        <w:t xml:space="preserve"> </w:t>
      </w:r>
      <w:r>
        <w:rPr>
          <w:rFonts w:ascii="宋体" w:hAnsi="宋体" w:eastAsia="宋体" w:cs="宋体"/>
          <w:spacing w:val="-2"/>
          <w:sz w:val="18"/>
          <w:szCs w:val="18"/>
        </w:rPr>
        <w:t>它主要用于焦炉，以及与焦炉煤气混合用作发电或其他燃料。</w:t>
      </w:r>
    </w:p>
    <w:p w14:paraId="65E682E3">
      <w:pPr>
        <w:spacing w:before="84" w:line="219" w:lineRule="auto"/>
        <w:ind w:left="360"/>
        <w:rPr>
          <w:rFonts w:ascii="宋体" w:hAnsi="宋体" w:eastAsia="宋体" w:cs="宋体"/>
          <w:sz w:val="18"/>
          <w:szCs w:val="18"/>
        </w:rPr>
      </w:pPr>
      <w:r>
        <w:rPr>
          <w:rFonts w:ascii="宋体" w:hAnsi="宋体" w:eastAsia="宋体" w:cs="宋体"/>
          <w:spacing w:val="-1"/>
          <w:sz w:val="18"/>
          <w:szCs w:val="18"/>
        </w:rPr>
        <w:t>转炉煤气：指转炉炼钢过程中，铁水中的碳在高温下和吹入的氧生成一氧化碳和少量二氧化碳的混合气体。</w:t>
      </w:r>
    </w:p>
    <w:p w14:paraId="13567FA1">
      <w:pPr>
        <w:spacing w:before="67" w:line="253" w:lineRule="auto"/>
        <w:ind w:left="360" w:right="1434"/>
        <w:rPr>
          <w:rFonts w:ascii="宋体" w:hAnsi="宋体" w:eastAsia="宋体" w:cs="宋体"/>
          <w:sz w:val="18"/>
          <w:szCs w:val="18"/>
        </w:rPr>
      </w:pPr>
      <w:r>
        <w:rPr>
          <w:rFonts w:ascii="宋体" w:hAnsi="宋体" w:eastAsia="宋体" w:cs="宋体"/>
          <w:spacing w:val="-1"/>
          <w:sz w:val="18"/>
          <w:szCs w:val="18"/>
        </w:rPr>
        <w:t>其他煤气：指焦炉煤气、高炉煤气、转炉煤气之外的可燃煤气，如：发生炉煤气、电石炉煤气等。</w:t>
      </w:r>
      <w:r>
        <w:rPr>
          <w:rFonts w:ascii="宋体" w:hAnsi="宋体" w:eastAsia="宋体" w:cs="宋体"/>
          <w:spacing w:val="8"/>
          <w:sz w:val="18"/>
          <w:szCs w:val="18"/>
        </w:rPr>
        <w:t xml:space="preserve"> </w:t>
      </w:r>
      <w:r>
        <w:rPr>
          <w:rFonts w:ascii="宋体" w:hAnsi="宋体" w:eastAsia="宋体" w:cs="宋体"/>
          <w:spacing w:val="-3"/>
          <w:sz w:val="18"/>
          <w:szCs w:val="18"/>
        </w:rPr>
        <w:t>热力：指可提供热源的热水、蒸汽。</w:t>
      </w:r>
    </w:p>
    <w:p w14:paraId="4561BB1F">
      <w:pPr>
        <w:spacing w:before="67" w:line="219" w:lineRule="auto"/>
        <w:ind w:left="360"/>
        <w:rPr>
          <w:rFonts w:ascii="宋体" w:hAnsi="宋体" w:eastAsia="宋体" w:cs="宋体"/>
          <w:sz w:val="18"/>
          <w:szCs w:val="18"/>
        </w:rPr>
      </w:pPr>
      <w:r>
        <w:rPr>
          <w:rFonts w:ascii="宋体" w:hAnsi="宋体" w:eastAsia="宋体" w:cs="宋体"/>
          <w:spacing w:val="-1"/>
          <w:sz w:val="18"/>
          <w:szCs w:val="18"/>
        </w:rPr>
        <w:t>热力的计算：蒸汽和热水的热力计算，与锅炉出口蒸汽、热水的温度</w:t>
      </w:r>
      <w:r>
        <w:rPr>
          <w:rFonts w:ascii="宋体" w:hAnsi="宋体" w:eastAsia="宋体" w:cs="宋体"/>
          <w:spacing w:val="-2"/>
          <w:sz w:val="18"/>
          <w:szCs w:val="18"/>
        </w:rPr>
        <w:t>和压力有关，计算方法：</w:t>
      </w:r>
    </w:p>
    <w:p w14:paraId="21FC3A55">
      <w:pPr>
        <w:spacing w:before="77" w:line="254" w:lineRule="auto"/>
        <w:ind w:right="81" w:firstLine="360"/>
        <w:rPr>
          <w:rFonts w:ascii="宋体" w:hAnsi="宋体" w:eastAsia="宋体" w:cs="宋体"/>
          <w:sz w:val="18"/>
          <w:szCs w:val="18"/>
        </w:rPr>
      </w:pPr>
      <w:r>
        <w:rPr>
          <w:rFonts w:ascii="宋体" w:hAnsi="宋体" w:eastAsia="宋体" w:cs="宋体"/>
          <w:spacing w:val="1"/>
          <w:sz w:val="18"/>
          <w:szCs w:val="18"/>
        </w:rPr>
        <w:t>第一步：确定锅炉出口蒸汽和热水的温度和压力，根据温度和压力值，在焓熵图(表)查出对应的每千克蒸汽、热水</w:t>
      </w:r>
      <w:r>
        <w:rPr>
          <w:rFonts w:ascii="宋体" w:hAnsi="宋体" w:eastAsia="宋体" w:cs="宋体"/>
          <w:spacing w:val="6"/>
          <w:sz w:val="18"/>
          <w:szCs w:val="18"/>
        </w:rPr>
        <w:t xml:space="preserve"> </w:t>
      </w:r>
      <w:r>
        <w:rPr>
          <w:rFonts w:ascii="宋体" w:hAnsi="宋体" w:eastAsia="宋体" w:cs="宋体"/>
          <w:spacing w:val="-12"/>
          <w:sz w:val="18"/>
          <w:szCs w:val="18"/>
        </w:rPr>
        <w:t>的热焓；</w:t>
      </w:r>
    </w:p>
    <w:p w14:paraId="376A47A8">
      <w:pPr>
        <w:spacing w:before="65" w:line="253" w:lineRule="auto"/>
        <w:ind w:right="70" w:firstLine="360"/>
        <w:rPr>
          <w:rFonts w:ascii="宋体" w:hAnsi="宋体" w:eastAsia="宋体" w:cs="宋体"/>
          <w:sz w:val="18"/>
          <w:szCs w:val="18"/>
        </w:rPr>
      </w:pPr>
      <w:r>
        <w:rPr>
          <w:rFonts w:ascii="宋体" w:hAnsi="宋体" w:eastAsia="宋体" w:cs="宋体"/>
          <w:spacing w:val="7"/>
          <w:sz w:val="18"/>
          <w:szCs w:val="18"/>
        </w:rPr>
        <w:t>第二步：确定锅炉给水(或回水)的温度和压力，根据温度和压力值，在</w:t>
      </w:r>
      <w:r>
        <w:rPr>
          <w:rFonts w:ascii="宋体" w:hAnsi="宋体" w:eastAsia="宋体" w:cs="宋体"/>
          <w:spacing w:val="6"/>
          <w:sz w:val="18"/>
          <w:szCs w:val="18"/>
        </w:rPr>
        <w:t>焓熵图(表)查出对应的每千克给水(或回</w:t>
      </w:r>
      <w:r>
        <w:rPr>
          <w:rFonts w:ascii="宋体" w:hAnsi="宋体" w:eastAsia="宋体" w:cs="宋体"/>
          <w:sz w:val="18"/>
          <w:szCs w:val="18"/>
        </w:rPr>
        <w:t xml:space="preserve"> </w:t>
      </w:r>
      <w:r>
        <w:rPr>
          <w:rFonts w:ascii="宋体" w:hAnsi="宋体" w:eastAsia="宋体" w:cs="宋体"/>
          <w:spacing w:val="6"/>
          <w:sz w:val="18"/>
          <w:szCs w:val="18"/>
        </w:rPr>
        <w:t>水)的热焓；</w:t>
      </w:r>
    </w:p>
    <w:p w14:paraId="2763E5EF">
      <w:pPr>
        <w:spacing w:before="54" w:line="253" w:lineRule="auto"/>
        <w:ind w:firstLine="360"/>
        <w:rPr>
          <w:rFonts w:ascii="宋体" w:hAnsi="宋体" w:eastAsia="宋体" w:cs="宋体"/>
          <w:sz w:val="18"/>
          <w:szCs w:val="18"/>
        </w:rPr>
      </w:pPr>
      <w:r>
        <w:rPr>
          <w:rFonts w:ascii="宋体" w:hAnsi="宋体" w:eastAsia="宋体" w:cs="宋体"/>
          <w:spacing w:val="1"/>
          <w:sz w:val="18"/>
          <w:szCs w:val="18"/>
        </w:rPr>
        <w:t>第三步：求第一步和第二步查出的热焓之差，再乘以蒸汽或热水的数量(按流量表读数计算),所得值即为热力</w:t>
      </w:r>
      <w:r>
        <w:rPr>
          <w:rFonts w:ascii="宋体" w:hAnsi="宋体" w:eastAsia="宋体" w:cs="宋体"/>
          <w:sz w:val="18"/>
          <w:szCs w:val="18"/>
        </w:rPr>
        <w:t xml:space="preserve">的量。 </w:t>
      </w:r>
      <w:r>
        <w:rPr>
          <w:rFonts w:ascii="宋体" w:hAnsi="宋体" w:eastAsia="宋体" w:cs="宋体"/>
          <w:spacing w:val="-2"/>
          <w:sz w:val="18"/>
          <w:szCs w:val="18"/>
        </w:rPr>
        <w:t>如果企业不具备上述计算热力的条件，可参考下列方法估算：</w:t>
      </w:r>
    </w:p>
    <w:p w14:paraId="797FA307">
      <w:pPr>
        <w:spacing w:before="78" w:line="270" w:lineRule="exact"/>
        <w:ind w:left="360"/>
        <w:rPr>
          <w:rFonts w:ascii="宋体" w:hAnsi="宋体" w:eastAsia="宋体" w:cs="宋体"/>
          <w:sz w:val="18"/>
          <w:szCs w:val="18"/>
        </w:rPr>
      </w:pPr>
      <w:r>
        <w:rPr>
          <w:rFonts w:ascii="宋体" w:hAnsi="宋体" w:eastAsia="宋体" w:cs="宋体"/>
          <w:spacing w:val="1"/>
          <w:position w:val="6"/>
          <w:sz w:val="18"/>
          <w:szCs w:val="18"/>
        </w:rPr>
        <w:t>首先，确定锅炉蒸汽或热水的产量。产量=锅炉的给</w:t>
      </w:r>
      <w:r>
        <w:rPr>
          <w:rFonts w:ascii="宋体" w:hAnsi="宋体" w:eastAsia="宋体" w:cs="宋体"/>
          <w:position w:val="6"/>
          <w:sz w:val="18"/>
          <w:szCs w:val="18"/>
        </w:rPr>
        <w:t>水量一排污等损失量；</w:t>
      </w:r>
    </w:p>
    <w:p w14:paraId="14AFC766">
      <w:pPr>
        <w:spacing w:line="218" w:lineRule="auto"/>
        <w:ind w:left="360"/>
        <w:rPr>
          <w:rFonts w:ascii="宋体" w:hAnsi="宋体" w:eastAsia="宋体" w:cs="宋体"/>
          <w:sz w:val="18"/>
          <w:szCs w:val="18"/>
        </w:rPr>
      </w:pPr>
      <w:r>
        <w:rPr>
          <w:rFonts w:ascii="宋体" w:hAnsi="宋体" w:eastAsia="宋体" w:cs="宋体"/>
          <w:spacing w:val="-2"/>
          <w:sz w:val="18"/>
          <w:szCs w:val="18"/>
        </w:rPr>
        <w:t>然后，确定蒸汽或热水的热焓。热焓的确定分以下几种情况：</w:t>
      </w:r>
    </w:p>
    <w:p w14:paraId="631D6983">
      <w:pPr>
        <w:spacing w:before="76" w:line="249" w:lineRule="auto"/>
        <w:ind w:right="49" w:firstLine="360"/>
        <w:rPr>
          <w:rFonts w:ascii="宋体" w:hAnsi="宋体" w:eastAsia="宋体" w:cs="宋体"/>
          <w:sz w:val="18"/>
          <w:szCs w:val="18"/>
        </w:rPr>
      </w:pPr>
      <w:r>
        <w:rPr>
          <w:rFonts w:ascii="宋体" w:hAnsi="宋体" w:eastAsia="宋体" w:cs="宋体"/>
          <w:spacing w:val="-1"/>
          <w:sz w:val="18"/>
          <w:szCs w:val="18"/>
        </w:rPr>
        <w:t>(1)热水：假定出口温度为90℃,回水温度</w:t>
      </w:r>
      <w:r>
        <w:rPr>
          <w:rFonts w:ascii="宋体" w:hAnsi="宋体" w:eastAsia="宋体" w:cs="宋体"/>
          <w:spacing w:val="-2"/>
          <w:sz w:val="18"/>
          <w:szCs w:val="18"/>
        </w:rPr>
        <w:t>为20℃的情况下，闭路循环系统每千克热水的热焓按20千卡计算，开路供热</w:t>
      </w:r>
      <w:r>
        <w:rPr>
          <w:rFonts w:ascii="宋体" w:hAnsi="宋体" w:eastAsia="宋体" w:cs="宋体"/>
          <w:sz w:val="18"/>
          <w:szCs w:val="18"/>
        </w:rPr>
        <w:t xml:space="preserve"> </w:t>
      </w:r>
      <w:r>
        <w:rPr>
          <w:rFonts w:ascii="宋体" w:hAnsi="宋体" w:eastAsia="宋体" w:cs="宋体"/>
          <w:spacing w:val="2"/>
          <w:sz w:val="18"/>
          <w:szCs w:val="18"/>
        </w:rPr>
        <w:t>系统每千克热水的热焓按70千卡计算。</w:t>
      </w:r>
    </w:p>
    <w:p w14:paraId="062D9DB0">
      <w:pPr>
        <w:spacing w:before="79" w:line="221" w:lineRule="auto"/>
        <w:ind w:left="360"/>
        <w:rPr>
          <w:rFonts w:ascii="宋体" w:hAnsi="宋体" w:eastAsia="宋体" w:cs="宋体"/>
          <w:sz w:val="18"/>
          <w:szCs w:val="18"/>
        </w:rPr>
      </w:pPr>
      <w:r>
        <w:rPr>
          <w:rFonts w:ascii="宋体" w:hAnsi="宋体" w:eastAsia="宋体" w:cs="宋体"/>
          <w:spacing w:val="-9"/>
          <w:sz w:val="18"/>
          <w:szCs w:val="18"/>
        </w:rPr>
        <w:t>(2)饱和蒸汽：</w:t>
      </w:r>
    </w:p>
    <w:p w14:paraId="2D2488D4">
      <w:pPr>
        <w:spacing w:before="62" w:line="267" w:lineRule="exact"/>
        <w:ind w:left="360"/>
        <w:rPr>
          <w:rFonts w:ascii="宋体" w:hAnsi="宋体" w:eastAsia="宋体" w:cs="宋体"/>
          <w:sz w:val="18"/>
          <w:szCs w:val="18"/>
        </w:rPr>
      </w:pPr>
      <w:r>
        <w:rPr>
          <w:rFonts w:ascii="宋体" w:hAnsi="宋体" w:eastAsia="宋体" w:cs="宋体"/>
          <w:spacing w:val="1"/>
          <w:position w:val="6"/>
          <w:sz w:val="18"/>
          <w:szCs w:val="18"/>
        </w:rPr>
        <w:t>压力1-2.5千克/平方厘米，温度127℃以下，每千克蒸汽的热焓按620千卡计算；</w:t>
      </w:r>
    </w:p>
    <w:p w14:paraId="582AA23C">
      <w:pPr>
        <w:spacing w:before="1" w:line="216" w:lineRule="auto"/>
        <w:ind w:left="360"/>
        <w:rPr>
          <w:rFonts w:ascii="宋体" w:hAnsi="宋体" w:eastAsia="宋体" w:cs="宋体"/>
          <w:sz w:val="18"/>
          <w:szCs w:val="18"/>
        </w:rPr>
      </w:pPr>
      <w:r>
        <w:rPr>
          <w:rFonts w:ascii="宋体" w:hAnsi="宋体" w:eastAsia="宋体" w:cs="宋体"/>
          <w:spacing w:val="4"/>
          <w:sz w:val="18"/>
          <w:szCs w:val="18"/>
        </w:rPr>
        <w:t>压力3-7千克/平方厘米，温度135-165℃,每千克蒸汽的热焓按63</w:t>
      </w:r>
      <w:r>
        <w:rPr>
          <w:rFonts w:ascii="宋体" w:hAnsi="宋体" w:eastAsia="宋体" w:cs="宋体"/>
          <w:spacing w:val="3"/>
          <w:sz w:val="18"/>
          <w:szCs w:val="18"/>
        </w:rPr>
        <w:t>0千卡计算；</w:t>
      </w:r>
    </w:p>
    <w:p w14:paraId="7CADBDF4">
      <w:pPr>
        <w:spacing w:before="62" w:line="219" w:lineRule="auto"/>
        <w:ind w:left="360"/>
        <w:rPr>
          <w:rFonts w:ascii="宋体" w:hAnsi="宋体" w:eastAsia="宋体" w:cs="宋体"/>
          <w:sz w:val="18"/>
          <w:szCs w:val="18"/>
        </w:rPr>
      </w:pPr>
      <w:r>
        <w:rPr>
          <w:rFonts w:ascii="宋体" w:hAnsi="宋体" w:eastAsia="宋体" w:cs="宋体"/>
          <w:spacing w:val="4"/>
          <w:sz w:val="18"/>
          <w:szCs w:val="18"/>
        </w:rPr>
        <w:t>压力8千克/平方厘米，温度170℃以上，每千克蒸汽的热</w:t>
      </w:r>
      <w:r>
        <w:rPr>
          <w:rFonts w:ascii="宋体" w:hAnsi="宋体" w:eastAsia="宋体" w:cs="宋体"/>
          <w:spacing w:val="3"/>
          <w:sz w:val="18"/>
          <w:szCs w:val="18"/>
        </w:rPr>
        <w:t>焓按640千卡计算。</w:t>
      </w:r>
    </w:p>
    <w:p w14:paraId="758D9604">
      <w:pPr>
        <w:spacing w:before="86" w:line="219" w:lineRule="auto"/>
        <w:ind w:left="360"/>
        <w:rPr>
          <w:rFonts w:ascii="宋体" w:hAnsi="宋体" w:eastAsia="宋体" w:cs="宋体"/>
          <w:sz w:val="18"/>
          <w:szCs w:val="18"/>
        </w:rPr>
      </w:pPr>
      <w:r>
        <w:rPr>
          <w:rFonts w:ascii="宋体" w:hAnsi="宋体" w:eastAsia="宋体" w:cs="宋体"/>
          <w:spacing w:val="-2"/>
          <w:sz w:val="18"/>
          <w:szCs w:val="18"/>
        </w:rPr>
        <w:t>(3)过热蒸汽：压力150千克/平方厘米</w:t>
      </w:r>
    </w:p>
    <w:p w14:paraId="28ACE8F3">
      <w:pPr>
        <w:spacing w:before="56" w:line="267" w:lineRule="exact"/>
        <w:ind w:left="360"/>
        <w:rPr>
          <w:rFonts w:ascii="宋体" w:hAnsi="宋体" w:eastAsia="宋体" w:cs="宋体"/>
          <w:sz w:val="18"/>
          <w:szCs w:val="18"/>
        </w:rPr>
      </w:pPr>
      <w:r>
        <w:rPr>
          <w:rFonts w:ascii="宋体" w:hAnsi="宋体" w:eastAsia="宋体" w:cs="宋体"/>
          <w:spacing w:val="1"/>
          <w:position w:val="6"/>
          <w:sz w:val="18"/>
          <w:szCs w:val="18"/>
        </w:rPr>
        <w:t>200℃以下，每千克蒸汽的热焓按650千卡计算；</w:t>
      </w:r>
    </w:p>
    <w:p w14:paraId="1A4AF81F">
      <w:pPr>
        <w:spacing w:before="1" w:line="216" w:lineRule="auto"/>
        <w:ind w:left="360"/>
        <w:rPr>
          <w:rFonts w:ascii="宋体" w:hAnsi="宋体" w:eastAsia="宋体" w:cs="宋体"/>
          <w:sz w:val="18"/>
          <w:szCs w:val="18"/>
        </w:rPr>
      </w:pPr>
      <w:r>
        <w:rPr>
          <w:rFonts w:ascii="宋体" w:hAnsi="宋体" w:eastAsia="宋体" w:cs="宋体"/>
          <w:spacing w:val="4"/>
          <w:sz w:val="18"/>
          <w:szCs w:val="18"/>
        </w:rPr>
        <w:t>220-260℃,每千克蒸汽的热焓按680千卡计算；</w:t>
      </w:r>
    </w:p>
    <w:p w14:paraId="7C858AE9">
      <w:pPr>
        <w:spacing w:line="216" w:lineRule="auto"/>
        <w:rPr>
          <w:rFonts w:ascii="宋体" w:hAnsi="宋体" w:eastAsia="宋体" w:cs="宋体"/>
          <w:sz w:val="18"/>
          <w:szCs w:val="18"/>
        </w:rPr>
        <w:sectPr>
          <w:headerReference r:id="rId22" w:type="default"/>
          <w:pgSz w:w="11910" w:h="16840"/>
          <w:pgMar w:top="1055" w:right="1169" w:bottom="0" w:left="1239" w:header="876" w:footer="0" w:gutter="0"/>
          <w:cols w:space="720" w:num="1"/>
        </w:sectPr>
      </w:pPr>
    </w:p>
    <w:p w14:paraId="4AAB1742">
      <w:pPr>
        <w:pStyle w:val="2"/>
        <w:spacing w:line="377" w:lineRule="auto"/>
      </w:pPr>
      <w:r>
        <w:pict>
          <v:rect id="_x0000_s1032" o:spid="_x0000_s1032" o:spt="1" style="position:absolute;left:0pt;margin-left:61.25pt;margin-top:52.3pt;height:0.5pt;width:19.9pt;mso-position-horizontal-relative:page;mso-position-vertical-relative:page;z-index:251689984;mso-width-relative:page;mso-height-relative:page;" fillcolor="#000000" filled="t" stroked="f" coordsize="21600,21600" o:allowincell="f">
            <v:path/>
            <v:fill on="t" focussize="0,0"/>
            <v:stroke on="f"/>
            <v:imagedata o:title=""/>
            <o:lock v:ext="edit"/>
            <v:textbox>
              <w:txbxContent>
                <w:p w14:paraId="69F467C7"/>
              </w:txbxContent>
            </v:textbox>
          </v:rect>
        </w:pict>
      </w:r>
    </w:p>
    <w:p w14:paraId="1740FF62">
      <w:pPr>
        <w:spacing w:before="58" w:line="216" w:lineRule="auto"/>
        <w:ind w:left="374"/>
        <w:rPr>
          <w:rFonts w:ascii="宋体" w:hAnsi="宋体" w:eastAsia="宋体" w:cs="宋体"/>
          <w:sz w:val="18"/>
          <w:szCs w:val="18"/>
        </w:rPr>
      </w:pPr>
      <w:r>
        <w:rPr>
          <w:rFonts w:ascii="宋体" w:hAnsi="宋体" w:eastAsia="宋体" w:cs="宋体"/>
          <w:spacing w:val="3"/>
          <w:sz w:val="18"/>
          <w:szCs w:val="18"/>
        </w:rPr>
        <w:t>280-320℃,每千克蒸汽的热焓按700千卡计算；</w:t>
      </w:r>
    </w:p>
    <w:p w14:paraId="5D8800E0">
      <w:pPr>
        <w:spacing w:before="69" w:line="216" w:lineRule="auto"/>
        <w:ind w:left="374"/>
        <w:rPr>
          <w:rFonts w:ascii="宋体" w:hAnsi="宋体" w:eastAsia="宋体" w:cs="宋体"/>
          <w:sz w:val="18"/>
          <w:szCs w:val="18"/>
        </w:rPr>
      </w:pPr>
      <w:r>
        <w:rPr>
          <w:rFonts w:ascii="宋体" w:hAnsi="宋体" w:eastAsia="宋体" w:cs="宋体"/>
          <w:spacing w:val="3"/>
          <w:sz w:val="18"/>
          <w:szCs w:val="18"/>
        </w:rPr>
        <w:t>350-500℃,每千克蒸汽的热焓按750千卡计算。</w:t>
      </w:r>
    </w:p>
    <w:p w14:paraId="62B5849E">
      <w:pPr>
        <w:spacing w:before="62" w:line="219" w:lineRule="auto"/>
        <w:ind w:left="374"/>
        <w:rPr>
          <w:rFonts w:ascii="宋体" w:hAnsi="宋体" w:eastAsia="宋体" w:cs="宋体"/>
          <w:sz w:val="18"/>
          <w:szCs w:val="18"/>
        </w:rPr>
      </w:pPr>
      <w:r>
        <w:rPr>
          <w:rFonts w:ascii="宋体" w:hAnsi="宋体" w:eastAsia="宋体" w:cs="宋体"/>
          <w:spacing w:val="5"/>
          <w:sz w:val="18"/>
          <w:szCs w:val="18"/>
        </w:rPr>
        <w:t>最后，根据确定的热焓，乘以产量，所得值即为热力的量(1千卡</w:t>
      </w:r>
      <w:r>
        <w:rPr>
          <w:rFonts w:ascii="宋体" w:hAnsi="宋体" w:eastAsia="宋体" w:cs="宋体"/>
          <w:spacing w:val="4"/>
          <w:sz w:val="18"/>
          <w:szCs w:val="18"/>
        </w:rPr>
        <w:t>=4.1816千焦)。</w:t>
      </w:r>
    </w:p>
    <w:p w14:paraId="7633BD86">
      <w:pPr>
        <w:spacing w:before="76" w:line="248" w:lineRule="auto"/>
        <w:ind w:left="4" w:right="19" w:firstLine="370"/>
        <w:rPr>
          <w:rFonts w:ascii="宋体" w:hAnsi="宋体" w:eastAsia="宋体" w:cs="宋体"/>
          <w:sz w:val="18"/>
          <w:szCs w:val="18"/>
        </w:rPr>
      </w:pPr>
      <w:r>
        <w:rPr>
          <w:rFonts w:ascii="宋体" w:hAnsi="宋体" w:eastAsia="宋体" w:cs="宋体"/>
          <w:spacing w:val="3"/>
          <w:sz w:val="18"/>
          <w:szCs w:val="18"/>
        </w:rPr>
        <w:t>对于中小企业，若以上条件均不具备，如果锅炉的功率在0.7兆瓦左右，1吨/小时的热水或</w:t>
      </w:r>
      <w:r>
        <w:rPr>
          <w:rFonts w:ascii="宋体" w:hAnsi="宋体" w:eastAsia="宋体" w:cs="宋体"/>
          <w:spacing w:val="2"/>
          <w:sz w:val="18"/>
          <w:szCs w:val="18"/>
        </w:rPr>
        <w:t>蒸汽按相当于60万千卡</w:t>
      </w:r>
      <w:r>
        <w:rPr>
          <w:rFonts w:ascii="宋体" w:hAnsi="宋体" w:eastAsia="宋体" w:cs="宋体"/>
          <w:sz w:val="18"/>
          <w:szCs w:val="18"/>
        </w:rPr>
        <w:t xml:space="preserve"> </w:t>
      </w:r>
      <w:r>
        <w:rPr>
          <w:rFonts w:ascii="宋体" w:hAnsi="宋体" w:eastAsia="宋体" w:cs="宋体"/>
          <w:spacing w:val="-7"/>
          <w:sz w:val="18"/>
          <w:szCs w:val="18"/>
        </w:rPr>
        <w:t>的热力计算。</w:t>
      </w:r>
    </w:p>
    <w:p w14:paraId="47F34A9F">
      <w:pPr>
        <w:spacing w:before="76" w:line="253" w:lineRule="auto"/>
        <w:ind w:left="4" w:right="21" w:firstLine="370"/>
        <w:rPr>
          <w:rFonts w:ascii="宋体" w:hAnsi="宋体" w:eastAsia="宋体" w:cs="宋体"/>
          <w:sz w:val="18"/>
          <w:szCs w:val="18"/>
        </w:rPr>
      </w:pPr>
      <w:r>
        <w:rPr>
          <w:rFonts w:ascii="宋体" w:hAnsi="宋体" w:eastAsia="宋体" w:cs="宋体"/>
          <w:spacing w:val="-2"/>
          <w:sz w:val="18"/>
          <w:szCs w:val="18"/>
        </w:rPr>
        <w:t>余热余压：指企业生产过程中释放出来多余的副产热能、压差能，</w:t>
      </w:r>
      <w:r>
        <w:rPr>
          <w:rFonts w:ascii="宋体" w:hAnsi="宋体" w:eastAsia="宋体" w:cs="宋体"/>
          <w:spacing w:val="-3"/>
          <w:sz w:val="18"/>
          <w:szCs w:val="18"/>
        </w:rPr>
        <w:t>这些副产热能、压差能在一定的经济技术条件下可</w:t>
      </w:r>
      <w:r>
        <w:rPr>
          <w:rFonts w:ascii="宋体" w:hAnsi="宋体" w:eastAsia="宋体" w:cs="宋体"/>
          <w:sz w:val="18"/>
          <w:szCs w:val="18"/>
        </w:rPr>
        <w:t xml:space="preserve"> </w:t>
      </w:r>
      <w:r>
        <w:rPr>
          <w:rFonts w:ascii="宋体" w:hAnsi="宋体" w:eastAsia="宋体" w:cs="宋体"/>
          <w:spacing w:val="-1"/>
          <w:sz w:val="18"/>
          <w:szCs w:val="18"/>
        </w:rPr>
        <w:t>以回收利用。余热余压回收利用主要来自高温气体、液体、固体的热</w:t>
      </w:r>
      <w:r>
        <w:rPr>
          <w:rFonts w:ascii="宋体" w:hAnsi="宋体" w:eastAsia="宋体" w:cs="宋体"/>
          <w:spacing w:val="-2"/>
          <w:sz w:val="18"/>
          <w:szCs w:val="18"/>
        </w:rPr>
        <w:t>能和化学反应产生的热能。</w:t>
      </w:r>
    </w:p>
    <w:p w14:paraId="533E1D7D">
      <w:pPr>
        <w:spacing w:before="66" w:line="264" w:lineRule="auto"/>
        <w:ind w:left="4" w:right="14" w:firstLine="370"/>
        <w:rPr>
          <w:rFonts w:ascii="宋体" w:hAnsi="宋体" w:eastAsia="宋体" w:cs="宋体"/>
          <w:sz w:val="18"/>
          <w:szCs w:val="18"/>
        </w:rPr>
      </w:pPr>
      <w:r>
        <w:rPr>
          <w:rFonts w:ascii="宋体" w:hAnsi="宋体" w:eastAsia="宋体" w:cs="宋体"/>
          <w:spacing w:val="3"/>
          <w:sz w:val="18"/>
          <w:szCs w:val="18"/>
        </w:rPr>
        <w:t>对回收利用的余热余压，企业有计量装置并可计量其数量的，205-2表填报回收</w:t>
      </w:r>
      <w:r>
        <w:rPr>
          <w:rFonts w:ascii="宋体" w:hAnsi="宋体" w:eastAsia="宋体" w:cs="宋体"/>
          <w:spacing w:val="2"/>
          <w:sz w:val="18"/>
          <w:szCs w:val="18"/>
        </w:rPr>
        <w:t>利用量，205-1表填报消费量(本企</w:t>
      </w:r>
      <w:r>
        <w:rPr>
          <w:rFonts w:ascii="宋体" w:hAnsi="宋体" w:eastAsia="宋体" w:cs="宋体"/>
          <w:sz w:val="18"/>
          <w:szCs w:val="18"/>
        </w:rPr>
        <w:t xml:space="preserve"> </w:t>
      </w:r>
      <w:r>
        <w:rPr>
          <w:rFonts w:ascii="宋体" w:hAnsi="宋体" w:eastAsia="宋体" w:cs="宋体"/>
          <w:spacing w:val="6"/>
          <w:sz w:val="18"/>
          <w:szCs w:val="18"/>
        </w:rPr>
        <w:t>业自用的部分),如果用于加工转换，还要在205-2表填报加工转换的投入量和其他产品的产出量。假如</w:t>
      </w:r>
      <w:r>
        <w:rPr>
          <w:rFonts w:ascii="Times New Roman" w:hAnsi="Times New Roman" w:eastAsia="Times New Roman" w:cs="Times New Roman"/>
          <w:spacing w:val="6"/>
          <w:sz w:val="18"/>
          <w:szCs w:val="18"/>
        </w:rPr>
        <w:t xml:space="preserve">A </w:t>
      </w:r>
      <w:r>
        <w:rPr>
          <w:rFonts w:ascii="宋体" w:hAnsi="宋体" w:eastAsia="宋体" w:cs="宋体"/>
          <w:spacing w:val="6"/>
          <w:sz w:val="18"/>
          <w:szCs w:val="18"/>
        </w:rPr>
        <w:t>企业回收的</w:t>
      </w:r>
      <w:r>
        <w:rPr>
          <w:rFonts w:ascii="宋体" w:hAnsi="宋体" w:eastAsia="宋体" w:cs="宋体"/>
          <w:spacing w:val="18"/>
          <w:sz w:val="18"/>
          <w:szCs w:val="18"/>
        </w:rPr>
        <w:t xml:space="preserve"> </w:t>
      </w:r>
      <w:r>
        <w:rPr>
          <w:rFonts w:ascii="宋体" w:hAnsi="宋体" w:eastAsia="宋体" w:cs="宋体"/>
          <w:spacing w:val="-5"/>
          <w:sz w:val="18"/>
          <w:szCs w:val="18"/>
        </w:rPr>
        <w:t>余热余压外供给</w:t>
      </w:r>
      <w:r>
        <w:rPr>
          <w:rFonts w:ascii="宋体" w:hAnsi="宋体" w:eastAsia="宋体" w:cs="宋体"/>
          <w:spacing w:val="-29"/>
          <w:sz w:val="18"/>
          <w:szCs w:val="18"/>
        </w:rPr>
        <w:t xml:space="preserve"> </w:t>
      </w:r>
      <w:r>
        <w:rPr>
          <w:rFonts w:ascii="Times New Roman" w:hAnsi="Times New Roman" w:eastAsia="Times New Roman" w:cs="Times New Roman"/>
          <w:spacing w:val="-5"/>
          <w:sz w:val="18"/>
          <w:szCs w:val="18"/>
        </w:rPr>
        <w:t xml:space="preserve">B </w:t>
      </w:r>
      <w:r>
        <w:rPr>
          <w:rFonts w:ascii="宋体" w:hAnsi="宋体" w:eastAsia="宋体" w:cs="宋体"/>
          <w:spacing w:val="-5"/>
          <w:sz w:val="18"/>
          <w:szCs w:val="18"/>
        </w:rPr>
        <w:t>企业，</w:t>
      </w:r>
      <w:r>
        <w:rPr>
          <w:rFonts w:ascii="宋体" w:hAnsi="宋体" w:eastAsia="宋体" w:cs="宋体"/>
          <w:spacing w:val="-27"/>
          <w:sz w:val="18"/>
          <w:szCs w:val="18"/>
        </w:rPr>
        <w:t xml:space="preserve"> </w:t>
      </w:r>
      <w:r>
        <w:rPr>
          <w:rFonts w:ascii="Times New Roman" w:hAnsi="Times New Roman" w:eastAsia="Times New Roman" w:cs="Times New Roman"/>
          <w:spacing w:val="-5"/>
          <w:sz w:val="18"/>
          <w:szCs w:val="18"/>
        </w:rPr>
        <w:t>A</w:t>
      </w:r>
      <w:r>
        <w:rPr>
          <w:rFonts w:ascii="Times New Roman" w:hAnsi="Times New Roman" w:eastAsia="Times New Roman" w:cs="Times New Roman"/>
          <w:spacing w:val="17"/>
          <w:sz w:val="18"/>
          <w:szCs w:val="18"/>
        </w:rPr>
        <w:t xml:space="preserve"> </w:t>
      </w:r>
      <w:r>
        <w:rPr>
          <w:rFonts w:ascii="宋体" w:hAnsi="宋体" w:eastAsia="宋体" w:cs="宋体"/>
          <w:spacing w:val="-5"/>
          <w:sz w:val="18"/>
          <w:szCs w:val="18"/>
        </w:rPr>
        <w:t>企业填报回收利用量，</w:t>
      </w:r>
      <w:r>
        <w:rPr>
          <w:rFonts w:ascii="宋体" w:hAnsi="宋体" w:eastAsia="宋体" w:cs="宋体"/>
          <w:spacing w:val="-40"/>
          <w:sz w:val="18"/>
          <w:szCs w:val="18"/>
        </w:rPr>
        <w:t xml:space="preserve"> </w:t>
      </w:r>
      <w:r>
        <w:rPr>
          <w:rFonts w:ascii="Times New Roman" w:hAnsi="Times New Roman" w:eastAsia="Times New Roman" w:cs="Times New Roman"/>
          <w:spacing w:val="-5"/>
          <w:sz w:val="18"/>
          <w:szCs w:val="18"/>
        </w:rPr>
        <w:t>B</w:t>
      </w:r>
      <w:r>
        <w:rPr>
          <w:rFonts w:ascii="Times New Roman" w:hAnsi="Times New Roman" w:eastAsia="Times New Roman" w:cs="Times New Roman"/>
          <w:spacing w:val="18"/>
          <w:w w:val="101"/>
          <w:sz w:val="18"/>
          <w:szCs w:val="18"/>
        </w:rPr>
        <w:t xml:space="preserve"> </w:t>
      </w:r>
      <w:r>
        <w:rPr>
          <w:rFonts w:ascii="宋体" w:hAnsi="宋体" w:eastAsia="宋体" w:cs="宋体"/>
          <w:spacing w:val="-5"/>
          <w:sz w:val="18"/>
          <w:szCs w:val="18"/>
        </w:rPr>
        <w:t>企业填报购入量和消费量，不得填报回收利用量。</w:t>
      </w:r>
    </w:p>
    <w:p w14:paraId="3426D95E">
      <w:pPr>
        <w:spacing w:before="68" w:line="253" w:lineRule="auto"/>
        <w:ind w:left="4" w:right="21" w:firstLine="370"/>
        <w:rPr>
          <w:rFonts w:ascii="宋体" w:hAnsi="宋体" w:eastAsia="宋体" w:cs="宋体"/>
          <w:sz w:val="18"/>
          <w:szCs w:val="18"/>
        </w:rPr>
      </w:pPr>
      <w:r>
        <w:rPr>
          <w:rFonts w:ascii="宋体" w:hAnsi="宋体" w:eastAsia="宋体" w:cs="宋体"/>
          <w:spacing w:val="3"/>
          <w:sz w:val="18"/>
          <w:szCs w:val="18"/>
        </w:rPr>
        <w:t>煤矸石(用于燃料):煤矸石是采煤过程和洗煤过程中排放的固体废物，是一种在成煤过程中与煤层</w:t>
      </w:r>
      <w:r>
        <w:rPr>
          <w:rFonts w:ascii="宋体" w:hAnsi="宋体" w:eastAsia="宋体" w:cs="宋体"/>
          <w:spacing w:val="2"/>
          <w:sz w:val="18"/>
          <w:szCs w:val="18"/>
        </w:rPr>
        <w:t>伴生的一种含碳</w:t>
      </w:r>
      <w:r>
        <w:rPr>
          <w:rFonts w:ascii="宋体" w:hAnsi="宋体" w:eastAsia="宋体" w:cs="宋体"/>
          <w:sz w:val="18"/>
          <w:szCs w:val="18"/>
        </w:rPr>
        <w:t xml:space="preserve"> </w:t>
      </w:r>
      <w:r>
        <w:rPr>
          <w:rFonts w:ascii="宋体" w:hAnsi="宋体" w:eastAsia="宋体" w:cs="宋体"/>
          <w:spacing w:val="-1"/>
          <w:sz w:val="18"/>
          <w:szCs w:val="18"/>
        </w:rPr>
        <w:t>量较低、比煤坚硬的黑灰色岩石，是可用做工业企业能源消费的</w:t>
      </w:r>
      <w:r>
        <w:rPr>
          <w:rFonts w:ascii="宋体" w:hAnsi="宋体" w:eastAsia="宋体" w:cs="宋体"/>
          <w:spacing w:val="-2"/>
          <w:sz w:val="18"/>
          <w:szCs w:val="18"/>
        </w:rPr>
        <w:t>燃料。</w:t>
      </w:r>
    </w:p>
    <w:p w14:paraId="4CD0C05B">
      <w:pPr>
        <w:spacing w:before="67" w:line="253" w:lineRule="auto"/>
        <w:ind w:left="4" w:right="6" w:firstLine="370"/>
        <w:rPr>
          <w:rFonts w:ascii="宋体" w:hAnsi="宋体" w:eastAsia="宋体" w:cs="宋体"/>
          <w:sz w:val="18"/>
          <w:szCs w:val="18"/>
        </w:rPr>
      </w:pPr>
      <w:r>
        <w:rPr>
          <w:rFonts w:ascii="宋体" w:hAnsi="宋体" w:eastAsia="宋体" w:cs="宋体"/>
          <w:spacing w:val="3"/>
          <w:sz w:val="18"/>
          <w:szCs w:val="18"/>
        </w:rPr>
        <w:t>城市生活垃圾(用于燃料):城市生活垃圾是指城市中的单位和居民在日常生活及生活服务中产生的废弃物，是可用</w:t>
      </w:r>
      <w:r>
        <w:rPr>
          <w:rFonts w:ascii="宋体" w:hAnsi="宋体" w:eastAsia="宋体" w:cs="宋体"/>
          <w:spacing w:val="7"/>
          <w:sz w:val="18"/>
          <w:szCs w:val="18"/>
        </w:rPr>
        <w:t xml:space="preserve"> </w:t>
      </w:r>
      <w:r>
        <w:rPr>
          <w:rFonts w:ascii="宋体" w:hAnsi="宋体" w:eastAsia="宋体" w:cs="宋体"/>
          <w:spacing w:val="-3"/>
          <w:sz w:val="18"/>
          <w:szCs w:val="18"/>
        </w:rPr>
        <w:t>做工业企业能源消费的燃料。</w:t>
      </w:r>
    </w:p>
    <w:p w14:paraId="2E967CC1">
      <w:pPr>
        <w:spacing w:before="64" w:line="250" w:lineRule="auto"/>
        <w:ind w:left="4" w:right="21" w:firstLine="370"/>
        <w:rPr>
          <w:rFonts w:ascii="宋体" w:hAnsi="宋体" w:eastAsia="宋体" w:cs="宋体"/>
          <w:sz w:val="18"/>
          <w:szCs w:val="18"/>
        </w:rPr>
      </w:pPr>
      <w:r>
        <w:rPr>
          <w:rFonts w:ascii="宋体" w:hAnsi="宋体" w:eastAsia="宋体" w:cs="宋体"/>
          <w:spacing w:val="8"/>
          <w:sz w:val="18"/>
          <w:szCs w:val="18"/>
        </w:rPr>
        <w:t xml:space="preserve">工业废料(用于燃料):工业废料是工业生产过程中产生出来的废品(如工业废渣、工业废气等),是可用做工业企 </w:t>
      </w:r>
      <w:r>
        <w:rPr>
          <w:rFonts w:ascii="宋体" w:hAnsi="宋体" w:eastAsia="宋体" w:cs="宋体"/>
          <w:spacing w:val="-4"/>
          <w:sz w:val="18"/>
          <w:szCs w:val="18"/>
        </w:rPr>
        <w:t>业能源消费的燃料。</w:t>
      </w:r>
    </w:p>
    <w:p w14:paraId="0E6E924C">
      <w:pPr>
        <w:spacing w:before="75" w:line="248" w:lineRule="auto"/>
        <w:ind w:left="4" w:right="19" w:firstLine="370"/>
        <w:rPr>
          <w:rFonts w:ascii="宋体" w:hAnsi="宋体" w:eastAsia="宋体" w:cs="宋体"/>
          <w:sz w:val="18"/>
          <w:szCs w:val="18"/>
        </w:rPr>
      </w:pPr>
      <w:r>
        <w:rPr>
          <w:rFonts w:ascii="宋体" w:hAnsi="宋体" w:eastAsia="宋体" w:cs="宋体"/>
          <w:spacing w:val="3"/>
          <w:sz w:val="18"/>
          <w:szCs w:val="18"/>
        </w:rPr>
        <w:t>生物质能(用于燃料):泛指由生物质组成或萃取的固体、液体或气体燃料，如沼气、薪柴、秸秆、生物</w:t>
      </w:r>
      <w:r>
        <w:rPr>
          <w:rFonts w:ascii="宋体" w:hAnsi="宋体" w:eastAsia="宋体" w:cs="宋体"/>
          <w:spacing w:val="2"/>
          <w:sz w:val="18"/>
          <w:szCs w:val="18"/>
        </w:rPr>
        <w:t>乙醇、生物</w:t>
      </w:r>
      <w:r>
        <w:rPr>
          <w:rFonts w:ascii="宋体" w:hAnsi="宋体" w:eastAsia="宋体" w:cs="宋体"/>
          <w:sz w:val="18"/>
          <w:szCs w:val="18"/>
        </w:rPr>
        <w:t xml:space="preserve"> </w:t>
      </w:r>
      <w:r>
        <w:rPr>
          <w:rFonts w:ascii="宋体" w:hAnsi="宋体" w:eastAsia="宋体" w:cs="宋体"/>
          <w:spacing w:val="-7"/>
          <w:sz w:val="18"/>
          <w:szCs w:val="18"/>
        </w:rPr>
        <w:t>柴油等。</w:t>
      </w:r>
    </w:p>
    <w:p w14:paraId="3E3ABA7C">
      <w:pPr>
        <w:spacing w:before="76" w:line="219" w:lineRule="auto"/>
        <w:ind w:left="374"/>
        <w:rPr>
          <w:rFonts w:ascii="宋体" w:hAnsi="宋体" w:eastAsia="宋体" w:cs="宋体"/>
          <w:sz w:val="18"/>
          <w:szCs w:val="18"/>
        </w:rPr>
      </w:pPr>
      <w:r>
        <w:rPr>
          <w:rFonts w:ascii="宋体" w:hAnsi="宋体" w:eastAsia="宋体" w:cs="宋体"/>
          <w:spacing w:val="-9"/>
          <w:sz w:val="18"/>
          <w:szCs w:val="18"/>
        </w:rPr>
        <w:t>7.有关能源品种填报方法：</w:t>
      </w:r>
    </w:p>
    <w:p w14:paraId="50BFA562">
      <w:pPr>
        <w:spacing w:before="67" w:line="219" w:lineRule="auto"/>
        <w:ind w:left="374"/>
        <w:rPr>
          <w:rFonts w:ascii="宋体" w:hAnsi="宋体" w:eastAsia="宋体" w:cs="宋体"/>
          <w:sz w:val="18"/>
          <w:szCs w:val="18"/>
        </w:rPr>
      </w:pPr>
      <w:r>
        <w:rPr>
          <w:rFonts w:ascii="宋体" w:hAnsi="宋体" w:eastAsia="宋体" w:cs="宋体"/>
          <w:spacing w:val="-7"/>
          <w:sz w:val="18"/>
          <w:szCs w:val="18"/>
        </w:rPr>
        <w:t>原煤折标系数：</w:t>
      </w:r>
    </w:p>
    <w:p w14:paraId="479BE8AD">
      <w:pPr>
        <w:spacing w:before="56" w:line="253" w:lineRule="auto"/>
        <w:ind w:left="4" w:right="18" w:firstLine="370"/>
        <w:rPr>
          <w:rFonts w:ascii="宋体" w:hAnsi="宋体" w:eastAsia="宋体" w:cs="宋体"/>
          <w:sz w:val="18"/>
          <w:szCs w:val="18"/>
        </w:rPr>
      </w:pPr>
      <w:r>
        <w:rPr>
          <w:rFonts w:ascii="宋体" w:hAnsi="宋体" w:eastAsia="宋体" w:cs="宋体"/>
          <w:spacing w:val="1"/>
          <w:sz w:val="18"/>
          <w:szCs w:val="18"/>
        </w:rPr>
        <w:t>(1)上年年综合能源消费量超过1万吨标准煤的原煤消费企业，原煤四个分项品种的折标系数按照规定须根据实测热</w:t>
      </w:r>
      <w:r>
        <w:rPr>
          <w:rFonts w:ascii="宋体" w:hAnsi="宋体" w:eastAsia="宋体" w:cs="宋体"/>
          <w:spacing w:val="7"/>
          <w:sz w:val="18"/>
          <w:szCs w:val="18"/>
        </w:rPr>
        <w:t xml:space="preserve"> </w:t>
      </w:r>
      <w:r>
        <w:rPr>
          <w:rFonts w:ascii="宋体" w:hAnsi="宋体" w:eastAsia="宋体" w:cs="宋体"/>
          <w:spacing w:val="-7"/>
          <w:sz w:val="18"/>
          <w:szCs w:val="18"/>
        </w:rPr>
        <w:t>值填报。</w:t>
      </w:r>
    </w:p>
    <w:p w14:paraId="273A5CDE">
      <w:pPr>
        <w:spacing w:before="87" w:line="243" w:lineRule="auto"/>
        <w:ind w:left="4" w:right="27" w:firstLine="370"/>
        <w:rPr>
          <w:rFonts w:ascii="宋体" w:hAnsi="宋体" w:eastAsia="宋体" w:cs="宋体"/>
          <w:sz w:val="18"/>
          <w:szCs w:val="18"/>
        </w:rPr>
      </w:pPr>
      <w:r>
        <w:rPr>
          <w:rFonts w:ascii="宋体" w:hAnsi="宋体" w:eastAsia="宋体" w:cs="宋体"/>
          <w:spacing w:val="-1"/>
          <w:sz w:val="18"/>
          <w:szCs w:val="18"/>
        </w:rPr>
        <w:t>(2)原煤四个分项品种的折标系数须使用累计的工业生产消费量和采用折标系数的加权平均法计算，不能使用当月值</w:t>
      </w:r>
      <w:r>
        <w:rPr>
          <w:rFonts w:ascii="宋体" w:hAnsi="宋体" w:eastAsia="宋体" w:cs="宋体"/>
          <w:spacing w:val="12"/>
          <w:sz w:val="18"/>
          <w:szCs w:val="18"/>
        </w:rPr>
        <w:t xml:space="preserve"> </w:t>
      </w:r>
      <w:r>
        <w:rPr>
          <w:rFonts w:ascii="宋体" w:hAnsi="宋体" w:eastAsia="宋体" w:cs="宋体"/>
          <w:spacing w:val="-8"/>
          <w:sz w:val="18"/>
          <w:szCs w:val="18"/>
        </w:rPr>
        <w:t>填报。</w:t>
      </w:r>
    </w:p>
    <w:p w14:paraId="66104133">
      <w:pPr>
        <w:spacing w:before="76" w:line="253" w:lineRule="auto"/>
        <w:ind w:left="4" w:firstLine="370"/>
        <w:rPr>
          <w:rFonts w:ascii="宋体" w:hAnsi="宋体" w:eastAsia="宋体" w:cs="宋体"/>
          <w:sz w:val="18"/>
          <w:szCs w:val="18"/>
        </w:rPr>
      </w:pPr>
      <w:r>
        <w:rPr>
          <w:rFonts w:ascii="宋体" w:hAnsi="宋体" w:eastAsia="宋体" w:cs="宋体"/>
          <w:sz w:val="18"/>
          <w:szCs w:val="18"/>
        </w:rPr>
        <w:t>(3)原煤合计项的折标系数为四个分项品种的加权平均法计算结果，即四个分项品种的</w:t>
      </w:r>
      <w:r>
        <w:rPr>
          <w:rFonts w:ascii="宋体" w:hAnsi="宋体" w:eastAsia="宋体" w:cs="宋体"/>
          <w:spacing w:val="-1"/>
          <w:sz w:val="18"/>
          <w:szCs w:val="18"/>
        </w:rPr>
        <w:t>工业生产消费量标准量合计除</w:t>
      </w:r>
      <w:r>
        <w:rPr>
          <w:rFonts w:ascii="宋体" w:hAnsi="宋体" w:eastAsia="宋体" w:cs="宋体"/>
          <w:sz w:val="18"/>
          <w:szCs w:val="18"/>
        </w:rPr>
        <w:t xml:space="preserve"> </w:t>
      </w:r>
      <w:r>
        <w:rPr>
          <w:rFonts w:ascii="宋体" w:hAnsi="宋体" w:eastAsia="宋体" w:cs="宋体"/>
          <w:spacing w:val="3"/>
          <w:sz w:val="18"/>
          <w:szCs w:val="18"/>
        </w:rPr>
        <w:t>以其实物量合计，系统自动计算(在联网直报平台</w:t>
      </w:r>
      <w:r>
        <w:rPr>
          <w:rFonts w:ascii="宋体" w:hAnsi="宋体" w:eastAsia="宋体" w:cs="宋体"/>
          <w:spacing w:val="2"/>
          <w:sz w:val="18"/>
          <w:szCs w:val="18"/>
        </w:rPr>
        <w:t>点击“计算”后生成)</w:t>
      </w:r>
      <w:r>
        <w:rPr>
          <w:rFonts w:ascii="宋体" w:hAnsi="宋体" w:eastAsia="宋体" w:cs="宋体"/>
          <w:spacing w:val="-14"/>
          <w:sz w:val="18"/>
          <w:szCs w:val="18"/>
        </w:rPr>
        <w:t xml:space="preserve"> </w:t>
      </w:r>
      <w:r>
        <w:rPr>
          <w:rFonts w:ascii="宋体" w:hAnsi="宋体" w:eastAsia="宋体" w:cs="宋体"/>
          <w:spacing w:val="2"/>
          <w:sz w:val="18"/>
          <w:szCs w:val="18"/>
        </w:rPr>
        <w:t>。</w:t>
      </w:r>
    </w:p>
    <w:p w14:paraId="1107D1D4">
      <w:pPr>
        <w:spacing w:before="74" w:line="258" w:lineRule="auto"/>
        <w:ind w:left="4" w:right="8" w:firstLine="370"/>
        <w:rPr>
          <w:rFonts w:ascii="宋体" w:hAnsi="宋体" w:eastAsia="宋体" w:cs="宋体"/>
          <w:sz w:val="18"/>
          <w:szCs w:val="18"/>
        </w:rPr>
      </w:pPr>
      <w:r>
        <w:rPr>
          <w:rFonts w:ascii="宋体" w:hAnsi="宋体" w:eastAsia="宋体" w:cs="宋体"/>
          <w:spacing w:val="-2"/>
          <w:sz w:val="18"/>
          <w:szCs w:val="18"/>
        </w:rPr>
        <w:t>(4)企业本年前期原煤热值未实测、自本期开始实测热值：若企业本年前期截至本期煤质变</w:t>
      </w:r>
      <w:r>
        <w:rPr>
          <w:rFonts w:ascii="宋体" w:hAnsi="宋体" w:eastAsia="宋体" w:cs="宋体"/>
          <w:spacing w:val="-3"/>
          <w:sz w:val="18"/>
          <w:szCs w:val="18"/>
        </w:rPr>
        <w:t>化不大，205-1表本期原煤</w:t>
      </w:r>
      <w:r>
        <w:rPr>
          <w:rFonts w:ascii="宋体" w:hAnsi="宋体" w:eastAsia="宋体" w:cs="宋体"/>
          <w:sz w:val="18"/>
          <w:szCs w:val="18"/>
        </w:rPr>
        <w:t xml:space="preserve"> 分项品种的折标系数可填报本期实测热值；若煤质变化较大，205-1表本期原煤分项品种的折标</w:t>
      </w:r>
      <w:r>
        <w:rPr>
          <w:rFonts w:ascii="宋体" w:hAnsi="宋体" w:eastAsia="宋体" w:cs="宋体"/>
          <w:spacing w:val="-1"/>
          <w:sz w:val="18"/>
          <w:szCs w:val="18"/>
        </w:rPr>
        <w:t>系数须使用前期填报数据</w:t>
      </w:r>
      <w:r>
        <w:rPr>
          <w:rFonts w:ascii="宋体" w:hAnsi="宋体" w:eastAsia="宋体" w:cs="宋体"/>
          <w:sz w:val="18"/>
          <w:szCs w:val="18"/>
        </w:rPr>
        <w:t xml:space="preserve"> </w:t>
      </w:r>
      <w:r>
        <w:rPr>
          <w:rFonts w:ascii="宋体" w:hAnsi="宋体" w:eastAsia="宋体" w:cs="宋体"/>
          <w:spacing w:val="-2"/>
          <w:sz w:val="18"/>
          <w:szCs w:val="18"/>
        </w:rPr>
        <w:t>与本期实测热值进行加权平均计算后的热值填报。</w:t>
      </w:r>
    </w:p>
    <w:p w14:paraId="2B3B014D">
      <w:pPr>
        <w:spacing w:line="258" w:lineRule="auto"/>
        <w:rPr>
          <w:rFonts w:ascii="宋体" w:hAnsi="宋体" w:eastAsia="宋体" w:cs="宋体"/>
          <w:sz w:val="18"/>
          <w:szCs w:val="18"/>
        </w:rPr>
        <w:sectPr>
          <w:headerReference r:id="rId23" w:type="default"/>
          <w:pgSz w:w="11910" w:h="16840"/>
          <w:pgMar w:top="1046" w:right="1231" w:bottom="0" w:left="1225" w:header="876" w:footer="0" w:gutter="0"/>
          <w:cols w:space="720" w:num="1"/>
        </w:sectPr>
      </w:pPr>
    </w:p>
    <w:p w14:paraId="2D6D668D">
      <w:pPr>
        <w:pStyle w:val="2"/>
        <w:spacing w:line="276" w:lineRule="auto"/>
      </w:pPr>
    </w:p>
    <w:p w14:paraId="7B7C067E">
      <w:pPr>
        <w:pStyle w:val="2"/>
        <w:spacing w:line="277" w:lineRule="auto"/>
      </w:pPr>
    </w:p>
    <w:p w14:paraId="6F363C6F">
      <w:pPr>
        <w:spacing w:before="91" w:line="221" w:lineRule="auto"/>
        <w:ind w:left="889"/>
        <w:rPr>
          <w:rFonts w:ascii="黑体" w:hAnsi="黑体" w:eastAsia="黑体" w:cs="黑体"/>
          <w:sz w:val="28"/>
          <w:szCs w:val="28"/>
        </w:rPr>
      </w:pPr>
      <w:r>
        <w:rPr>
          <w:rFonts w:ascii="黑体" w:hAnsi="黑体" w:eastAsia="黑体" w:cs="黑体"/>
          <w:b/>
          <w:bCs/>
          <w:spacing w:val="6"/>
          <w:sz w:val="28"/>
          <w:szCs w:val="28"/>
        </w:rPr>
        <w:t>(二)主要耗能工业企业单位产品能源消费情况目录(205-3表)</w:t>
      </w:r>
    </w:p>
    <w:p w14:paraId="68782C53">
      <w:pPr>
        <w:spacing w:line="234" w:lineRule="exact"/>
      </w:pPr>
    </w:p>
    <w:tbl>
      <w:tblPr>
        <w:tblStyle w:val="5"/>
        <w:tblW w:w="944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0"/>
        <w:gridCol w:w="2150"/>
        <w:gridCol w:w="1250"/>
        <w:gridCol w:w="540"/>
        <w:gridCol w:w="440"/>
        <w:gridCol w:w="2210"/>
        <w:gridCol w:w="1660"/>
        <w:gridCol w:w="640"/>
      </w:tblGrid>
      <w:tr w14:paraId="20DB05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550" w:type="dxa"/>
            <w:vMerge w:val="restart"/>
            <w:tcBorders>
              <w:left w:val="nil"/>
              <w:bottom w:val="nil"/>
            </w:tcBorders>
            <w:vAlign w:val="top"/>
          </w:tcPr>
          <w:p w14:paraId="4804D70D">
            <w:pPr>
              <w:pStyle w:val="6"/>
              <w:spacing w:before="212" w:line="219" w:lineRule="auto"/>
              <w:ind w:left="70"/>
            </w:pPr>
            <w:r>
              <w:rPr>
                <w:spacing w:val="-2"/>
              </w:rPr>
              <w:t>代码</w:t>
            </w:r>
          </w:p>
        </w:tc>
        <w:tc>
          <w:tcPr>
            <w:tcW w:w="2150" w:type="dxa"/>
            <w:vMerge w:val="restart"/>
            <w:tcBorders>
              <w:bottom w:val="nil"/>
            </w:tcBorders>
            <w:vAlign w:val="top"/>
          </w:tcPr>
          <w:p w14:paraId="1CEA9AE2">
            <w:pPr>
              <w:pStyle w:val="6"/>
              <w:spacing w:before="212" w:line="220" w:lineRule="auto"/>
              <w:ind w:left="715"/>
            </w:pPr>
            <w:r>
              <w:rPr>
                <w:spacing w:val="-2"/>
              </w:rPr>
              <w:t>指标名称</w:t>
            </w:r>
          </w:p>
        </w:tc>
        <w:tc>
          <w:tcPr>
            <w:tcW w:w="2230" w:type="dxa"/>
            <w:gridSpan w:val="3"/>
            <w:vAlign w:val="top"/>
          </w:tcPr>
          <w:p w14:paraId="3B36FAEB">
            <w:pPr>
              <w:pStyle w:val="6"/>
              <w:spacing w:before="62" w:line="220" w:lineRule="auto"/>
              <w:ind w:left="775"/>
            </w:pPr>
            <w:r>
              <w:rPr>
                <w:spacing w:val="-2"/>
              </w:rPr>
              <w:t>计量单位</w:t>
            </w:r>
          </w:p>
        </w:tc>
        <w:tc>
          <w:tcPr>
            <w:tcW w:w="3870" w:type="dxa"/>
            <w:gridSpan w:val="2"/>
            <w:vAlign w:val="top"/>
          </w:tcPr>
          <w:p w14:paraId="5C781EEF">
            <w:pPr>
              <w:pStyle w:val="6"/>
              <w:spacing w:before="62" w:line="219" w:lineRule="auto"/>
              <w:ind w:left="1595"/>
            </w:pPr>
            <w:r>
              <w:rPr>
                <w:spacing w:val="-2"/>
              </w:rPr>
              <w:t>计算根据</w:t>
            </w:r>
          </w:p>
        </w:tc>
        <w:tc>
          <w:tcPr>
            <w:tcW w:w="640" w:type="dxa"/>
            <w:vMerge w:val="restart"/>
            <w:tcBorders>
              <w:bottom w:val="nil"/>
              <w:right w:val="nil"/>
            </w:tcBorders>
            <w:vAlign w:val="top"/>
          </w:tcPr>
          <w:p w14:paraId="4AAFEA0C">
            <w:pPr>
              <w:pStyle w:val="6"/>
              <w:spacing w:before="102" w:line="248" w:lineRule="auto"/>
              <w:ind w:left="35" w:right="18" w:firstLine="50"/>
            </w:pPr>
            <w:r>
              <w:rPr>
                <w:spacing w:val="-3"/>
              </w:rPr>
              <w:t>单位换</w:t>
            </w:r>
            <w:r>
              <w:t xml:space="preserve"> </w:t>
            </w:r>
            <w:r>
              <w:rPr>
                <w:spacing w:val="-2"/>
              </w:rPr>
              <w:t>算系数</w:t>
            </w:r>
          </w:p>
        </w:tc>
      </w:tr>
      <w:tr w14:paraId="57F89B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550" w:type="dxa"/>
            <w:vMerge w:val="continue"/>
            <w:tcBorders>
              <w:top w:val="nil"/>
              <w:left w:val="nil"/>
            </w:tcBorders>
            <w:vAlign w:val="top"/>
          </w:tcPr>
          <w:p w14:paraId="4DB8D946">
            <w:pPr>
              <w:rPr>
                <w:rFonts w:ascii="Arial"/>
                <w:sz w:val="21"/>
              </w:rPr>
            </w:pPr>
          </w:p>
        </w:tc>
        <w:tc>
          <w:tcPr>
            <w:tcW w:w="2150" w:type="dxa"/>
            <w:vMerge w:val="continue"/>
            <w:tcBorders>
              <w:top w:val="nil"/>
            </w:tcBorders>
            <w:vAlign w:val="top"/>
          </w:tcPr>
          <w:p w14:paraId="4C66A363">
            <w:pPr>
              <w:rPr>
                <w:rFonts w:ascii="Arial"/>
                <w:sz w:val="21"/>
              </w:rPr>
            </w:pPr>
          </w:p>
        </w:tc>
        <w:tc>
          <w:tcPr>
            <w:tcW w:w="1250" w:type="dxa"/>
            <w:vAlign w:val="top"/>
          </w:tcPr>
          <w:p w14:paraId="010C356D">
            <w:pPr>
              <w:pStyle w:val="6"/>
              <w:spacing w:before="62" w:line="220" w:lineRule="auto"/>
              <w:ind w:left="455"/>
            </w:pPr>
            <w:r>
              <w:rPr>
                <w:spacing w:val="-3"/>
              </w:rPr>
              <w:t>指标</w:t>
            </w:r>
          </w:p>
        </w:tc>
        <w:tc>
          <w:tcPr>
            <w:tcW w:w="540" w:type="dxa"/>
            <w:vAlign w:val="top"/>
          </w:tcPr>
          <w:p w14:paraId="76DA3876">
            <w:pPr>
              <w:pStyle w:val="6"/>
              <w:spacing w:before="102" w:line="191" w:lineRule="auto"/>
              <w:ind w:left="84"/>
            </w:pPr>
            <w:r>
              <w:rPr>
                <w:spacing w:val="-2"/>
              </w:rPr>
              <w:t>子项</w:t>
            </w:r>
          </w:p>
        </w:tc>
        <w:tc>
          <w:tcPr>
            <w:tcW w:w="440" w:type="dxa"/>
            <w:vAlign w:val="top"/>
          </w:tcPr>
          <w:p w14:paraId="162D00C9">
            <w:pPr>
              <w:pStyle w:val="6"/>
              <w:spacing w:before="102" w:line="191" w:lineRule="auto"/>
              <w:ind w:left="15"/>
            </w:pPr>
            <w:r>
              <w:rPr>
                <w:spacing w:val="-2"/>
              </w:rPr>
              <w:t>母项</w:t>
            </w:r>
          </w:p>
        </w:tc>
        <w:tc>
          <w:tcPr>
            <w:tcW w:w="2210" w:type="dxa"/>
            <w:vAlign w:val="top"/>
          </w:tcPr>
          <w:p w14:paraId="5E284600">
            <w:pPr>
              <w:pStyle w:val="6"/>
              <w:spacing w:before="102" w:line="191" w:lineRule="auto"/>
              <w:ind w:left="925"/>
            </w:pPr>
            <w:r>
              <w:rPr>
                <w:spacing w:val="-2"/>
              </w:rPr>
              <w:t>子项</w:t>
            </w:r>
          </w:p>
        </w:tc>
        <w:tc>
          <w:tcPr>
            <w:tcW w:w="1660" w:type="dxa"/>
            <w:vAlign w:val="top"/>
          </w:tcPr>
          <w:p w14:paraId="5C376E14">
            <w:pPr>
              <w:pStyle w:val="6"/>
              <w:spacing w:before="62" w:line="220" w:lineRule="auto"/>
              <w:ind w:left="665"/>
            </w:pPr>
            <w:r>
              <w:rPr>
                <w:spacing w:val="-2"/>
              </w:rPr>
              <w:t>母项</w:t>
            </w:r>
          </w:p>
        </w:tc>
        <w:tc>
          <w:tcPr>
            <w:tcW w:w="640" w:type="dxa"/>
            <w:vMerge w:val="continue"/>
            <w:tcBorders>
              <w:top w:val="nil"/>
              <w:right w:val="nil"/>
            </w:tcBorders>
            <w:vAlign w:val="top"/>
          </w:tcPr>
          <w:p w14:paraId="72698650">
            <w:pPr>
              <w:rPr>
                <w:rFonts w:ascii="Arial"/>
                <w:sz w:val="21"/>
              </w:rPr>
            </w:pPr>
          </w:p>
        </w:tc>
      </w:tr>
    </w:tbl>
    <w:p w14:paraId="4407CCF5">
      <w:pPr>
        <w:spacing w:before="89" w:line="195" w:lineRule="auto"/>
        <w:ind w:left="7"/>
        <w:rPr>
          <w:rFonts w:ascii="宋体" w:hAnsi="宋体" w:eastAsia="宋体" w:cs="宋体"/>
          <w:sz w:val="18"/>
          <w:szCs w:val="18"/>
        </w:rPr>
      </w:pPr>
      <w:r>
        <w:rPr>
          <w:rFonts w:ascii="宋体" w:hAnsi="宋体" w:eastAsia="宋体" w:cs="宋体"/>
          <w:b/>
          <w:bCs/>
          <w:spacing w:val="3"/>
          <w:sz w:val="18"/>
          <w:szCs w:val="18"/>
        </w:rPr>
        <w:t>煤炭(06)</w:t>
      </w:r>
    </w:p>
    <w:tbl>
      <w:tblPr>
        <w:tblStyle w:val="5"/>
        <w:tblW w:w="94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0"/>
        <w:gridCol w:w="2150"/>
        <w:gridCol w:w="1250"/>
        <w:gridCol w:w="540"/>
        <w:gridCol w:w="440"/>
        <w:gridCol w:w="2210"/>
        <w:gridCol w:w="1660"/>
        <w:gridCol w:w="650"/>
      </w:tblGrid>
      <w:tr w14:paraId="6F6434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1" w:hRule="atLeast"/>
        </w:trPr>
        <w:tc>
          <w:tcPr>
            <w:tcW w:w="550" w:type="dxa"/>
            <w:tcBorders>
              <w:left w:val="nil"/>
            </w:tcBorders>
            <w:vAlign w:val="top"/>
          </w:tcPr>
          <w:p w14:paraId="7E7C7B68">
            <w:pPr>
              <w:pStyle w:val="6"/>
              <w:spacing w:before="217" w:line="184" w:lineRule="auto"/>
              <w:ind w:left="90"/>
            </w:pPr>
            <w:r>
              <w:rPr>
                <w:spacing w:val="-2"/>
              </w:rPr>
              <w:t>0610</w:t>
            </w:r>
          </w:p>
        </w:tc>
        <w:tc>
          <w:tcPr>
            <w:tcW w:w="2150" w:type="dxa"/>
            <w:vAlign w:val="top"/>
          </w:tcPr>
          <w:p w14:paraId="02BF2312">
            <w:pPr>
              <w:pStyle w:val="6"/>
              <w:spacing w:before="172" w:line="219" w:lineRule="auto"/>
              <w:ind w:left="15"/>
            </w:pPr>
            <w:r>
              <w:t>吨原煤生产综合能耗</w:t>
            </w:r>
          </w:p>
        </w:tc>
        <w:tc>
          <w:tcPr>
            <w:tcW w:w="1250" w:type="dxa"/>
            <w:vAlign w:val="top"/>
          </w:tcPr>
          <w:p w14:paraId="1568A474">
            <w:pPr>
              <w:pStyle w:val="6"/>
              <w:spacing w:before="172" w:line="219" w:lineRule="auto"/>
              <w:ind w:left="45"/>
            </w:pPr>
            <w:r>
              <w:rPr>
                <w:spacing w:val="-1"/>
              </w:rPr>
              <w:t>千克标准煤/吨</w:t>
            </w:r>
          </w:p>
        </w:tc>
        <w:tc>
          <w:tcPr>
            <w:tcW w:w="540" w:type="dxa"/>
            <w:vAlign w:val="top"/>
          </w:tcPr>
          <w:p w14:paraId="6E688A91">
            <w:pPr>
              <w:pStyle w:val="6"/>
              <w:spacing w:before="72" w:line="225" w:lineRule="auto"/>
              <w:ind w:left="84" w:right="77"/>
            </w:pPr>
            <w:r>
              <w:rPr>
                <w:spacing w:val="3"/>
              </w:rPr>
              <w:t>吨标</w:t>
            </w:r>
            <w:r>
              <w:t xml:space="preserve"> </w:t>
            </w:r>
            <w:r>
              <w:rPr>
                <w:spacing w:val="-3"/>
              </w:rPr>
              <w:t>准煤</w:t>
            </w:r>
          </w:p>
        </w:tc>
        <w:tc>
          <w:tcPr>
            <w:tcW w:w="440" w:type="dxa"/>
            <w:vAlign w:val="top"/>
          </w:tcPr>
          <w:p w14:paraId="353162E9">
            <w:pPr>
              <w:pStyle w:val="6"/>
              <w:spacing w:before="181" w:line="229" w:lineRule="auto"/>
              <w:ind w:left="125"/>
            </w:pPr>
            <w:r>
              <w:t>吨</w:t>
            </w:r>
          </w:p>
        </w:tc>
        <w:tc>
          <w:tcPr>
            <w:tcW w:w="2210" w:type="dxa"/>
            <w:vAlign w:val="top"/>
          </w:tcPr>
          <w:p w14:paraId="405397C3">
            <w:pPr>
              <w:pStyle w:val="6"/>
              <w:spacing w:before="172" w:line="219" w:lineRule="auto"/>
              <w:ind w:left="35"/>
            </w:pPr>
            <w:r>
              <w:rPr>
                <w:spacing w:val="-1"/>
              </w:rPr>
              <w:t>原煤生产综合能源消费量</w:t>
            </w:r>
          </w:p>
        </w:tc>
        <w:tc>
          <w:tcPr>
            <w:tcW w:w="1660" w:type="dxa"/>
            <w:vAlign w:val="top"/>
          </w:tcPr>
          <w:p w14:paraId="78349B53">
            <w:pPr>
              <w:pStyle w:val="6"/>
              <w:spacing w:before="172" w:line="219" w:lineRule="auto"/>
              <w:ind w:left="15"/>
            </w:pPr>
            <w:r>
              <w:rPr>
                <w:spacing w:val="-3"/>
              </w:rPr>
              <w:t>原煤产量</w:t>
            </w:r>
          </w:p>
        </w:tc>
        <w:tc>
          <w:tcPr>
            <w:tcW w:w="650" w:type="dxa"/>
            <w:tcBorders>
              <w:right w:val="nil"/>
            </w:tcBorders>
            <w:vAlign w:val="top"/>
          </w:tcPr>
          <w:p w14:paraId="7EF92E76">
            <w:pPr>
              <w:pStyle w:val="6"/>
              <w:spacing w:before="217" w:line="184" w:lineRule="auto"/>
              <w:ind w:right="25"/>
              <w:jc w:val="right"/>
            </w:pPr>
            <w:r>
              <w:rPr>
                <w:spacing w:val="-4"/>
              </w:rPr>
              <w:t>1000</w:t>
            </w:r>
          </w:p>
        </w:tc>
      </w:tr>
      <w:tr w14:paraId="327A26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7" w:hRule="atLeast"/>
        </w:trPr>
        <w:tc>
          <w:tcPr>
            <w:tcW w:w="550" w:type="dxa"/>
            <w:tcBorders>
              <w:left w:val="nil"/>
            </w:tcBorders>
            <w:vAlign w:val="top"/>
          </w:tcPr>
          <w:p w14:paraId="1DFD2F5D">
            <w:pPr>
              <w:pStyle w:val="6"/>
              <w:spacing w:before="217" w:line="183" w:lineRule="auto"/>
              <w:ind w:left="90"/>
            </w:pPr>
            <w:r>
              <w:rPr>
                <w:spacing w:val="-2"/>
              </w:rPr>
              <w:t>0602</w:t>
            </w:r>
          </w:p>
        </w:tc>
        <w:tc>
          <w:tcPr>
            <w:tcW w:w="2150" w:type="dxa"/>
            <w:vAlign w:val="top"/>
          </w:tcPr>
          <w:p w14:paraId="670E64AB">
            <w:pPr>
              <w:pStyle w:val="6"/>
              <w:spacing w:before="171" w:line="219" w:lineRule="auto"/>
              <w:ind w:left="15"/>
            </w:pPr>
            <w:r>
              <w:rPr>
                <w:spacing w:val="1"/>
              </w:rPr>
              <w:t>吨原煤生产耗电</w:t>
            </w:r>
          </w:p>
        </w:tc>
        <w:tc>
          <w:tcPr>
            <w:tcW w:w="1250" w:type="dxa"/>
            <w:vAlign w:val="top"/>
          </w:tcPr>
          <w:p w14:paraId="52324C13">
            <w:pPr>
              <w:pStyle w:val="6"/>
              <w:spacing w:before="172" w:line="221" w:lineRule="auto"/>
              <w:ind w:left="45"/>
            </w:pPr>
            <w:r>
              <w:rPr>
                <w:spacing w:val="-2"/>
              </w:rPr>
              <w:t>千瓦时/吨</w:t>
            </w:r>
          </w:p>
        </w:tc>
        <w:tc>
          <w:tcPr>
            <w:tcW w:w="540" w:type="dxa"/>
            <w:vAlign w:val="top"/>
          </w:tcPr>
          <w:p w14:paraId="34AB9A15">
            <w:pPr>
              <w:pStyle w:val="6"/>
              <w:spacing w:before="62" w:line="223" w:lineRule="auto"/>
              <w:ind w:left="84" w:right="74"/>
            </w:pPr>
            <w:r>
              <w:rPr>
                <w:spacing w:val="-6"/>
              </w:rPr>
              <w:t>万千</w:t>
            </w:r>
            <w:r>
              <w:t xml:space="preserve"> </w:t>
            </w:r>
            <w:r>
              <w:rPr>
                <w:spacing w:val="5"/>
              </w:rPr>
              <w:t>瓦时</w:t>
            </w:r>
          </w:p>
        </w:tc>
        <w:tc>
          <w:tcPr>
            <w:tcW w:w="440" w:type="dxa"/>
            <w:vAlign w:val="top"/>
          </w:tcPr>
          <w:p w14:paraId="79E5E723">
            <w:pPr>
              <w:pStyle w:val="6"/>
              <w:spacing w:before="180" w:line="229" w:lineRule="auto"/>
              <w:ind w:left="125"/>
            </w:pPr>
            <w:r>
              <w:t>吨</w:t>
            </w:r>
          </w:p>
        </w:tc>
        <w:tc>
          <w:tcPr>
            <w:tcW w:w="2210" w:type="dxa"/>
            <w:vAlign w:val="top"/>
          </w:tcPr>
          <w:p w14:paraId="3F42FDCA">
            <w:pPr>
              <w:pStyle w:val="6"/>
              <w:spacing w:before="171" w:line="219" w:lineRule="auto"/>
              <w:ind w:left="35"/>
            </w:pPr>
            <w:r>
              <w:rPr>
                <w:spacing w:val="-2"/>
              </w:rPr>
              <w:t>原煤生产用电量</w:t>
            </w:r>
          </w:p>
        </w:tc>
        <w:tc>
          <w:tcPr>
            <w:tcW w:w="1660" w:type="dxa"/>
            <w:vAlign w:val="top"/>
          </w:tcPr>
          <w:p w14:paraId="15CF1858">
            <w:pPr>
              <w:pStyle w:val="6"/>
              <w:spacing w:before="171" w:line="219" w:lineRule="auto"/>
              <w:ind w:left="15"/>
            </w:pPr>
            <w:r>
              <w:rPr>
                <w:spacing w:val="-3"/>
              </w:rPr>
              <w:t>原煤产量</w:t>
            </w:r>
          </w:p>
        </w:tc>
        <w:tc>
          <w:tcPr>
            <w:tcW w:w="650" w:type="dxa"/>
            <w:tcBorders>
              <w:right w:val="nil"/>
            </w:tcBorders>
            <w:vAlign w:val="top"/>
          </w:tcPr>
          <w:p w14:paraId="6BFF8DB3">
            <w:pPr>
              <w:pStyle w:val="6"/>
              <w:spacing w:before="216" w:line="184" w:lineRule="auto"/>
              <w:ind w:right="26"/>
              <w:jc w:val="right"/>
            </w:pPr>
            <w:r>
              <w:rPr>
                <w:spacing w:val="-4"/>
              </w:rPr>
              <w:t>10000</w:t>
            </w:r>
          </w:p>
        </w:tc>
      </w:tr>
      <w:tr w14:paraId="18519F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1" w:hRule="atLeast"/>
        </w:trPr>
        <w:tc>
          <w:tcPr>
            <w:tcW w:w="550" w:type="dxa"/>
            <w:tcBorders>
              <w:left w:val="nil"/>
            </w:tcBorders>
            <w:vAlign w:val="top"/>
          </w:tcPr>
          <w:p w14:paraId="5A93A973">
            <w:pPr>
              <w:pStyle w:val="6"/>
              <w:spacing w:before="280" w:line="183" w:lineRule="auto"/>
              <w:ind w:left="90"/>
            </w:pPr>
            <w:r>
              <w:rPr>
                <w:spacing w:val="-2"/>
              </w:rPr>
              <w:t>0603</w:t>
            </w:r>
          </w:p>
        </w:tc>
        <w:tc>
          <w:tcPr>
            <w:tcW w:w="2150" w:type="dxa"/>
            <w:vAlign w:val="top"/>
          </w:tcPr>
          <w:p w14:paraId="3208A319">
            <w:pPr>
              <w:pStyle w:val="6"/>
              <w:spacing w:before="214" w:line="219" w:lineRule="auto"/>
              <w:ind w:left="15"/>
            </w:pPr>
            <w:r>
              <w:rPr>
                <w:spacing w:val="-1"/>
              </w:rPr>
              <w:t>洗煤电力单耗</w:t>
            </w:r>
          </w:p>
        </w:tc>
        <w:tc>
          <w:tcPr>
            <w:tcW w:w="1250" w:type="dxa"/>
            <w:vAlign w:val="top"/>
          </w:tcPr>
          <w:p w14:paraId="69C7806A">
            <w:pPr>
              <w:pStyle w:val="6"/>
              <w:spacing w:before="215" w:line="221" w:lineRule="auto"/>
              <w:ind w:left="45"/>
            </w:pPr>
            <w:r>
              <w:rPr>
                <w:spacing w:val="-2"/>
              </w:rPr>
              <w:t>千瓦时/吨</w:t>
            </w:r>
          </w:p>
        </w:tc>
        <w:tc>
          <w:tcPr>
            <w:tcW w:w="540" w:type="dxa"/>
            <w:vAlign w:val="top"/>
          </w:tcPr>
          <w:p w14:paraId="4437FABD">
            <w:pPr>
              <w:pStyle w:val="6"/>
              <w:spacing w:before="95" w:line="208" w:lineRule="auto"/>
              <w:ind w:left="84" w:right="74"/>
            </w:pPr>
            <w:r>
              <w:rPr>
                <w:spacing w:val="-6"/>
              </w:rPr>
              <w:t>万千</w:t>
            </w:r>
            <w:r>
              <w:t xml:space="preserve"> </w:t>
            </w:r>
            <w:r>
              <w:rPr>
                <w:spacing w:val="5"/>
              </w:rPr>
              <w:t>瓦时</w:t>
            </w:r>
          </w:p>
        </w:tc>
        <w:tc>
          <w:tcPr>
            <w:tcW w:w="440" w:type="dxa"/>
            <w:vAlign w:val="top"/>
          </w:tcPr>
          <w:p w14:paraId="5C90D68A">
            <w:pPr>
              <w:pStyle w:val="6"/>
              <w:spacing w:before="223" w:line="229" w:lineRule="auto"/>
              <w:ind w:left="125"/>
            </w:pPr>
            <w:r>
              <w:t>吨</w:t>
            </w:r>
          </w:p>
        </w:tc>
        <w:tc>
          <w:tcPr>
            <w:tcW w:w="2210" w:type="dxa"/>
            <w:vAlign w:val="top"/>
          </w:tcPr>
          <w:p w14:paraId="36A35AA8">
            <w:pPr>
              <w:pStyle w:val="6"/>
              <w:spacing w:before="214" w:line="219" w:lineRule="auto"/>
              <w:ind w:left="35"/>
            </w:pPr>
            <w:r>
              <w:rPr>
                <w:spacing w:val="-1"/>
              </w:rPr>
              <w:t>洗煤生产过程用电量</w:t>
            </w:r>
          </w:p>
        </w:tc>
        <w:tc>
          <w:tcPr>
            <w:tcW w:w="1660" w:type="dxa"/>
            <w:vAlign w:val="top"/>
          </w:tcPr>
          <w:p w14:paraId="063CC1C9">
            <w:pPr>
              <w:pStyle w:val="6"/>
              <w:spacing w:before="214" w:line="220" w:lineRule="auto"/>
              <w:ind w:left="15"/>
            </w:pPr>
            <w:r>
              <w:rPr>
                <w:spacing w:val="-2"/>
              </w:rPr>
              <w:t>入洗原煤量</w:t>
            </w:r>
          </w:p>
        </w:tc>
        <w:tc>
          <w:tcPr>
            <w:tcW w:w="650" w:type="dxa"/>
            <w:tcBorders>
              <w:right w:val="nil"/>
            </w:tcBorders>
            <w:vAlign w:val="top"/>
          </w:tcPr>
          <w:p w14:paraId="45AAE7E6">
            <w:pPr>
              <w:pStyle w:val="6"/>
              <w:spacing w:before="219" w:line="184" w:lineRule="auto"/>
              <w:ind w:right="26"/>
              <w:jc w:val="right"/>
            </w:pPr>
            <w:r>
              <w:rPr>
                <w:spacing w:val="-4"/>
              </w:rPr>
              <w:t>10000</w:t>
            </w:r>
          </w:p>
        </w:tc>
      </w:tr>
    </w:tbl>
    <w:p w14:paraId="0DB21DB1">
      <w:pPr>
        <w:spacing w:before="130" w:line="195" w:lineRule="auto"/>
        <w:ind w:left="17"/>
        <w:rPr>
          <w:rFonts w:ascii="宋体" w:hAnsi="宋体" w:eastAsia="宋体" w:cs="宋体"/>
          <w:sz w:val="18"/>
          <w:szCs w:val="18"/>
        </w:rPr>
      </w:pPr>
      <w:r>
        <w:rPr>
          <w:rFonts w:ascii="宋体" w:hAnsi="宋体" w:eastAsia="宋体" w:cs="宋体"/>
          <w:b/>
          <w:bCs/>
          <w:spacing w:val="1"/>
          <w:sz w:val="18"/>
          <w:szCs w:val="18"/>
        </w:rPr>
        <w:t>石油和天然气(07)</w:t>
      </w:r>
    </w:p>
    <w:tbl>
      <w:tblPr>
        <w:tblStyle w:val="5"/>
        <w:tblW w:w="944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4"/>
        <w:gridCol w:w="2148"/>
        <w:gridCol w:w="1249"/>
        <w:gridCol w:w="539"/>
        <w:gridCol w:w="440"/>
        <w:gridCol w:w="2208"/>
        <w:gridCol w:w="1658"/>
        <w:gridCol w:w="644"/>
      </w:tblGrid>
      <w:tr w14:paraId="33897F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554" w:type="dxa"/>
            <w:vAlign w:val="top"/>
          </w:tcPr>
          <w:p w14:paraId="40E81586">
            <w:pPr>
              <w:pStyle w:val="6"/>
              <w:spacing w:before="217" w:line="184" w:lineRule="auto"/>
              <w:ind w:left="85"/>
            </w:pPr>
            <w:r>
              <w:rPr>
                <w:spacing w:val="-2"/>
              </w:rPr>
              <w:t>0701</w:t>
            </w:r>
          </w:p>
        </w:tc>
        <w:tc>
          <w:tcPr>
            <w:tcW w:w="2148" w:type="dxa"/>
            <w:vAlign w:val="top"/>
          </w:tcPr>
          <w:p w14:paraId="050F4DAC">
            <w:pPr>
              <w:pStyle w:val="6"/>
              <w:spacing w:before="172" w:line="219" w:lineRule="auto"/>
              <w:ind w:left="11"/>
            </w:pPr>
            <w:r>
              <w:rPr>
                <w:spacing w:val="-1"/>
              </w:rPr>
              <w:t>单位油气产量综合能耗</w:t>
            </w:r>
          </w:p>
        </w:tc>
        <w:tc>
          <w:tcPr>
            <w:tcW w:w="1249" w:type="dxa"/>
            <w:vAlign w:val="top"/>
          </w:tcPr>
          <w:p w14:paraId="3C67D354">
            <w:pPr>
              <w:pStyle w:val="6"/>
              <w:spacing w:before="172" w:line="219" w:lineRule="auto"/>
              <w:ind w:left="43"/>
            </w:pPr>
            <w:r>
              <w:rPr>
                <w:spacing w:val="-1"/>
              </w:rPr>
              <w:t>千克标准煤/吨</w:t>
            </w:r>
          </w:p>
        </w:tc>
        <w:tc>
          <w:tcPr>
            <w:tcW w:w="539" w:type="dxa"/>
            <w:vAlign w:val="top"/>
          </w:tcPr>
          <w:p w14:paraId="41A12807">
            <w:pPr>
              <w:pStyle w:val="6"/>
              <w:spacing w:before="63" w:line="224" w:lineRule="auto"/>
              <w:ind w:left="83" w:right="77"/>
            </w:pPr>
            <w:r>
              <w:rPr>
                <w:spacing w:val="3"/>
              </w:rPr>
              <w:t>吨标</w:t>
            </w:r>
            <w:r>
              <w:t xml:space="preserve"> </w:t>
            </w:r>
            <w:r>
              <w:rPr>
                <w:spacing w:val="-3"/>
              </w:rPr>
              <w:t>准煤</w:t>
            </w:r>
          </w:p>
        </w:tc>
        <w:tc>
          <w:tcPr>
            <w:tcW w:w="440" w:type="dxa"/>
            <w:vAlign w:val="top"/>
          </w:tcPr>
          <w:p w14:paraId="65461E2A">
            <w:pPr>
              <w:pStyle w:val="6"/>
              <w:spacing w:before="181" w:line="229" w:lineRule="auto"/>
              <w:ind w:left="125"/>
            </w:pPr>
            <w:r>
              <w:t>吨</w:t>
            </w:r>
          </w:p>
        </w:tc>
        <w:tc>
          <w:tcPr>
            <w:tcW w:w="2208" w:type="dxa"/>
            <w:vAlign w:val="top"/>
          </w:tcPr>
          <w:p w14:paraId="56DCF79E">
            <w:pPr>
              <w:pStyle w:val="6"/>
              <w:spacing w:before="172" w:line="219" w:lineRule="auto"/>
              <w:ind w:left="15"/>
            </w:pPr>
            <w:r>
              <w:rPr>
                <w:spacing w:val="-1"/>
              </w:rPr>
              <w:t>油气田生产综合能源消费量</w:t>
            </w:r>
          </w:p>
        </w:tc>
        <w:tc>
          <w:tcPr>
            <w:tcW w:w="1658" w:type="dxa"/>
            <w:vAlign w:val="top"/>
          </w:tcPr>
          <w:p w14:paraId="064026FE">
            <w:pPr>
              <w:pStyle w:val="6"/>
              <w:spacing w:before="172" w:line="219" w:lineRule="auto"/>
              <w:ind w:left="17"/>
            </w:pPr>
            <w:r>
              <w:rPr>
                <w:spacing w:val="-2"/>
              </w:rPr>
              <w:t>油气当量产量</w:t>
            </w:r>
          </w:p>
        </w:tc>
        <w:tc>
          <w:tcPr>
            <w:tcW w:w="644" w:type="dxa"/>
            <w:vAlign w:val="top"/>
          </w:tcPr>
          <w:p w14:paraId="1E1CD534">
            <w:pPr>
              <w:pStyle w:val="6"/>
              <w:spacing w:before="217" w:line="184" w:lineRule="auto"/>
              <w:ind w:right="10"/>
              <w:jc w:val="right"/>
            </w:pPr>
            <w:r>
              <w:rPr>
                <w:spacing w:val="-4"/>
              </w:rPr>
              <w:t>1000</w:t>
            </w:r>
          </w:p>
        </w:tc>
      </w:tr>
      <w:tr w14:paraId="3DB669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554" w:type="dxa"/>
            <w:vAlign w:val="top"/>
          </w:tcPr>
          <w:p w14:paraId="6520A916">
            <w:pPr>
              <w:pStyle w:val="6"/>
              <w:spacing w:before="218" w:line="183" w:lineRule="auto"/>
              <w:ind w:left="85"/>
            </w:pPr>
            <w:r>
              <w:rPr>
                <w:spacing w:val="-2"/>
              </w:rPr>
              <w:t>0702</w:t>
            </w:r>
          </w:p>
        </w:tc>
        <w:tc>
          <w:tcPr>
            <w:tcW w:w="2148" w:type="dxa"/>
            <w:vAlign w:val="top"/>
          </w:tcPr>
          <w:p w14:paraId="464CFC24">
            <w:pPr>
              <w:pStyle w:val="6"/>
              <w:spacing w:before="172" w:line="219" w:lineRule="auto"/>
              <w:ind w:left="11"/>
            </w:pPr>
            <w:r>
              <w:rPr>
                <w:spacing w:val="-1"/>
              </w:rPr>
              <w:t>单位油气产量耗电</w:t>
            </w:r>
          </w:p>
        </w:tc>
        <w:tc>
          <w:tcPr>
            <w:tcW w:w="1249" w:type="dxa"/>
            <w:vAlign w:val="top"/>
          </w:tcPr>
          <w:p w14:paraId="0F5C57E9">
            <w:pPr>
              <w:pStyle w:val="6"/>
              <w:spacing w:before="173" w:line="221" w:lineRule="auto"/>
              <w:ind w:left="43"/>
            </w:pPr>
            <w:r>
              <w:rPr>
                <w:spacing w:val="-2"/>
              </w:rPr>
              <w:t>千瓦时/吨</w:t>
            </w:r>
          </w:p>
        </w:tc>
        <w:tc>
          <w:tcPr>
            <w:tcW w:w="539" w:type="dxa"/>
            <w:vAlign w:val="top"/>
          </w:tcPr>
          <w:p w14:paraId="7E0F7038">
            <w:pPr>
              <w:pStyle w:val="6"/>
              <w:spacing w:before="83" w:line="218" w:lineRule="auto"/>
              <w:ind w:left="83" w:right="74"/>
            </w:pPr>
            <w:r>
              <w:rPr>
                <w:spacing w:val="-6"/>
              </w:rPr>
              <w:t>万千</w:t>
            </w:r>
            <w:r>
              <w:t xml:space="preserve"> </w:t>
            </w:r>
            <w:r>
              <w:rPr>
                <w:spacing w:val="5"/>
              </w:rPr>
              <w:t>瓦时</w:t>
            </w:r>
          </w:p>
        </w:tc>
        <w:tc>
          <w:tcPr>
            <w:tcW w:w="440" w:type="dxa"/>
            <w:vAlign w:val="top"/>
          </w:tcPr>
          <w:p w14:paraId="3DDE18D5">
            <w:pPr>
              <w:pStyle w:val="6"/>
              <w:spacing w:before="181" w:line="229" w:lineRule="auto"/>
              <w:ind w:left="125"/>
            </w:pPr>
            <w:r>
              <w:t>吨</w:t>
            </w:r>
          </w:p>
        </w:tc>
        <w:tc>
          <w:tcPr>
            <w:tcW w:w="2208" w:type="dxa"/>
            <w:vAlign w:val="top"/>
          </w:tcPr>
          <w:p w14:paraId="73A9531B">
            <w:pPr>
              <w:pStyle w:val="6"/>
              <w:spacing w:before="172" w:line="219" w:lineRule="auto"/>
              <w:ind w:left="35"/>
            </w:pPr>
            <w:r>
              <w:rPr>
                <w:spacing w:val="-2"/>
              </w:rPr>
              <w:t>油气田生产用电量</w:t>
            </w:r>
          </w:p>
        </w:tc>
        <w:tc>
          <w:tcPr>
            <w:tcW w:w="1658" w:type="dxa"/>
            <w:vAlign w:val="top"/>
          </w:tcPr>
          <w:p w14:paraId="2D11EBAF">
            <w:pPr>
              <w:pStyle w:val="6"/>
              <w:spacing w:before="172" w:line="219" w:lineRule="auto"/>
              <w:ind w:left="17"/>
            </w:pPr>
            <w:r>
              <w:rPr>
                <w:spacing w:val="-2"/>
              </w:rPr>
              <w:t>油气当量产量</w:t>
            </w:r>
          </w:p>
        </w:tc>
        <w:tc>
          <w:tcPr>
            <w:tcW w:w="644" w:type="dxa"/>
            <w:vAlign w:val="top"/>
          </w:tcPr>
          <w:p w14:paraId="40908243">
            <w:pPr>
              <w:pStyle w:val="6"/>
              <w:spacing w:before="217" w:line="184" w:lineRule="auto"/>
              <w:ind w:right="11"/>
              <w:jc w:val="right"/>
            </w:pPr>
            <w:r>
              <w:rPr>
                <w:spacing w:val="-4"/>
              </w:rPr>
              <w:t>10000</w:t>
            </w:r>
          </w:p>
        </w:tc>
      </w:tr>
    </w:tbl>
    <w:p w14:paraId="1B0301D4">
      <w:pPr>
        <w:spacing w:before="100" w:line="185" w:lineRule="auto"/>
        <w:ind w:left="27"/>
        <w:rPr>
          <w:rFonts w:ascii="宋体" w:hAnsi="宋体" w:eastAsia="宋体" w:cs="宋体"/>
          <w:sz w:val="18"/>
          <w:szCs w:val="18"/>
        </w:rPr>
      </w:pPr>
      <w:r>
        <w:rPr>
          <w:rFonts w:ascii="宋体" w:hAnsi="宋体" w:eastAsia="宋体" w:cs="宋体"/>
          <w:b/>
          <w:bCs/>
          <w:spacing w:val="1"/>
          <w:sz w:val="18"/>
          <w:szCs w:val="18"/>
        </w:rPr>
        <w:t>黑色金属矿(08)</w:t>
      </w:r>
    </w:p>
    <w:tbl>
      <w:tblPr>
        <w:tblStyle w:val="5"/>
        <w:tblW w:w="944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4"/>
        <w:gridCol w:w="2148"/>
        <w:gridCol w:w="1249"/>
        <w:gridCol w:w="539"/>
        <w:gridCol w:w="440"/>
        <w:gridCol w:w="2208"/>
        <w:gridCol w:w="1658"/>
        <w:gridCol w:w="644"/>
      </w:tblGrid>
      <w:tr w14:paraId="704880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554" w:type="dxa"/>
            <w:vAlign w:val="top"/>
          </w:tcPr>
          <w:p w14:paraId="007C7473">
            <w:pPr>
              <w:pStyle w:val="6"/>
              <w:spacing w:before="217" w:line="184" w:lineRule="auto"/>
              <w:ind w:left="85"/>
            </w:pPr>
            <w:r>
              <w:rPr>
                <w:spacing w:val="-2"/>
              </w:rPr>
              <w:t>0801</w:t>
            </w:r>
          </w:p>
        </w:tc>
        <w:tc>
          <w:tcPr>
            <w:tcW w:w="2148" w:type="dxa"/>
            <w:vAlign w:val="top"/>
          </w:tcPr>
          <w:p w14:paraId="385A7DC0">
            <w:pPr>
              <w:pStyle w:val="6"/>
              <w:spacing w:before="171" w:line="219" w:lineRule="auto"/>
              <w:ind w:left="11"/>
            </w:pPr>
            <w:r>
              <w:rPr>
                <w:spacing w:val="-1"/>
              </w:rPr>
              <w:t>铁矿采矿工序单位能耗</w:t>
            </w:r>
          </w:p>
        </w:tc>
        <w:tc>
          <w:tcPr>
            <w:tcW w:w="1249" w:type="dxa"/>
            <w:vAlign w:val="top"/>
          </w:tcPr>
          <w:p w14:paraId="3FD5BEEB">
            <w:pPr>
              <w:pStyle w:val="6"/>
              <w:spacing w:before="172" w:line="219" w:lineRule="auto"/>
              <w:ind w:left="33"/>
            </w:pPr>
            <w:r>
              <w:rPr>
                <w:spacing w:val="-1"/>
              </w:rPr>
              <w:t>千克标准煤/吨</w:t>
            </w:r>
          </w:p>
        </w:tc>
        <w:tc>
          <w:tcPr>
            <w:tcW w:w="539" w:type="dxa"/>
            <w:vAlign w:val="top"/>
          </w:tcPr>
          <w:p w14:paraId="16F0BE5E">
            <w:pPr>
              <w:pStyle w:val="6"/>
              <w:spacing w:before="73" w:line="224" w:lineRule="auto"/>
              <w:ind w:left="83" w:right="77"/>
            </w:pPr>
            <w:r>
              <w:rPr>
                <w:spacing w:val="3"/>
              </w:rPr>
              <w:t>吨标</w:t>
            </w:r>
            <w:r>
              <w:t xml:space="preserve"> </w:t>
            </w:r>
            <w:r>
              <w:rPr>
                <w:spacing w:val="-3"/>
              </w:rPr>
              <w:t>准煤</w:t>
            </w:r>
          </w:p>
        </w:tc>
        <w:tc>
          <w:tcPr>
            <w:tcW w:w="440" w:type="dxa"/>
            <w:vAlign w:val="top"/>
          </w:tcPr>
          <w:p w14:paraId="5838D9EB">
            <w:pPr>
              <w:pStyle w:val="6"/>
              <w:spacing w:before="181" w:line="229" w:lineRule="auto"/>
              <w:ind w:left="125"/>
            </w:pPr>
            <w:r>
              <w:t>吨</w:t>
            </w:r>
          </w:p>
        </w:tc>
        <w:tc>
          <w:tcPr>
            <w:tcW w:w="2208" w:type="dxa"/>
            <w:vAlign w:val="top"/>
          </w:tcPr>
          <w:p w14:paraId="1AFD2000">
            <w:pPr>
              <w:pStyle w:val="6"/>
              <w:spacing w:before="171" w:line="219" w:lineRule="auto"/>
              <w:ind w:left="35"/>
            </w:pPr>
            <w:r>
              <w:rPr>
                <w:spacing w:val="-1"/>
              </w:rPr>
              <w:t>铁矿采矿工序净耗能量</w:t>
            </w:r>
          </w:p>
        </w:tc>
        <w:tc>
          <w:tcPr>
            <w:tcW w:w="1658" w:type="dxa"/>
            <w:vAlign w:val="top"/>
          </w:tcPr>
          <w:p w14:paraId="4A2FC53A">
            <w:pPr>
              <w:pStyle w:val="6"/>
              <w:spacing w:before="171" w:line="219" w:lineRule="auto"/>
              <w:ind w:left="17"/>
            </w:pPr>
            <w:r>
              <w:rPr>
                <w:spacing w:val="-2"/>
              </w:rPr>
              <w:t>露天采剥(掘)总量</w:t>
            </w:r>
          </w:p>
        </w:tc>
        <w:tc>
          <w:tcPr>
            <w:tcW w:w="644" w:type="dxa"/>
            <w:vAlign w:val="top"/>
          </w:tcPr>
          <w:p w14:paraId="32C71067">
            <w:pPr>
              <w:pStyle w:val="6"/>
              <w:spacing w:before="217" w:line="184" w:lineRule="auto"/>
              <w:ind w:right="10"/>
              <w:jc w:val="right"/>
            </w:pPr>
            <w:r>
              <w:rPr>
                <w:spacing w:val="-4"/>
              </w:rPr>
              <w:t>1000</w:t>
            </w:r>
          </w:p>
        </w:tc>
      </w:tr>
      <w:tr w14:paraId="7E4B75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554" w:type="dxa"/>
            <w:vAlign w:val="top"/>
          </w:tcPr>
          <w:p w14:paraId="1DBF3087">
            <w:pPr>
              <w:pStyle w:val="6"/>
              <w:spacing w:before="218" w:line="183" w:lineRule="auto"/>
              <w:ind w:left="85"/>
            </w:pPr>
            <w:r>
              <w:rPr>
                <w:spacing w:val="-2"/>
              </w:rPr>
              <w:t>0802</w:t>
            </w:r>
          </w:p>
        </w:tc>
        <w:tc>
          <w:tcPr>
            <w:tcW w:w="2148" w:type="dxa"/>
            <w:vAlign w:val="top"/>
          </w:tcPr>
          <w:p w14:paraId="4478142E">
            <w:pPr>
              <w:pStyle w:val="6"/>
              <w:spacing w:before="172" w:line="219" w:lineRule="auto"/>
              <w:ind w:left="11"/>
            </w:pPr>
            <w:r>
              <w:rPr>
                <w:spacing w:val="-1"/>
              </w:rPr>
              <w:t>铁矿选矿工序单位能耗</w:t>
            </w:r>
          </w:p>
        </w:tc>
        <w:tc>
          <w:tcPr>
            <w:tcW w:w="1249" w:type="dxa"/>
            <w:vAlign w:val="top"/>
          </w:tcPr>
          <w:p w14:paraId="5D1AEF55">
            <w:pPr>
              <w:pStyle w:val="6"/>
              <w:spacing w:before="172" w:line="219" w:lineRule="auto"/>
              <w:ind w:left="33"/>
            </w:pPr>
            <w:r>
              <w:rPr>
                <w:spacing w:val="-1"/>
              </w:rPr>
              <w:t>千克标准煤/吨</w:t>
            </w:r>
          </w:p>
        </w:tc>
        <w:tc>
          <w:tcPr>
            <w:tcW w:w="539" w:type="dxa"/>
            <w:vAlign w:val="top"/>
          </w:tcPr>
          <w:p w14:paraId="67362B5B">
            <w:pPr>
              <w:pStyle w:val="6"/>
              <w:spacing w:before="82" w:line="219" w:lineRule="auto"/>
              <w:ind w:left="83" w:right="77"/>
            </w:pPr>
            <w:r>
              <w:rPr>
                <w:spacing w:val="3"/>
              </w:rPr>
              <w:t>吨标</w:t>
            </w:r>
            <w:r>
              <w:t xml:space="preserve"> </w:t>
            </w:r>
            <w:r>
              <w:rPr>
                <w:spacing w:val="-3"/>
              </w:rPr>
              <w:t>准煤</w:t>
            </w:r>
          </w:p>
        </w:tc>
        <w:tc>
          <w:tcPr>
            <w:tcW w:w="440" w:type="dxa"/>
            <w:vAlign w:val="top"/>
          </w:tcPr>
          <w:p w14:paraId="3637AE49">
            <w:pPr>
              <w:pStyle w:val="6"/>
              <w:spacing w:before="181" w:line="229" w:lineRule="auto"/>
              <w:ind w:left="125"/>
            </w:pPr>
            <w:r>
              <w:t>吨</w:t>
            </w:r>
          </w:p>
        </w:tc>
        <w:tc>
          <w:tcPr>
            <w:tcW w:w="2208" w:type="dxa"/>
            <w:vAlign w:val="top"/>
          </w:tcPr>
          <w:p w14:paraId="6A09B543">
            <w:pPr>
              <w:pStyle w:val="6"/>
              <w:spacing w:before="172" w:line="219" w:lineRule="auto"/>
              <w:ind w:left="35"/>
            </w:pPr>
            <w:r>
              <w:rPr>
                <w:spacing w:val="-1"/>
              </w:rPr>
              <w:t>铁矿选矿工序净耗能量</w:t>
            </w:r>
          </w:p>
        </w:tc>
        <w:tc>
          <w:tcPr>
            <w:tcW w:w="1658" w:type="dxa"/>
            <w:vAlign w:val="top"/>
          </w:tcPr>
          <w:p w14:paraId="2689ADF7">
            <w:pPr>
              <w:pStyle w:val="6"/>
              <w:spacing w:before="172" w:line="219" w:lineRule="auto"/>
              <w:ind w:left="17"/>
            </w:pPr>
            <w:r>
              <w:rPr>
                <w:spacing w:val="-2"/>
              </w:rPr>
              <w:t>处理原矿量</w:t>
            </w:r>
          </w:p>
        </w:tc>
        <w:tc>
          <w:tcPr>
            <w:tcW w:w="644" w:type="dxa"/>
            <w:vAlign w:val="top"/>
          </w:tcPr>
          <w:p w14:paraId="1C7E9F05">
            <w:pPr>
              <w:pStyle w:val="6"/>
              <w:spacing w:before="217" w:line="184" w:lineRule="auto"/>
              <w:ind w:right="10"/>
              <w:jc w:val="right"/>
            </w:pPr>
            <w:r>
              <w:rPr>
                <w:spacing w:val="-4"/>
              </w:rPr>
              <w:t>1000</w:t>
            </w:r>
          </w:p>
        </w:tc>
      </w:tr>
    </w:tbl>
    <w:p w14:paraId="574BDD7A">
      <w:pPr>
        <w:spacing w:before="129" w:line="180" w:lineRule="auto"/>
        <w:ind w:left="17"/>
        <w:rPr>
          <w:rFonts w:ascii="宋体" w:hAnsi="宋体" w:eastAsia="宋体" w:cs="宋体"/>
          <w:sz w:val="18"/>
          <w:szCs w:val="18"/>
        </w:rPr>
      </w:pPr>
      <w:r>
        <w:rPr>
          <w:rFonts w:ascii="宋体" w:hAnsi="宋体" w:eastAsia="宋体" w:cs="宋体"/>
          <w:b/>
          <w:bCs/>
          <w:spacing w:val="2"/>
          <w:sz w:val="18"/>
          <w:szCs w:val="18"/>
        </w:rPr>
        <w:t>化学纤维(28)</w:t>
      </w:r>
    </w:p>
    <w:tbl>
      <w:tblPr>
        <w:tblStyle w:val="5"/>
        <w:tblW w:w="944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4"/>
        <w:gridCol w:w="2148"/>
        <w:gridCol w:w="1249"/>
        <w:gridCol w:w="539"/>
        <w:gridCol w:w="440"/>
        <w:gridCol w:w="2208"/>
        <w:gridCol w:w="1658"/>
        <w:gridCol w:w="644"/>
      </w:tblGrid>
      <w:tr w14:paraId="62B8C5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 w:hRule="atLeast"/>
        </w:trPr>
        <w:tc>
          <w:tcPr>
            <w:tcW w:w="554" w:type="dxa"/>
            <w:vAlign w:val="top"/>
          </w:tcPr>
          <w:p w14:paraId="2A51C94D">
            <w:pPr>
              <w:pStyle w:val="6"/>
              <w:spacing w:before="204" w:line="183" w:lineRule="auto"/>
              <w:ind w:left="85"/>
            </w:pPr>
            <w:r>
              <w:rPr>
                <w:spacing w:val="-2"/>
              </w:rPr>
              <w:t>2820</w:t>
            </w:r>
          </w:p>
        </w:tc>
        <w:tc>
          <w:tcPr>
            <w:tcW w:w="2148" w:type="dxa"/>
            <w:vAlign w:val="top"/>
          </w:tcPr>
          <w:p w14:paraId="0653A17E">
            <w:pPr>
              <w:pStyle w:val="6"/>
              <w:spacing w:before="157" w:line="219" w:lineRule="auto"/>
              <w:jc w:val="right"/>
            </w:pPr>
            <w:r>
              <w:rPr>
                <w:spacing w:val="-3"/>
              </w:rPr>
              <w:t>吨粘胶纤维综合能耗(短纤)</w:t>
            </w:r>
          </w:p>
        </w:tc>
        <w:tc>
          <w:tcPr>
            <w:tcW w:w="1249" w:type="dxa"/>
            <w:vAlign w:val="top"/>
          </w:tcPr>
          <w:p w14:paraId="14816F95">
            <w:pPr>
              <w:pStyle w:val="6"/>
              <w:spacing w:before="157" w:line="219" w:lineRule="auto"/>
              <w:ind w:left="43"/>
            </w:pPr>
            <w:r>
              <w:rPr>
                <w:spacing w:val="-1"/>
              </w:rPr>
              <w:t>千克标准煤/吨</w:t>
            </w:r>
          </w:p>
        </w:tc>
        <w:tc>
          <w:tcPr>
            <w:tcW w:w="539" w:type="dxa"/>
            <w:vAlign w:val="top"/>
          </w:tcPr>
          <w:p w14:paraId="2709CC98">
            <w:pPr>
              <w:pStyle w:val="6"/>
              <w:spacing w:before="57" w:line="224" w:lineRule="auto"/>
              <w:ind w:left="83" w:right="77"/>
            </w:pPr>
            <w:r>
              <w:rPr>
                <w:spacing w:val="3"/>
              </w:rPr>
              <w:t>吨标</w:t>
            </w:r>
            <w:r>
              <w:t xml:space="preserve"> </w:t>
            </w:r>
            <w:r>
              <w:rPr>
                <w:spacing w:val="-3"/>
              </w:rPr>
              <w:t>准煤</w:t>
            </w:r>
          </w:p>
        </w:tc>
        <w:tc>
          <w:tcPr>
            <w:tcW w:w="440" w:type="dxa"/>
            <w:vAlign w:val="top"/>
          </w:tcPr>
          <w:p w14:paraId="3F25497B">
            <w:pPr>
              <w:pStyle w:val="6"/>
              <w:spacing w:before="166" w:line="229" w:lineRule="auto"/>
              <w:ind w:left="125"/>
            </w:pPr>
            <w:r>
              <w:t>吨</w:t>
            </w:r>
          </w:p>
        </w:tc>
        <w:tc>
          <w:tcPr>
            <w:tcW w:w="2208" w:type="dxa"/>
            <w:vAlign w:val="top"/>
          </w:tcPr>
          <w:p w14:paraId="73962A8F">
            <w:pPr>
              <w:pStyle w:val="6"/>
              <w:spacing w:before="157" w:line="219" w:lineRule="auto"/>
              <w:ind w:left="45"/>
            </w:pPr>
            <w:r>
              <w:rPr>
                <w:spacing w:val="-1"/>
              </w:rPr>
              <w:t>企业生产综合能源消费量</w:t>
            </w:r>
          </w:p>
        </w:tc>
        <w:tc>
          <w:tcPr>
            <w:tcW w:w="1658" w:type="dxa"/>
            <w:vAlign w:val="top"/>
          </w:tcPr>
          <w:p w14:paraId="17501598">
            <w:pPr>
              <w:pStyle w:val="6"/>
              <w:spacing w:before="157" w:line="219" w:lineRule="auto"/>
              <w:ind w:left="17"/>
            </w:pPr>
            <w:r>
              <w:rPr>
                <w:spacing w:val="-1"/>
              </w:rPr>
              <w:t>粘胶短纤维产量</w:t>
            </w:r>
          </w:p>
        </w:tc>
        <w:tc>
          <w:tcPr>
            <w:tcW w:w="644" w:type="dxa"/>
            <w:vAlign w:val="top"/>
          </w:tcPr>
          <w:p w14:paraId="49836A7E">
            <w:pPr>
              <w:pStyle w:val="6"/>
              <w:spacing w:before="203" w:line="184" w:lineRule="auto"/>
              <w:ind w:right="10"/>
              <w:jc w:val="right"/>
            </w:pPr>
            <w:r>
              <w:rPr>
                <w:spacing w:val="-4"/>
              </w:rPr>
              <w:t>1000</w:t>
            </w:r>
          </w:p>
        </w:tc>
      </w:tr>
      <w:tr w14:paraId="3E4E9A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554" w:type="dxa"/>
            <w:vAlign w:val="top"/>
          </w:tcPr>
          <w:p w14:paraId="5B3AE38A">
            <w:pPr>
              <w:pStyle w:val="6"/>
              <w:spacing w:before="269" w:line="184" w:lineRule="auto"/>
              <w:ind w:left="85"/>
            </w:pPr>
            <w:r>
              <w:rPr>
                <w:spacing w:val="-2"/>
              </w:rPr>
              <w:t>2801</w:t>
            </w:r>
          </w:p>
        </w:tc>
        <w:tc>
          <w:tcPr>
            <w:tcW w:w="2148" w:type="dxa"/>
            <w:vAlign w:val="top"/>
          </w:tcPr>
          <w:p w14:paraId="37DF5551">
            <w:pPr>
              <w:pStyle w:val="6"/>
              <w:spacing w:before="213" w:line="219" w:lineRule="auto"/>
              <w:ind w:left="11"/>
            </w:pPr>
            <w:r>
              <w:rPr>
                <w:spacing w:val="3"/>
              </w:rPr>
              <w:t>吨粘胶纤维用电量(短纤)</w:t>
            </w:r>
          </w:p>
        </w:tc>
        <w:tc>
          <w:tcPr>
            <w:tcW w:w="1249" w:type="dxa"/>
            <w:vAlign w:val="top"/>
          </w:tcPr>
          <w:p w14:paraId="76A32C1E">
            <w:pPr>
              <w:pStyle w:val="6"/>
              <w:spacing w:before="194" w:line="221" w:lineRule="auto"/>
              <w:ind w:left="43"/>
            </w:pPr>
            <w:r>
              <w:rPr>
                <w:spacing w:val="-2"/>
              </w:rPr>
              <w:t>千瓦时/吨</w:t>
            </w:r>
          </w:p>
        </w:tc>
        <w:tc>
          <w:tcPr>
            <w:tcW w:w="539" w:type="dxa"/>
            <w:vAlign w:val="top"/>
          </w:tcPr>
          <w:p w14:paraId="06171B33">
            <w:pPr>
              <w:pStyle w:val="6"/>
              <w:spacing w:before="73" w:line="218" w:lineRule="auto"/>
              <w:ind w:left="83" w:right="74"/>
            </w:pPr>
            <w:r>
              <w:rPr>
                <w:spacing w:val="-6"/>
              </w:rPr>
              <w:t>万千</w:t>
            </w:r>
            <w:r>
              <w:t xml:space="preserve"> </w:t>
            </w:r>
            <w:r>
              <w:rPr>
                <w:spacing w:val="5"/>
              </w:rPr>
              <w:t>瓦时</w:t>
            </w:r>
          </w:p>
        </w:tc>
        <w:tc>
          <w:tcPr>
            <w:tcW w:w="440" w:type="dxa"/>
            <w:vAlign w:val="top"/>
          </w:tcPr>
          <w:p w14:paraId="3AA668D2">
            <w:pPr>
              <w:pStyle w:val="6"/>
              <w:spacing w:before="222" w:line="229" w:lineRule="auto"/>
              <w:ind w:left="125"/>
            </w:pPr>
            <w:r>
              <w:t>吨</w:t>
            </w:r>
          </w:p>
        </w:tc>
        <w:tc>
          <w:tcPr>
            <w:tcW w:w="2208" w:type="dxa"/>
            <w:vAlign w:val="top"/>
          </w:tcPr>
          <w:p w14:paraId="098A2A20">
            <w:pPr>
              <w:pStyle w:val="6"/>
              <w:spacing w:before="213" w:line="219" w:lineRule="auto"/>
              <w:ind w:left="45"/>
            </w:pPr>
            <w:r>
              <w:rPr>
                <w:spacing w:val="-2"/>
              </w:rPr>
              <w:t>企业生产用电量</w:t>
            </w:r>
          </w:p>
        </w:tc>
        <w:tc>
          <w:tcPr>
            <w:tcW w:w="1658" w:type="dxa"/>
            <w:vAlign w:val="top"/>
          </w:tcPr>
          <w:p w14:paraId="4C4882FF">
            <w:pPr>
              <w:pStyle w:val="6"/>
              <w:spacing w:before="213" w:line="219" w:lineRule="auto"/>
              <w:ind w:left="17"/>
            </w:pPr>
            <w:r>
              <w:rPr>
                <w:spacing w:val="-1"/>
              </w:rPr>
              <w:t>粘胶短纤维产量</w:t>
            </w:r>
          </w:p>
        </w:tc>
        <w:tc>
          <w:tcPr>
            <w:tcW w:w="644" w:type="dxa"/>
            <w:vAlign w:val="top"/>
          </w:tcPr>
          <w:p w14:paraId="72053511">
            <w:pPr>
              <w:pStyle w:val="6"/>
              <w:spacing w:before="259" w:line="184" w:lineRule="auto"/>
              <w:ind w:right="11"/>
              <w:jc w:val="right"/>
            </w:pPr>
            <w:r>
              <w:rPr>
                <w:spacing w:val="-4"/>
              </w:rPr>
              <w:t>10000</w:t>
            </w:r>
          </w:p>
        </w:tc>
      </w:tr>
      <w:tr w14:paraId="4967D8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554" w:type="dxa"/>
            <w:vAlign w:val="top"/>
          </w:tcPr>
          <w:p w14:paraId="79FF80AE">
            <w:pPr>
              <w:pStyle w:val="6"/>
              <w:spacing w:before="221" w:line="183" w:lineRule="auto"/>
              <w:ind w:left="85"/>
            </w:pPr>
            <w:r>
              <w:rPr>
                <w:spacing w:val="-2"/>
              </w:rPr>
              <w:t>2830</w:t>
            </w:r>
          </w:p>
        </w:tc>
        <w:tc>
          <w:tcPr>
            <w:tcW w:w="2148" w:type="dxa"/>
            <w:vAlign w:val="top"/>
          </w:tcPr>
          <w:p w14:paraId="2850348A">
            <w:pPr>
              <w:pStyle w:val="6"/>
              <w:spacing w:before="174" w:line="219" w:lineRule="auto"/>
              <w:jc w:val="right"/>
            </w:pPr>
            <w:r>
              <w:rPr>
                <w:spacing w:val="-3"/>
              </w:rPr>
              <w:t>吨粘胶纤维综合能耗(长丝)</w:t>
            </w:r>
          </w:p>
        </w:tc>
        <w:tc>
          <w:tcPr>
            <w:tcW w:w="1249" w:type="dxa"/>
            <w:vAlign w:val="top"/>
          </w:tcPr>
          <w:p w14:paraId="69236B39">
            <w:pPr>
              <w:pStyle w:val="6"/>
              <w:spacing w:before="174" w:line="219" w:lineRule="auto"/>
              <w:ind w:left="43"/>
            </w:pPr>
            <w:r>
              <w:rPr>
                <w:spacing w:val="-1"/>
              </w:rPr>
              <w:t>千克标准煤/吨</w:t>
            </w:r>
          </w:p>
        </w:tc>
        <w:tc>
          <w:tcPr>
            <w:tcW w:w="539" w:type="dxa"/>
            <w:vAlign w:val="top"/>
          </w:tcPr>
          <w:p w14:paraId="29993BD6">
            <w:pPr>
              <w:pStyle w:val="6"/>
              <w:spacing w:before="84" w:line="223" w:lineRule="auto"/>
              <w:ind w:left="83" w:right="77"/>
            </w:pPr>
            <w:r>
              <w:rPr>
                <w:spacing w:val="3"/>
              </w:rPr>
              <w:t>吨标</w:t>
            </w:r>
            <w:r>
              <w:t xml:space="preserve"> </w:t>
            </w:r>
            <w:r>
              <w:rPr>
                <w:spacing w:val="-3"/>
              </w:rPr>
              <w:t>准煤</w:t>
            </w:r>
          </w:p>
        </w:tc>
        <w:tc>
          <w:tcPr>
            <w:tcW w:w="440" w:type="dxa"/>
            <w:vAlign w:val="top"/>
          </w:tcPr>
          <w:p w14:paraId="6EA577C8">
            <w:pPr>
              <w:pStyle w:val="6"/>
              <w:spacing w:before="183" w:line="229" w:lineRule="auto"/>
              <w:ind w:left="125"/>
            </w:pPr>
            <w:r>
              <w:t>吨</w:t>
            </w:r>
          </w:p>
        </w:tc>
        <w:tc>
          <w:tcPr>
            <w:tcW w:w="2208" w:type="dxa"/>
            <w:vAlign w:val="top"/>
          </w:tcPr>
          <w:p w14:paraId="164D0D2F">
            <w:pPr>
              <w:pStyle w:val="6"/>
              <w:spacing w:before="174" w:line="219" w:lineRule="auto"/>
              <w:ind w:left="45"/>
            </w:pPr>
            <w:r>
              <w:rPr>
                <w:spacing w:val="-1"/>
              </w:rPr>
              <w:t>企业生产综合能耗量</w:t>
            </w:r>
          </w:p>
        </w:tc>
        <w:tc>
          <w:tcPr>
            <w:tcW w:w="1658" w:type="dxa"/>
            <w:vAlign w:val="top"/>
          </w:tcPr>
          <w:p w14:paraId="116757E3">
            <w:pPr>
              <w:pStyle w:val="6"/>
              <w:spacing w:before="174" w:line="219" w:lineRule="auto"/>
              <w:ind w:left="17"/>
            </w:pPr>
            <w:r>
              <w:rPr>
                <w:spacing w:val="-1"/>
              </w:rPr>
              <w:t>粘胶纤维长丝产量</w:t>
            </w:r>
          </w:p>
        </w:tc>
        <w:tc>
          <w:tcPr>
            <w:tcW w:w="644" w:type="dxa"/>
            <w:vAlign w:val="top"/>
          </w:tcPr>
          <w:p w14:paraId="190221B7">
            <w:pPr>
              <w:pStyle w:val="6"/>
              <w:spacing w:before="220" w:line="184" w:lineRule="auto"/>
              <w:ind w:right="10"/>
              <w:jc w:val="right"/>
            </w:pPr>
            <w:r>
              <w:rPr>
                <w:spacing w:val="-4"/>
              </w:rPr>
              <w:t>1000</w:t>
            </w:r>
          </w:p>
        </w:tc>
      </w:tr>
      <w:tr w14:paraId="7C0D73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554" w:type="dxa"/>
            <w:vAlign w:val="top"/>
          </w:tcPr>
          <w:p w14:paraId="151B076E">
            <w:pPr>
              <w:pStyle w:val="6"/>
              <w:spacing w:before="262" w:line="183" w:lineRule="auto"/>
              <w:ind w:left="85"/>
            </w:pPr>
            <w:r>
              <w:rPr>
                <w:spacing w:val="-2"/>
              </w:rPr>
              <w:t>2803</w:t>
            </w:r>
          </w:p>
        </w:tc>
        <w:tc>
          <w:tcPr>
            <w:tcW w:w="2148" w:type="dxa"/>
            <w:vAlign w:val="top"/>
          </w:tcPr>
          <w:p w14:paraId="26CED845">
            <w:pPr>
              <w:pStyle w:val="6"/>
              <w:spacing w:before="195" w:line="219" w:lineRule="auto"/>
              <w:ind w:left="11"/>
            </w:pPr>
            <w:r>
              <w:rPr>
                <w:spacing w:val="3"/>
              </w:rPr>
              <w:t>吨粘胶纤维用电量(长丝)</w:t>
            </w:r>
          </w:p>
        </w:tc>
        <w:tc>
          <w:tcPr>
            <w:tcW w:w="1249" w:type="dxa"/>
            <w:vAlign w:val="top"/>
          </w:tcPr>
          <w:p w14:paraId="2C85EE51">
            <w:pPr>
              <w:pStyle w:val="6"/>
              <w:spacing w:before="166" w:line="221" w:lineRule="auto"/>
              <w:ind w:left="43"/>
            </w:pPr>
            <w:r>
              <w:rPr>
                <w:spacing w:val="-2"/>
              </w:rPr>
              <w:t>千瓦时/吨</w:t>
            </w:r>
          </w:p>
        </w:tc>
        <w:tc>
          <w:tcPr>
            <w:tcW w:w="539" w:type="dxa"/>
            <w:vAlign w:val="top"/>
          </w:tcPr>
          <w:p w14:paraId="2F9BF718">
            <w:pPr>
              <w:pStyle w:val="6"/>
              <w:spacing w:before="75" w:line="217" w:lineRule="auto"/>
              <w:ind w:left="83" w:right="74"/>
            </w:pPr>
            <w:r>
              <w:rPr>
                <w:spacing w:val="-6"/>
              </w:rPr>
              <w:t>万千</w:t>
            </w:r>
            <w:r>
              <w:t xml:space="preserve"> </w:t>
            </w:r>
            <w:r>
              <w:rPr>
                <w:spacing w:val="5"/>
              </w:rPr>
              <w:t>瓦时</w:t>
            </w:r>
          </w:p>
        </w:tc>
        <w:tc>
          <w:tcPr>
            <w:tcW w:w="440" w:type="dxa"/>
            <w:vAlign w:val="top"/>
          </w:tcPr>
          <w:p w14:paraId="6BDA4DB8">
            <w:pPr>
              <w:pStyle w:val="6"/>
              <w:spacing w:before="204" w:line="229" w:lineRule="auto"/>
              <w:ind w:left="125"/>
            </w:pPr>
            <w:r>
              <w:t>吨</w:t>
            </w:r>
          </w:p>
        </w:tc>
        <w:tc>
          <w:tcPr>
            <w:tcW w:w="2208" w:type="dxa"/>
            <w:vAlign w:val="top"/>
          </w:tcPr>
          <w:p w14:paraId="14AC5ADB">
            <w:pPr>
              <w:pStyle w:val="6"/>
              <w:spacing w:before="195" w:line="219" w:lineRule="auto"/>
              <w:ind w:left="45"/>
            </w:pPr>
            <w:r>
              <w:rPr>
                <w:spacing w:val="-2"/>
              </w:rPr>
              <w:t>企业生产用电量</w:t>
            </w:r>
          </w:p>
        </w:tc>
        <w:tc>
          <w:tcPr>
            <w:tcW w:w="1658" w:type="dxa"/>
            <w:vAlign w:val="top"/>
          </w:tcPr>
          <w:p w14:paraId="412F7409">
            <w:pPr>
              <w:pStyle w:val="6"/>
              <w:spacing w:before="195" w:line="219" w:lineRule="auto"/>
              <w:ind w:left="17"/>
            </w:pPr>
            <w:r>
              <w:rPr>
                <w:spacing w:val="-1"/>
              </w:rPr>
              <w:t>粘胶纤维长丝产量</w:t>
            </w:r>
          </w:p>
        </w:tc>
        <w:tc>
          <w:tcPr>
            <w:tcW w:w="644" w:type="dxa"/>
            <w:vAlign w:val="top"/>
          </w:tcPr>
          <w:p w14:paraId="3647AF2E">
            <w:pPr>
              <w:pStyle w:val="6"/>
              <w:spacing w:before="211" w:line="184" w:lineRule="auto"/>
              <w:ind w:right="11"/>
              <w:jc w:val="right"/>
            </w:pPr>
            <w:r>
              <w:rPr>
                <w:spacing w:val="-4"/>
              </w:rPr>
              <w:t>10000</w:t>
            </w:r>
          </w:p>
        </w:tc>
      </w:tr>
      <w:tr w14:paraId="36A6E1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554" w:type="dxa"/>
            <w:vAlign w:val="top"/>
          </w:tcPr>
          <w:p w14:paraId="7B9FBCA3">
            <w:pPr>
              <w:pStyle w:val="6"/>
              <w:spacing w:before="223" w:line="183" w:lineRule="auto"/>
              <w:ind w:left="85"/>
            </w:pPr>
            <w:r>
              <w:rPr>
                <w:spacing w:val="-2"/>
              </w:rPr>
              <w:t>2840</w:t>
            </w:r>
          </w:p>
        </w:tc>
        <w:tc>
          <w:tcPr>
            <w:tcW w:w="2148" w:type="dxa"/>
            <w:vAlign w:val="top"/>
          </w:tcPr>
          <w:p w14:paraId="204A4C17">
            <w:pPr>
              <w:pStyle w:val="6"/>
              <w:spacing w:before="176" w:line="219" w:lineRule="auto"/>
              <w:ind w:left="11"/>
            </w:pPr>
            <w:r>
              <w:rPr>
                <w:spacing w:val="1"/>
              </w:rPr>
              <w:t>吨锦纶综合能耗</w:t>
            </w:r>
          </w:p>
        </w:tc>
        <w:tc>
          <w:tcPr>
            <w:tcW w:w="1249" w:type="dxa"/>
            <w:vAlign w:val="top"/>
          </w:tcPr>
          <w:p w14:paraId="5DBF0536">
            <w:pPr>
              <w:pStyle w:val="6"/>
              <w:spacing w:before="176" w:line="219" w:lineRule="auto"/>
              <w:ind w:left="43"/>
            </w:pPr>
            <w:r>
              <w:rPr>
                <w:spacing w:val="-1"/>
              </w:rPr>
              <w:t>千克标准煤/吨</w:t>
            </w:r>
          </w:p>
        </w:tc>
        <w:tc>
          <w:tcPr>
            <w:tcW w:w="539" w:type="dxa"/>
            <w:vAlign w:val="top"/>
          </w:tcPr>
          <w:p w14:paraId="4269088A">
            <w:pPr>
              <w:pStyle w:val="6"/>
              <w:spacing w:before="66" w:line="237" w:lineRule="auto"/>
              <w:ind w:left="83" w:right="77"/>
            </w:pPr>
            <w:r>
              <w:rPr>
                <w:spacing w:val="3"/>
              </w:rPr>
              <w:t>吨标</w:t>
            </w:r>
            <w:r>
              <w:t xml:space="preserve"> </w:t>
            </w:r>
            <w:r>
              <w:rPr>
                <w:spacing w:val="-3"/>
              </w:rPr>
              <w:t>准煤</w:t>
            </w:r>
          </w:p>
        </w:tc>
        <w:tc>
          <w:tcPr>
            <w:tcW w:w="440" w:type="dxa"/>
            <w:vAlign w:val="top"/>
          </w:tcPr>
          <w:p w14:paraId="5A72FD40">
            <w:pPr>
              <w:pStyle w:val="6"/>
              <w:spacing w:before="185" w:line="229" w:lineRule="auto"/>
              <w:ind w:left="125"/>
            </w:pPr>
            <w:r>
              <w:t>吨</w:t>
            </w:r>
          </w:p>
        </w:tc>
        <w:tc>
          <w:tcPr>
            <w:tcW w:w="2208" w:type="dxa"/>
            <w:vAlign w:val="top"/>
          </w:tcPr>
          <w:p w14:paraId="338A74D3">
            <w:pPr>
              <w:pStyle w:val="6"/>
              <w:spacing w:before="176" w:line="219" w:lineRule="auto"/>
              <w:ind w:left="45"/>
            </w:pPr>
            <w:r>
              <w:rPr>
                <w:spacing w:val="-1"/>
              </w:rPr>
              <w:t>企业生产综合能耗量</w:t>
            </w:r>
          </w:p>
        </w:tc>
        <w:tc>
          <w:tcPr>
            <w:tcW w:w="1658" w:type="dxa"/>
            <w:vAlign w:val="top"/>
          </w:tcPr>
          <w:p w14:paraId="7DB51C20">
            <w:pPr>
              <w:pStyle w:val="6"/>
              <w:spacing w:before="176" w:line="219" w:lineRule="auto"/>
              <w:ind w:left="17"/>
            </w:pPr>
            <w:r>
              <w:rPr>
                <w:spacing w:val="-2"/>
              </w:rPr>
              <w:t>锦纶纤维产量</w:t>
            </w:r>
          </w:p>
        </w:tc>
        <w:tc>
          <w:tcPr>
            <w:tcW w:w="644" w:type="dxa"/>
            <w:vAlign w:val="top"/>
          </w:tcPr>
          <w:p w14:paraId="4F6A94B7">
            <w:pPr>
              <w:pStyle w:val="6"/>
              <w:spacing w:before="222" w:line="184" w:lineRule="auto"/>
              <w:ind w:right="10"/>
              <w:jc w:val="right"/>
            </w:pPr>
            <w:r>
              <w:rPr>
                <w:spacing w:val="-4"/>
              </w:rPr>
              <w:t>1000</w:t>
            </w:r>
          </w:p>
        </w:tc>
      </w:tr>
      <w:tr w14:paraId="51A2A9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554" w:type="dxa"/>
            <w:vAlign w:val="top"/>
          </w:tcPr>
          <w:p w14:paraId="26E80E05">
            <w:pPr>
              <w:pStyle w:val="6"/>
              <w:spacing w:before="214" w:line="183" w:lineRule="auto"/>
              <w:ind w:left="85"/>
            </w:pPr>
            <w:r>
              <w:rPr>
                <w:spacing w:val="-2"/>
              </w:rPr>
              <w:t>2805</w:t>
            </w:r>
          </w:p>
        </w:tc>
        <w:tc>
          <w:tcPr>
            <w:tcW w:w="2148" w:type="dxa"/>
            <w:vAlign w:val="top"/>
          </w:tcPr>
          <w:p w14:paraId="671001BC">
            <w:pPr>
              <w:pStyle w:val="6"/>
              <w:spacing w:before="168" w:line="221" w:lineRule="auto"/>
              <w:ind w:left="11"/>
            </w:pPr>
            <w:r>
              <w:rPr>
                <w:spacing w:val="1"/>
              </w:rPr>
              <w:t>吨锦纶用电量</w:t>
            </w:r>
          </w:p>
        </w:tc>
        <w:tc>
          <w:tcPr>
            <w:tcW w:w="1249" w:type="dxa"/>
            <w:vAlign w:val="top"/>
          </w:tcPr>
          <w:p w14:paraId="4B0BDED9">
            <w:pPr>
              <w:pStyle w:val="6"/>
              <w:spacing w:before="168" w:line="221" w:lineRule="auto"/>
              <w:ind w:left="43"/>
            </w:pPr>
            <w:r>
              <w:rPr>
                <w:spacing w:val="-2"/>
              </w:rPr>
              <w:t>千瓦时/吨</w:t>
            </w:r>
          </w:p>
        </w:tc>
        <w:tc>
          <w:tcPr>
            <w:tcW w:w="539" w:type="dxa"/>
            <w:vAlign w:val="top"/>
          </w:tcPr>
          <w:p w14:paraId="5DE87BB4">
            <w:pPr>
              <w:pStyle w:val="6"/>
              <w:spacing w:before="68" w:line="221" w:lineRule="auto"/>
              <w:ind w:left="83" w:right="74"/>
            </w:pPr>
            <w:r>
              <w:rPr>
                <w:spacing w:val="-6"/>
              </w:rPr>
              <w:t>万千</w:t>
            </w:r>
            <w:r>
              <w:t xml:space="preserve"> </w:t>
            </w:r>
            <w:r>
              <w:rPr>
                <w:spacing w:val="5"/>
              </w:rPr>
              <w:t>瓦时</w:t>
            </w:r>
          </w:p>
        </w:tc>
        <w:tc>
          <w:tcPr>
            <w:tcW w:w="440" w:type="dxa"/>
            <w:vAlign w:val="top"/>
          </w:tcPr>
          <w:p w14:paraId="10A3F8E4">
            <w:pPr>
              <w:pStyle w:val="6"/>
              <w:spacing w:before="176" w:line="229" w:lineRule="auto"/>
              <w:ind w:left="125"/>
            </w:pPr>
            <w:r>
              <w:t>吨</w:t>
            </w:r>
          </w:p>
        </w:tc>
        <w:tc>
          <w:tcPr>
            <w:tcW w:w="2208" w:type="dxa"/>
            <w:vAlign w:val="top"/>
          </w:tcPr>
          <w:p w14:paraId="11C67633">
            <w:pPr>
              <w:pStyle w:val="6"/>
              <w:spacing w:before="167" w:line="219" w:lineRule="auto"/>
              <w:ind w:left="45"/>
            </w:pPr>
            <w:r>
              <w:rPr>
                <w:spacing w:val="-2"/>
              </w:rPr>
              <w:t>企业生产用电量</w:t>
            </w:r>
          </w:p>
        </w:tc>
        <w:tc>
          <w:tcPr>
            <w:tcW w:w="1658" w:type="dxa"/>
            <w:vAlign w:val="top"/>
          </w:tcPr>
          <w:p w14:paraId="087B07E7">
            <w:pPr>
              <w:pStyle w:val="6"/>
              <w:spacing w:before="167" w:line="219" w:lineRule="auto"/>
              <w:ind w:left="17"/>
            </w:pPr>
            <w:r>
              <w:rPr>
                <w:spacing w:val="-2"/>
              </w:rPr>
              <w:t>锦纶纤维产量</w:t>
            </w:r>
          </w:p>
        </w:tc>
        <w:tc>
          <w:tcPr>
            <w:tcW w:w="644" w:type="dxa"/>
            <w:vAlign w:val="top"/>
          </w:tcPr>
          <w:p w14:paraId="3C6EF8CA">
            <w:pPr>
              <w:pStyle w:val="6"/>
              <w:spacing w:before="213" w:line="184" w:lineRule="auto"/>
              <w:ind w:right="11"/>
              <w:jc w:val="right"/>
            </w:pPr>
            <w:r>
              <w:rPr>
                <w:spacing w:val="-4"/>
              </w:rPr>
              <w:t>10000</w:t>
            </w:r>
          </w:p>
        </w:tc>
      </w:tr>
      <w:tr w14:paraId="5C1A41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554" w:type="dxa"/>
            <w:vAlign w:val="top"/>
          </w:tcPr>
          <w:p w14:paraId="5B70D7AF">
            <w:pPr>
              <w:pStyle w:val="6"/>
              <w:spacing w:before="215" w:line="183" w:lineRule="auto"/>
              <w:ind w:left="85"/>
            </w:pPr>
            <w:r>
              <w:rPr>
                <w:spacing w:val="-2"/>
              </w:rPr>
              <w:t>2850</w:t>
            </w:r>
          </w:p>
        </w:tc>
        <w:tc>
          <w:tcPr>
            <w:tcW w:w="2148" w:type="dxa"/>
            <w:vAlign w:val="top"/>
          </w:tcPr>
          <w:p w14:paraId="1919FE14">
            <w:pPr>
              <w:pStyle w:val="6"/>
              <w:spacing w:before="208" w:line="219" w:lineRule="auto"/>
              <w:ind w:left="11"/>
            </w:pPr>
            <w:r>
              <w:rPr>
                <w:spacing w:val="3"/>
              </w:rPr>
              <w:t>吨涤纶综合能耗(短纤)</w:t>
            </w:r>
          </w:p>
        </w:tc>
        <w:tc>
          <w:tcPr>
            <w:tcW w:w="1249" w:type="dxa"/>
            <w:vAlign w:val="top"/>
          </w:tcPr>
          <w:p w14:paraId="7BF6E088">
            <w:pPr>
              <w:pStyle w:val="6"/>
              <w:spacing w:before="208" w:line="219" w:lineRule="auto"/>
              <w:ind w:left="43"/>
            </w:pPr>
            <w:r>
              <w:rPr>
                <w:spacing w:val="-1"/>
              </w:rPr>
              <w:t>千克标准煤/吨</w:t>
            </w:r>
          </w:p>
        </w:tc>
        <w:tc>
          <w:tcPr>
            <w:tcW w:w="539" w:type="dxa"/>
            <w:vAlign w:val="top"/>
          </w:tcPr>
          <w:p w14:paraId="7B712FA9">
            <w:pPr>
              <w:pStyle w:val="6"/>
              <w:spacing w:before="70" w:line="220" w:lineRule="auto"/>
              <w:ind w:left="83" w:right="77"/>
            </w:pPr>
            <w:r>
              <w:rPr>
                <w:spacing w:val="3"/>
              </w:rPr>
              <w:t>吨标</w:t>
            </w:r>
            <w:r>
              <w:t xml:space="preserve"> </w:t>
            </w:r>
            <w:r>
              <w:rPr>
                <w:spacing w:val="-3"/>
              </w:rPr>
              <w:t>准煤</w:t>
            </w:r>
          </w:p>
        </w:tc>
        <w:tc>
          <w:tcPr>
            <w:tcW w:w="440" w:type="dxa"/>
            <w:vAlign w:val="top"/>
          </w:tcPr>
          <w:p w14:paraId="3D65511C">
            <w:pPr>
              <w:pStyle w:val="6"/>
              <w:spacing w:before="217" w:line="229" w:lineRule="auto"/>
              <w:ind w:left="125"/>
            </w:pPr>
            <w:r>
              <w:t>吨</w:t>
            </w:r>
          </w:p>
        </w:tc>
        <w:tc>
          <w:tcPr>
            <w:tcW w:w="2208" w:type="dxa"/>
            <w:vAlign w:val="top"/>
          </w:tcPr>
          <w:p w14:paraId="67485151">
            <w:pPr>
              <w:pStyle w:val="6"/>
              <w:spacing w:before="208" w:line="219" w:lineRule="auto"/>
              <w:ind w:left="45"/>
            </w:pPr>
            <w:r>
              <w:rPr>
                <w:spacing w:val="-1"/>
              </w:rPr>
              <w:t>企业生产综合能源消费量</w:t>
            </w:r>
          </w:p>
        </w:tc>
        <w:tc>
          <w:tcPr>
            <w:tcW w:w="1658" w:type="dxa"/>
            <w:vAlign w:val="top"/>
          </w:tcPr>
          <w:p w14:paraId="111BC3B5">
            <w:pPr>
              <w:pStyle w:val="6"/>
              <w:spacing w:before="208" w:line="219" w:lineRule="auto"/>
              <w:jc w:val="right"/>
            </w:pPr>
            <w:r>
              <w:rPr>
                <w:spacing w:val="1"/>
              </w:rPr>
              <w:t>涤纶纤维产量(短纤)</w:t>
            </w:r>
          </w:p>
        </w:tc>
        <w:tc>
          <w:tcPr>
            <w:tcW w:w="644" w:type="dxa"/>
            <w:vAlign w:val="top"/>
          </w:tcPr>
          <w:p w14:paraId="5854E8C7">
            <w:pPr>
              <w:pStyle w:val="6"/>
              <w:spacing w:before="264" w:line="184" w:lineRule="auto"/>
              <w:ind w:right="10"/>
              <w:jc w:val="right"/>
            </w:pPr>
            <w:r>
              <w:rPr>
                <w:spacing w:val="-4"/>
              </w:rPr>
              <w:t>1000</w:t>
            </w:r>
          </w:p>
        </w:tc>
      </w:tr>
      <w:tr w14:paraId="1D4DC9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554" w:type="dxa"/>
            <w:vAlign w:val="top"/>
          </w:tcPr>
          <w:p w14:paraId="11667CCF">
            <w:pPr>
              <w:pStyle w:val="6"/>
              <w:spacing w:before="266" w:line="183" w:lineRule="auto"/>
              <w:ind w:left="85"/>
            </w:pPr>
            <w:r>
              <w:rPr>
                <w:spacing w:val="-2"/>
              </w:rPr>
              <w:t>2807</w:t>
            </w:r>
          </w:p>
        </w:tc>
        <w:tc>
          <w:tcPr>
            <w:tcW w:w="2148" w:type="dxa"/>
            <w:vAlign w:val="top"/>
          </w:tcPr>
          <w:p w14:paraId="556F605C">
            <w:pPr>
              <w:pStyle w:val="6"/>
              <w:spacing w:before="209" w:line="219" w:lineRule="auto"/>
              <w:ind w:left="11"/>
            </w:pPr>
            <w:r>
              <w:rPr>
                <w:spacing w:val="3"/>
              </w:rPr>
              <w:t>吨涤纶用电量(短纤)</w:t>
            </w:r>
          </w:p>
        </w:tc>
        <w:tc>
          <w:tcPr>
            <w:tcW w:w="1249" w:type="dxa"/>
            <w:vAlign w:val="top"/>
          </w:tcPr>
          <w:p w14:paraId="3311AD18">
            <w:pPr>
              <w:pStyle w:val="6"/>
              <w:spacing w:before="210" w:line="221" w:lineRule="auto"/>
              <w:ind w:left="43"/>
            </w:pPr>
            <w:r>
              <w:rPr>
                <w:spacing w:val="-2"/>
              </w:rPr>
              <w:t>千瓦时/吨</w:t>
            </w:r>
          </w:p>
        </w:tc>
        <w:tc>
          <w:tcPr>
            <w:tcW w:w="539" w:type="dxa"/>
            <w:vAlign w:val="top"/>
          </w:tcPr>
          <w:p w14:paraId="5A41B39A">
            <w:pPr>
              <w:pStyle w:val="6"/>
              <w:spacing w:before="89" w:line="210" w:lineRule="auto"/>
              <w:ind w:left="83" w:right="74"/>
            </w:pPr>
            <w:r>
              <w:rPr>
                <w:spacing w:val="-6"/>
              </w:rPr>
              <w:t>万千</w:t>
            </w:r>
            <w:r>
              <w:t xml:space="preserve"> </w:t>
            </w:r>
            <w:r>
              <w:rPr>
                <w:spacing w:val="5"/>
              </w:rPr>
              <w:t>瓦时</w:t>
            </w:r>
          </w:p>
        </w:tc>
        <w:tc>
          <w:tcPr>
            <w:tcW w:w="440" w:type="dxa"/>
            <w:vAlign w:val="top"/>
          </w:tcPr>
          <w:p w14:paraId="38B32B5A">
            <w:pPr>
              <w:pStyle w:val="6"/>
              <w:spacing w:before="218" w:line="229" w:lineRule="auto"/>
              <w:ind w:left="125"/>
            </w:pPr>
            <w:r>
              <w:t>吨</w:t>
            </w:r>
          </w:p>
        </w:tc>
        <w:tc>
          <w:tcPr>
            <w:tcW w:w="2208" w:type="dxa"/>
            <w:vAlign w:val="top"/>
          </w:tcPr>
          <w:p w14:paraId="6F0F0A34">
            <w:pPr>
              <w:pStyle w:val="6"/>
              <w:spacing w:before="209" w:line="219" w:lineRule="auto"/>
              <w:ind w:left="45"/>
            </w:pPr>
            <w:r>
              <w:rPr>
                <w:spacing w:val="-2"/>
              </w:rPr>
              <w:t>企业生产用电量</w:t>
            </w:r>
          </w:p>
        </w:tc>
        <w:tc>
          <w:tcPr>
            <w:tcW w:w="1658" w:type="dxa"/>
            <w:vAlign w:val="top"/>
          </w:tcPr>
          <w:p w14:paraId="4318CC60">
            <w:pPr>
              <w:pStyle w:val="6"/>
              <w:spacing w:before="209" w:line="219" w:lineRule="auto"/>
              <w:jc w:val="right"/>
            </w:pPr>
            <w:r>
              <w:rPr>
                <w:spacing w:val="1"/>
              </w:rPr>
              <w:t>涤纶纤维产量(短纤)</w:t>
            </w:r>
          </w:p>
        </w:tc>
        <w:tc>
          <w:tcPr>
            <w:tcW w:w="644" w:type="dxa"/>
            <w:vAlign w:val="top"/>
          </w:tcPr>
          <w:p w14:paraId="6AED8248">
            <w:pPr>
              <w:pStyle w:val="6"/>
              <w:spacing w:before="255" w:line="184" w:lineRule="auto"/>
              <w:ind w:right="11"/>
              <w:jc w:val="right"/>
            </w:pPr>
            <w:r>
              <w:rPr>
                <w:spacing w:val="-4"/>
              </w:rPr>
              <w:t>10000</w:t>
            </w:r>
          </w:p>
        </w:tc>
      </w:tr>
      <w:tr w14:paraId="2256D2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554" w:type="dxa"/>
            <w:vAlign w:val="top"/>
          </w:tcPr>
          <w:p w14:paraId="02C99310">
            <w:pPr>
              <w:pStyle w:val="6"/>
              <w:spacing w:before="287" w:line="183" w:lineRule="auto"/>
              <w:ind w:left="85"/>
            </w:pPr>
            <w:r>
              <w:rPr>
                <w:spacing w:val="-2"/>
              </w:rPr>
              <w:t>2860</w:t>
            </w:r>
          </w:p>
        </w:tc>
        <w:tc>
          <w:tcPr>
            <w:tcW w:w="2148" w:type="dxa"/>
            <w:vAlign w:val="top"/>
          </w:tcPr>
          <w:p w14:paraId="636586C7">
            <w:pPr>
              <w:pStyle w:val="6"/>
              <w:spacing w:before="220" w:line="219" w:lineRule="auto"/>
              <w:ind w:left="11"/>
            </w:pPr>
            <w:r>
              <w:rPr>
                <w:spacing w:val="3"/>
              </w:rPr>
              <w:t>吨涤纶综合能耗(长丝)</w:t>
            </w:r>
          </w:p>
        </w:tc>
        <w:tc>
          <w:tcPr>
            <w:tcW w:w="1249" w:type="dxa"/>
            <w:vAlign w:val="top"/>
          </w:tcPr>
          <w:p w14:paraId="2FEA9E4F">
            <w:pPr>
              <w:pStyle w:val="6"/>
              <w:spacing w:before="180" w:line="219" w:lineRule="auto"/>
              <w:ind w:left="43"/>
            </w:pPr>
            <w:r>
              <w:rPr>
                <w:spacing w:val="-1"/>
              </w:rPr>
              <w:t>千克标准煤/吨</w:t>
            </w:r>
          </w:p>
        </w:tc>
        <w:tc>
          <w:tcPr>
            <w:tcW w:w="539" w:type="dxa"/>
            <w:vAlign w:val="top"/>
          </w:tcPr>
          <w:p w14:paraId="266C5106">
            <w:pPr>
              <w:pStyle w:val="6"/>
              <w:spacing w:before="91" w:line="219" w:lineRule="auto"/>
              <w:ind w:left="83" w:right="77"/>
            </w:pPr>
            <w:r>
              <w:rPr>
                <w:spacing w:val="3"/>
              </w:rPr>
              <w:t>吨标</w:t>
            </w:r>
            <w:r>
              <w:t xml:space="preserve"> </w:t>
            </w:r>
            <w:r>
              <w:rPr>
                <w:spacing w:val="-3"/>
              </w:rPr>
              <w:t>准煤</w:t>
            </w:r>
          </w:p>
        </w:tc>
        <w:tc>
          <w:tcPr>
            <w:tcW w:w="440" w:type="dxa"/>
            <w:vAlign w:val="top"/>
          </w:tcPr>
          <w:p w14:paraId="601F3C14">
            <w:pPr>
              <w:pStyle w:val="6"/>
              <w:spacing w:before="229" w:line="229" w:lineRule="auto"/>
              <w:ind w:left="125"/>
            </w:pPr>
            <w:r>
              <w:t>吨</w:t>
            </w:r>
          </w:p>
        </w:tc>
        <w:tc>
          <w:tcPr>
            <w:tcW w:w="2208" w:type="dxa"/>
            <w:vAlign w:val="top"/>
          </w:tcPr>
          <w:p w14:paraId="75FFEAE2">
            <w:pPr>
              <w:pStyle w:val="6"/>
              <w:spacing w:before="180" w:line="219" w:lineRule="auto"/>
              <w:ind w:left="45"/>
            </w:pPr>
            <w:r>
              <w:rPr>
                <w:spacing w:val="-1"/>
              </w:rPr>
              <w:t>企业生产综合能耗量</w:t>
            </w:r>
          </w:p>
        </w:tc>
        <w:tc>
          <w:tcPr>
            <w:tcW w:w="1658" w:type="dxa"/>
            <w:vAlign w:val="top"/>
          </w:tcPr>
          <w:p w14:paraId="2C000665">
            <w:pPr>
              <w:pStyle w:val="6"/>
              <w:spacing w:before="220" w:line="219" w:lineRule="auto"/>
              <w:jc w:val="right"/>
            </w:pPr>
            <w:r>
              <w:rPr>
                <w:spacing w:val="1"/>
              </w:rPr>
              <w:t>涤纶纤维产量(长丝)</w:t>
            </w:r>
          </w:p>
        </w:tc>
        <w:tc>
          <w:tcPr>
            <w:tcW w:w="644" w:type="dxa"/>
            <w:vAlign w:val="top"/>
          </w:tcPr>
          <w:p w14:paraId="3FDFC8A1">
            <w:pPr>
              <w:pStyle w:val="6"/>
              <w:spacing w:before="286" w:line="184" w:lineRule="auto"/>
              <w:ind w:right="10"/>
              <w:jc w:val="right"/>
            </w:pPr>
            <w:r>
              <w:rPr>
                <w:spacing w:val="-4"/>
              </w:rPr>
              <w:t>1000</w:t>
            </w:r>
          </w:p>
        </w:tc>
      </w:tr>
      <w:tr w14:paraId="5DE9B3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554" w:type="dxa"/>
            <w:vAlign w:val="top"/>
          </w:tcPr>
          <w:p w14:paraId="14B9D3FA">
            <w:pPr>
              <w:pStyle w:val="6"/>
              <w:spacing w:before="218" w:line="183" w:lineRule="auto"/>
              <w:ind w:left="85"/>
            </w:pPr>
            <w:r>
              <w:rPr>
                <w:spacing w:val="-2"/>
              </w:rPr>
              <w:t>2809</w:t>
            </w:r>
          </w:p>
        </w:tc>
        <w:tc>
          <w:tcPr>
            <w:tcW w:w="2148" w:type="dxa"/>
            <w:vAlign w:val="top"/>
          </w:tcPr>
          <w:p w14:paraId="6A5CA005">
            <w:pPr>
              <w:pStyle w:val="6"/>
              <w:spacing w:before="172" w:line="220" w:lineRule="auto"/>
              <w:ind w:left="11"/>
            </w:pPr>
            <w:r>
              <w:rPr>
                <w:spacing w:val="3"/>
              </w:rPr>
              <w:t>吨涤纶用电量(长丝)</w:t>
            </w:r>
          </w:p>
        </w:tc>
        <w:tc>
          <w:tcPr>
            <w:tcW w:w="1249" w:type="dxa"/>
            <w:vAlign w:val="top"/>
          </w:tcPr>
          <w:p w14:paraId="7FC99230">
            <w:pPr>
              <w:pStyle w:val="6"/>
              <w:spacing w:before="172" w:line="221" w:lineRule="auto"/>
              <w:ind w:left="43"/>
            </w:pPr>
            <w:r>
              <w:rPr>
                <w:spacing w:val="-2"/>
              </w:rPr>
              <w:t>千瓦时/吨</w:t>
            </w:r>
          </w:p>
        </w:tc>
        <w:tc>
          <w:tcPr>
            <w:tcW w:w="539" w:type="dxa"/>
            <w:vAlign w:val="top"/>
          </w:tcPr>
          <w:p w14:paraId="6EE6F8E4">
            <w:pPr>
              <w:pStyle w:val="6"/>
              <w:spacing w:before="71" w:line="219" w:lineRule="auto"/>
              <w:ind w:left="83" w:right="74"/>
            </w:pPr>
            <w:r>
              <w:rPr>
                <w:spacing w:val="-6"/>
              </w:rPr>
              <w:t>万千</w:t>
            </w:r>
            <w:r>
              <w:t xml:space="preserve"> </w:t>
            </w:r>
            <w:r>
              <w:rPr>
                <w:spacing w:val="5"/>
              </w:rPr>
              <w:t>瓦时</w:t>
            </w:r>
          </w:p>
        </w:tc>
        <w:tc>
          <w:tcPr>
            <w:tcW w:w="440" w:type="dxa"/>
            <w:vAlign w:val="top"/>
          </w:tcPr>
          <w:p w14:paraId="59018CF5">
            <w:pPr>
              <w:pStyle w:val="6"/>
              <w:spacing w:before="180" w:line="229" w:lineRule="auto"/>
              <w:ind w:left="125"/>
            </w:pPr>
            <w:r>
              <w:t>吨</w:t>
            </w:r>
          </w:p>
        </w:tc>
        <w:tc>
          <w:tcPr>
            <w:tcW w:w="2208" w:type="dxa"/>
            <w:vAlign w:val="top"/>
          </w:tcPr>
          <w:p w14:paraId="1026B8FC">
            <w:pPr>
              <w:pStyle w:val="6"/>
              <w:spacing w:before="171" w:line="219" w:lineRule="auto"/>
              <w:ind w:left="45"/>
            </w:pPr>
            <w:r>
              <w:rPr>
                <w:spacing w:val="-2"/>
              </w:rPr>
              <w:t>企业生产用电量</w:t>
            </w:r>
          </w:p>
        </w:tc>
        <w:tc>
          <w:tcPr>
            <w:tcW w:w="1658" w:type="dxa"/>
            <w:vAlign w:val="top"/>
          </w:tcPr>
          <w:p w14:paraId="39D2752E">
            <w:pPr>
              <w:pStyle w:val="6"/>
              <w:spacing w:before="171" w:line="219" w:lineRule="auto"/>
              <w:jc w:val="right"/>
            </w:pPr>
            <w:r>
              <w:rPr>
                <w:spacing w:val="1"/>
              </w:rPr>
              <w:t>涤纶纤维产量(长丝)</w:t>
            </w:r>
          </w:p>
        </w:tc>
        <w:tc>
          <w:tcPr>
            <w:tcW w:w="644" w:type="dxa"/>
            <w:vAlign w:val="top"/>
          </w:tcPr>
          <w:p w14:paraId="7E889A56">
            <w:pPr>
              <w:pStyle w:val="6"/>
              <w:spacing w:before="217" w:line="184" w:lineRule="auto"/>
              <w:ind w:right="11"/>
              <w:jc w:val="right"/>
            </w:pPr>
            <w:r>
              <w:rPr>
                <w:spacing w:val="-4"/>
              </w:rPr>
              <w:t>10000</w:t>
            </w:r>
          </w:p>
        </w:tc>
      </w:tr>
      <w:tr w14:paraId="31253D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554" w:type="dxa"/>
            <w:vAlign w:val="top"/>
          </w:tcPr>
          <w:p w14:paraId="5F262883">
            <w:pPr>
              <w:pStyle w:val="6"/>
              <w:spacing w:before="269" w:line="183" w:lineRule="auto"/>
              <w:ind w:left="85"/>
            </w:pPr>
            <w:r>
              <w:rPr>
                <w:spacing w:val="-2"/>
              </w:rPr>
              <w:t>2870</w:t>
            </w:r>
          </w:p>
        </w:tc>
        <w:tc>
          <w:tcPr>
            <w:tcW w:w="2148" w:type="dxa"/>
            <w:vAlign w:val="top"/>
          </w:tcPr>
          <w:p w14:paraId="4C930258">
            <w:pPr>
              <w:pStyle w:val="6"/>
              <w:spacing w:before="211" w:line="218" w:lineRule="auto"/>
              <w:ind w:left="11"/>
            </w:pPr>
            <w:r>
              <w:rPr>
                <w:spacing w:val="1"/>
              </w:rPr>
              <w:t>吨腈纶综合能耗</w:t>
            </w:r>
          </w:p>
        </w:tc>
        <w:tc>
          <w:tcPr>
            <w:tcW w:w="1249" w:type="dxa"/>
            <w:vAlign w:val="top"/>
          </w:tcPr>
          <w:p w14:paraId="0B36A9C5">
            <w:pPr>
              <w:pStyle w:val="6"/>
              <w:spacing w:before="212" w:line="219" w:lineRule="auto"/>
              <w:ind w:left="43"/>
            </w:pPr>
            <w:r>
              <w:rPr>
                <w:spacing w:val="-1"/>
              </w:rPr>
              <w:t>千克标准煤/吨</w:t>
            </w:r>
          </w:p>
        </w:tc>
        <w:tc>
          <w:tcPr>
            <w:tcW w:w="539" w:type="dxa"/>
            <w:vAlign w:val="top"/>
          </w:tcPr>
          <w:p w14:paraId="725886AD">
            <w:pPr>
              <w:pStyle w:val="6"/>
              <w:spacing w:before="93" w:line="208" w:lineRule="auto"/>
              <w:ind w:left="83" w:right="77"/>
            </w:pPr>
            <w:r>
              <w:rPr>
                <w:spacing w:val="3"/>
              </w:rPr>
              <w:t>吨标</w:t>
            </w:r>
            <w:r>
              <w:t xml:space="preserve"> </w:t>
            </w:r>
            <w:r>
              <w:rPr>
                <w:spacing w:val="-3"/>
              </w:rPr>
              <w:t>准煤</w:t>
            </w:r>
          </w:p>
        </w:tc>
        <w:tc>
          <w:tcPr>
            <w:tcW w:w="440" w:type="dxa"/>
            <w:vAlign w:val="top"/>
          </w:tcPr>
          <w:p w14:paraId="3239BC1C">
            <w:pPr>
              <w:pStyle w:val="6"/>
              <w:spacing w:before="221" w:line="229" w:lineRule="auto"/>
              <w:ind w:left="125"/>
            </w:pPr>
            <w:r>
              <w:t>吨</w:t>
            </w:r>
          </w:p>
        </w:tc>
        <w:tc>
          <w:tcPr>
            <w:tcW w:w="2208" w:type="dxa"/>
            <w:vAlign w:val="top"/>
          </w:tcPr>
          <w:p w14:paraId="7A00CEE9">
            <w:pPr>
              <w:pStyle w:val="6"/>
              <w:spacing w:before="212" w:line="219" w:lineRule="auto"/>
              <w:ind w:left="45"/>
            </w:pPr>
            <w:r>
              <w:rPr>
                <w:spacing w:val="-1"/>
              </w:rPr>
              <w:t>企业生产综合能耗量</w:t>
            </w:r>
          </w:p>
        </w:tc>
        <w:tc>
          <w:tcPr>
            <w:tcW w:w="1658" w:type="dxa"/>
            <w:vAlign w:val="top"/>
          </w:tcPr>
          <w:p w14:paraId="7771DC7C">
            <w:pPr>
              <w:pStyle w:val="6"/>
              <w:spacing w:before="211" w:line="218" w:lineRule="auto"/>
              <w:ind w:left="17"/>
            </w:pPr>
            <w:r>
              <w:rPr>
                <w:spacing w:val="-1"/>
              </w:rPr>
              <w:t>腈纶纤维产量</w:t>
            </w:r>
          </w:p>
        </w:tc>
        <w:tc>
          <w:tcPr>
            <w:tcW w:w="644" w:type="dxa"/>
            <w:vAlign w:val="top"/>
          </w:tcPr>
          <w:p w14:paraId="602AFB30">
            <w:pPr>
              <w:pStyle w:val="6"/>
              <w:spacing w:before="288" w:line="184" w:lineRule="auto"/>
              <w:ind w:right="10"/>
              <w:jc w:val="right"/>
            </w:pPr>
            <w:r>
              <w:rPr>
                <w:spacing w:val="-4"/>
              </w:rPr>
              <w:t>1000</w:t>
            </w:r>
          </w:p>
        </w:tc>
      </w:tr>
      <w:tr w14:paraId="1F4EA3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8" w:hRule="atLeast"/>
        </w:trPr>
        <w:tc>
          <w:tcPr>
            <w:tcW w:w="554" w:type="dxa"/>
            <w:vAlign w:val="top"/>
          </w:tcPr>
          <w:p w14:paraId="2C1E3293">
            <w:pPr>
              <w:pStyle w:val="6"/>
              <w:spacing w:before="279" w:line="184" w:lineRule="auto"/>
              <w:ind w:left="85"/>
            </w:pPr>
            <w:r>
              <w:rPr>
                <w:spacing w:val="-2"/>
              </w:rPr>
              <w:t>2811</w:t>
            </w:r>
          </w:p>
        </w:tc>
        <w:tc>
          <w:tcPr>
            <w:tcW w:w="2148" w:type="dxa"/>
            <w:vAlign w:val="top"/>
          </w:tcPr>
          <w:p w14:paraId="211A25A4">
            <w:pPr>
              <w:pStyle w:val="6"/>
              <w:spacing w:before="222" w:line="218" w:lineRule="auto"/>
              <w:ind w:left="11"/>
            </w:pPr>
            <w:r>
              <w:rPr>
                <w:spacing w:val="1"/>
              </w:rPr>
              <w:t>吨腈纶用电量</w:t>
            </w:r>
          </w:p>
        </w:tc>
        <w:tc>
          <w:tcPr>
            <w:tcW w:w="1249" w:type="dxa"/>
            <w:vAlign w:val="top"/>
          </w:tcPr>
          <w:p w14:paraId="678BCC1F">
            <w:pPr>
              <w:pStyle w:val="6"/>
              <w:spacing w:before="184" w:line="221" w:lineRule="auto"/>
              <w:ind w:left="43"/>
            </w:pPr>
            <w:r>
              <w:rPr>
                <w:spacing w:val="-2"/>
              </w:rPr>
              <w:t>千瓦时/吨</w:t>
            </w:r>
          </w:p>
        </w:tc>
        <w:tc>
          <w:tcPr>
            <w:tcW w:w="539" w:type="dxa"/>
            <w:vAlign w:val="top"/>
          </w:tcPr>
          <w:p w14:paraId="35F82F74">
            <w:pPr>
              <w:pStyle w:val="6"/>
              <w:spacing w:before="104" w:line="212" w:lineRule="auto"/>
              <w:ind w:left="83" w:right="74"/>
            </w:pPr>
            <w:r>
              <w:rPr>
                <w:spacing w:val="-6"/>
              </w:rPr>
              <w:t>万千</w:t>
            </w:r>
            <w:r>
              <w:t xml:space="preserve"> </w:t>
            </w:r>
            <w:r>
              <w:rPr>
                <w:spacing w:val="5"/>
              </w:rPr>
              <w:t>瓦时</w:t>
            </w:r>
          </w:p>
        </w:tc>
        <w:tc>
          <w:tcPr>
            <w:tcW w:w="440" w:type="dxa"/>
            <w:vAlign w:val="top"/>
          </w:tcPr>
          <w:p w14:paraId="13E991C2">
            <w:pPr>
              <w:pStyle w:val="6"/>
              <w:spacing w:before="232" w:line="229" w:lineRule="auto"/>
              <w:ind w:left="125"/>
            </w:pPr>
            <w:r>
              <w:t>吨</w:t>
            </w:r>
          </w:p>
        </w:tc>
        <w:tc>
          <w:tcPr>
            <w:tcW w:w="2208" w:type="dxa"/>
            <w:vAlign w:val="top"/>
          </w:tcPr>
          <w:p w14:paraId="3682D0B7">
            <w:pPr>
              <w:pStyle w:val="6"/>
              <w:spacing w:before="223" w:line="219" w:lineRule="auto"/>
              <w:ind w:left="45"/>
            </w:pPr>
            <w:r>
              <w:rPr>
                <w:spacing w:val="-2"/>
              </w:rPr>
              <w:t>企业生产用电量</w:t>
            </w:r>
          </w:p>
        </w:tc>
        <w:tc>
          <w:tcPr>
            <w:tcW w:w="1658" w:type="dxa"/>
            <w:vAlign w:val="top"/>
          </w:tcPr>
          <w:p w14:paraId="685495F7">
            <w:pPr>
              <w:pStyle w:val="6"/>
              <w:spacing w:before="222" w:line="218" w:lineRule="auto"/>
              <w:ind w:left="17"/>
            </w:pPr>
            <w:r>
              <w:rPr>
                <w:spacing w:val="-1"/>
              </w:rPr>
              <w:t>腈纶纤维产量</w:t>
            </w:r>
          </w:p>
        </w:tc>
        <w:tc>
          <w:tcPr>
            <w:tcW w:w="644" w:type="dxa"/>
            <w:vAlign w:val="top"/>
          </w:tcPr>
          <w:p w14:paraId="1743D2A5">
            <w:pPr>
              <w:pStyle w:val="6"/>
              <w:spacing w:before="279" w:line="184" w:lineRule="auto"/>
              <w:ind w:right="11"/>
              <w:jc w:val="right"/>
            </w:pPr>
            <w:r>
              <w:rPr>
                <w:spacing w:val="-4"/>
              </w:rPr>
              <w:t>10000</w:t>
            </w:r>
          </w:p>
        </w:tc>
      </w:tr>
      <w:tr w14:paraId="167740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554" w:type="dxa"/>
            <w:vAlign w:val="top"/>
          </w:tcPr>
          <w:p w14:paraId="28EEC1B9">
            <w:pPr>
              <w:pStyle w:val="6"/>
              <w:spacing w:before="222" w:line="183" w:lineRule="auto"/>
              <w:ind w:left="85"/>
            </w:pPr>
            <w:r>
              <w:rPr>
                <w:spacing w:val="-2"/>
              </w:rPr>
              <w:t>2880</w:t>
            </w:r>
          </w:p>
        </w:tc>
        <w:tc>
          <w:tcPr>
            <w:tcW w:w="2148" w:type="dxa"/>
            <w:vAlign w:val="top"/>
          </w:tcPr>
          <w:p w14:paraId="1A7BEAAD">
            <w:pPr>
              <w:pStyle w:val="6"/>
              <w:spacing w:before="175" w:line="219" w:lineRule="auto"/>
              <w:ind w:left="11"/>
            </w:pPr>
            <w:r>
              <w:rPr>
                <w:spacing w:val="1"/>
              </w:rPr>
              <w:t>吨维纶综合能耗</w:t>
            </w:r>
          </w:p>
        </w:tc>
        <w:tc>
          <w:tcPr>
            <w:tcW w:w="1249" w:type="dxa"/>
            <w:vAlign w:val="top"/>
          </w:tcPr>
          <w:p w14:paraId="246501AA">
            <w:pPr>
              <w:pStyle w:val="6"/>
              <w:spacing w:before="175" w:line="219" w:lineRule="auto"/>
              <w:ind w:left="43"/>
            </w:pPr>
            <w:r>
              <w:rPr>
                <w:spacing w:val="-1"/>
              </w:rPr>
              <w:t>千克标准煤/吨</w:t>
            </w:r>
          </w:p>
        </w:tc>
        <w:tc>
          <w:tcPr>
            <w:tcW w:w="539" w:type="dxa"/>
            <w:vAlign w:val="top"/>
          </w:tcPr>
          <w:p w14:paraId="6898EB56">
            <w:pPr>
              <w:pStyle w:val="6"/>
              <w:spacing w:before="75" w:line="217" w:lineRule="auto"/>
              <w:ind w:left="83" w:right="77"/>
            </w:pPr>
            <w:r>
              <w:rPr>
                <w:spacing w:val="3"/>
              </w:rPr>
              <w:t>吨标</w:t>
            </w:r>
            <w:r>
              <w:t xml:space="preserve"> </w:t>
            </w:r>
            <w:r>
              <w:rPr>
                <w:spacing w:val="-3"/>
              </w:rPr>
              <w:t>准煤</w:t>
            </w:r>
          </w:p>
        </w:tc>
        <w:tc>
          <w:tcPr>
            <w:tcW w:w="440" w:type="dxa"/>
            <w:vAlign w:val="top"/>
          </w:tcPr>
          <w:p w14:paraId="6EF6F8A1">
            <w:pPr>
              <w:pStyle w:val="6"/>
              <w:spacing w:before="184" w:line="229" w:lineRule="auto"/>
              <w:ind w:left="125"/>
            </w:pPr>
            <w:r>
              <w:t>吨</w:t>
            </w:r>
          </w:p>
        </w:tc>
        <w:tc>
          <w:tcPr>
            <w:tcW w:w="2208" w:type="dxa"/>
            <w:vAlign w:val="top"/>
          </w:tcPr>
          <w:p w14:paraId="5121D734">
            <w:pPr>
              <w:pStyle w:val="6"/>
              <w:spacing w:before="175" w:line="219" w:lineRule="auto"/>
              <w:ind w:left="45"/>
            </w:pPr>
            <w:r>
              <w:rPr>
                <w:spacing w:val="-1"/>
              </w:rPr>
              <w:t>企业生产综合能耗量</w:t>
            </w:r>
          </w:p>
        </w:tc>
        <w:tc>
          <w:tcPr>
            <w:tcW w:w="1658" w:type="dxa"/>
            <w:vAlign w:val="top"/>
          </w:tcPr>
          <w:p w14:paraId="6232CDA5">
            <w:pPr>
              <w:pStyle w:val="6"/>
              <w:spacing w:before="175" w:line="219" w:lineRule="auto"/>
              <w:ind w:left="17"/>
            </w:pPr>
            <w:r>
              <w:rPr>
                <w:spacing w:val="-2"/>
              </w:rPr>
              <w:t>维纶纤维产量</w:t>
            </w:r>
          </w:p>
        </w:tc>
        <w:tc>
          <w:tcPr>
            <w:tcW w:w="644" w:type="dxa"/>
            <w:vAlign w:val="top"/>
          </w:tcPr>
          <w:p w14:paraId="00533A82">
            <w:pPr>
              <w:pStyle w:val="6"/>
              <w:spacing w:before="221" w:line="184" w:lineRule="auto"/>
              <w:ind w:right="10"/>
              <w:jc w:val="right"/>
            </w:pPr>
            <w:r>
              <w:rPr>
                <w:spacing w:val="-4"/>
              </w:rPr>
              <w:t>1000</w:t>
            </w:r>
          </w:p>
        </w:tc>
      </w:tr>
      <w:tr w14:paraId="249219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554" w:type="dxa"/>
            <w:vAlign w:val="top"/>
          </w:tcPr>
          <w:p w14:paraId="1AC21251">
            <w:pPr>
              <w:pStyle w:val="6"/>
              <w:spacing w:before="292" w:line="184" w:lineRule="auto"/>
              <w:ind w:left="85"/>
            </w:pPr>
            <w:r>
              <w:rPr>
                <w:spacing w:val="-2"/>
              </w:rPr>
              <w:t>2813</w:t>
            </w:r>
          </w:p>
        </w:tc>
        <w:tc>
          <w:tcPr>
            <w:tcW w:w="2148" w:type="dxa"/>
            <w:vAlign w:val="top"/>
          </w:tcPr>
          <w:p w14:paraId="5AFC48C5">
            <w:pPr>
              <w:pStyle w:val="6"/>
              <w:spacing w:before="227" w:line="220" w:lineRule="auto"/>
              <w:ind w:left="11"/>
            </w:pPr>
            <w:r>
              <w:rPr>
                <w:spacing w:val="1"/>
              </w:rPr>
              <w:t>吨维纶用电量</w:t>
            </w:r>
          </w:p>
        </w:tc>
        <w:tc>
          <w:tcPr>
            <w:tcW w:w="1249" w:type="dxa"/>
            <w:vAlign w:val="top"/>
          </w:tcPr>
          <w:p w14:paraId="2A4D484F">
            <w:pPr>
              <w:pStyle w:val="6"/>
              <w:spacing w:before="227" w:line="221" w:lineRule="auto"/>
              <w:ind w:left="43"/>
            </w:pPr>
            <w:r>
              <w:rPr>
                <w:spacing w:val="-2"/>
              </w:rPr>
              <w:t>千瓦时/吨</w:t>
            </w:r>
          </w:p>
        </w:tc>
        <w:tc>
          <w:tcPr>
            <w:tcW w:w="539" w:type="dxa"/>
            <w:vAlign w:val="top"/>
          </w:tcPr>
          <w:p w14:paraId="52004A04">
            <w:pPr>
              <w:pStyle w:val="6"/>
              <w:spacing w:before="87" w:line="224" w:lineRule="auto"/>
              <w:ind w:left="83" w:right="74"/>
            </w:pPr>
            <w:r>
              <w:rPr>
                <w:spacing w:val="-6"/>
              </w:rPr>
              <w:t>万千</w:t>
            </w:r>
            <w:r>
              <w:t xml:space="preserve"> </w:t>
            </w:r>
            <w:r>
              <w:rPr>
                <w:spacing w:val="5"/>
              </w:rPr>
              <w:t>瓦时</w:t>
            </w:r>
          </w:p>
        </w:tc>
        <w:tc>
          <w:tcPr>
            <w:tcW w:w="440" w:type="dxa"/>
            <w:vAlign w:val="top"/>
          </w:tcPr>
          <w:p w14:paraId="046B9EA6">
            <w:pPr>
              <w:pStyle w:val="6"/>
              <w:spacing w:before="235" w:line="229" w:lineRule="auto"/>
              <w:ind w:left="125"/>
            </w:pPr>
            <w:r>
              <w:t>吨</w:t>
            </w:r>
          </w:p>
        </w:tc>
        <w:tc>
          <w:tcPr>
            <w:tcW w:w="2208" w:type="dxa"/>
            <w:vAlign w:val="top"/>
          </w:tcPr>
          <w:p w14:paraId="762E2C9D">
            <w:pPr>
              <w:pStyle w:val="6"/>
              <w:spacing w:before="186" w:line="219" w:lineRule="auto"/>
              <w:ind w:left="45"/>
            </w:pPr>
            <w:r>
              <w:rPr>
                <w:spacing w:val="-2"/>
              </w:rPr>
              <w:t>企业生产用电量</w:t>
            </w:r>
          </w:p>
        </w:tc>
        <w:tc>
          <w:tcPr>
            <w:tcW w:w="1658" w:type="dxa"/>
            <w:vAlign w:val="top"/>
          </w:tcPr>
          <w:p w14:paraId="6F84434B">
            <w:pPr>
              <w:pStyle w:val="6"/>
              <w:spacing w:before="186" w:line="219" w:lineRule="auto"/>
              <w:ind w:left="17"/>
            </w:pPr>
            <w:r>
              <w:rPr>
                <w:spacing w:val="-2"/>
              </w:rPr>
              <w:t>维纶纤维产量</w:t>
            </w:r>
          </w:p>
        </w:tc>
        <w:tc>
          <w:tcPr>
            <w:tcW w:w="644" w:type="dxa"/>
            <w:vAlign w:val="top"/>
          </w:tcPr>
          <w:p w14:paraId="147D1062">
            <w:pPr>
              <w:pStyle w:val="6"/>
              <w:spacing w:before="282" w:line="184" w:lineRule="auto"/>
              <w:ind w:right="11"/>
              <w:jc w:val="right"/>
            </w:pPr>
            <w:r>
              <w:rPr>
                <w:spacing w:val="-4"/>
              </w:rPr>
              <w:t>10000</w:t>
            </w:r>
          </w:p>
        </w:tc>
      </w:tr>
    </w:tbl>
    <w:p w14:paraId="58E6E9C4">
      <w:pPr>
        <w:pStyle w:val="2"/>
        <w:spacing w:line="130" w:lineRule="exact"/>
        <w:rPr>
          <w:sz w:val="11"/>
        </w:rPr>
      </w:pPr>
    </w:p>
    <w:p w14:paraId="55F70CCF">
      <w:pPr>
        <w:spacing w:line="130" w:lineRule="exact"/>
        <w:rPr>
          <w:sz w:val="11"/>
          <w:szCs w:val="11"/>
        </w:rPr>
        <w:sectPr>
          <w:headerReference r:id="rId24" w:type="default"/>
          <w:footerReference r:id="rId25" w:type="default"/>
          <w:pgSz w:w="11910" w:h="16840"/>
          <w:pgMar w:top="1046" w:right="1219" w:bottom="1534" w:left="1234" w:header="876" w:footer="1320" w:gutter="0"/>
          <w:cols w:space="720" w:num="1"/>
        </w:sectPr>
      </w:pPr>
    </w:p>
    <w:p w14:paraId="0023C68E">
      <w:pPr>
        <w:spacing w:before="88"/>
      </w:pPr>
      <w:r>
        <w:pict>
          <v:rect id="_x0000_s1033" o:spid="_x0000_s1033" o:spt="1" style="position:absolute;left:0pt;margin-left:62.3pt;margin-top:52.85pt;height:0.5pt;width:18.9pt;mso-position-horizontal-relative:page;mso-position-vertical-relative:page;z-index:251696128;mso-width-relative:page;mso-height-relative:page;" fillcolor="#000000" filled="t" stroked="f" coordsize="21600,21600" o:allowincell="f">
            <v:path/>
            <v:fill on="t" focussize="0,0"/>
            <v:stroke on="f"/>
            <v:imagedata o:title=""/>
            <o:lock v:ext="edit"/>
            <v:textbox>
              <w:txbxContent>
                <w:p w14:paraId="05837AF2"/>
              </w:txbxContent>
            </v:textbox>
          </v:rect>
        </w:pict>
      </w:r>
    </w:p>
    <w:p w14:paraId="0EBF7B73">
      <w:pPr>
        <w:spacing w:before="87"/>
      </w:pPr>
    </w:p>
    <w:tbl>
      <w:tblPr>
        <w:tblStyle w:val="5"/>
        <w:tblW w:w="9450" w:type="dxa"/>
        <w:tblInd w:w="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0"/>
        <w:gridCol w:w="2170"/>
        <w:gridCol w:w="1230"/>
        <w:gridCol w:w="540"/>
        <w:gridCol w:w="450"/>
        <w:gridCol w:w="2200"/>
        <w:gridCol w:w="1650"/>
        <w:gridCol w:w="660"/>
      </w:tblGrid>
      <w:tr w14:paraId="728FDD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550" w:type="dxa"/>
            <w:vMerge w:val="restart"/>
            <w:tcBorders>
              <w:left w:val="nil"/>
              <w:bottom w:val="nil"/>
            </w:tcBorders>
            <w:vAlign w:val="top"/>
          </w:tcPr>
          <w:p w14:paraId="631A2633">
            <w:pPr>
              <w:pStyle w:val="6"/>
              <w:spacing w:before="222" w:line="219" w:lineRule="auto"/>
              <w:ind w:left="90"/>
            </w:pPr>
            <w:r>
              <w:rPr>
                <w:spacing w:val="-2"/>
              </w:rPr>
              <w:t>代码</w:t>
            </w:r>
          </w:p>
        </w:tc>
        <w:tc>
          <w:tcPr>
            <w:tcW w:w="2170" w:type="dxa"/>
            <w:vMerge w:val="restart"/>
            <w:tcBorders>
              <w:bottom w:val="nil"/>
            </w:tcBorders>
            <w:vAlign w:val="top"/>
          </w:tcPr>
          <w:p w14:paraId="2F388FC6">
            <w:pPr>
              <w:pStyle w:val="6"/>
              <w:spacing w:before="223" w:line="220" w:lineRule="auto"/>
              <w:ind w:left="725"/>
            </w:pPr>
            <w:r>
              <w:rPr>
                <w:spacing w:val="-2"/>
              </w:rPr>
              <w:t>指标名称</w:t>
            </w:r>
          </w:p>
        </w:tc>
        <w:tc>
          <w:tcPr>
            <w:tcW w:w="2220" w:type="dxa"/>
            <w:gridSpan w:val="3"/>
            <w:vAlign w:val="top"/>
          </w:tcPr>
          <w:p w14:paraId="50BDF07B">
            <w:pPr>
              <w:pStyle w:val="6"/>
              <w:spacing w:before="73" w:line="220" w:lineRule="auto"/>
              <w:ind w:left="755"/>
            </w:pPr>
            <w:r>
              <w:rPr>
                <w:spacing w:val="-2"/>
              </w:rPr>
              <w:t>计量单位</w:t>
            </w:r>
          </w:p>
        </w:tc>
        <w:tc>
          <w:tcPr>
            <w:tcW w:w="3850" w:type="dxa"/>
            <w:gridSpan w:val="2"/>
            <w:vAlign w:val="top"/>
          </w:tcPr>
          <w:p w14:paraId="2146DA64">
            <w:pPr>
              <w:pStyle w:val="6"/>
              <w:spacing w:before="72" w:line="219" w:lineRule="auto"/>
              <w:ind w:left="1585"/>
            </w:pPr>
            <w:r>
              <w:rPr>
                <w:spacing w:val="-2"/>
              </w:rPr>
              <w:t>计算根据</w:t>
            </w:r>
          </w:p>
        </w:tc>
        <w:tc>
          <w:tcPr>
            <w:tcW w:w="660" w:type="dxa"/>
            <w:vMerge w:val="restart"/>
            <w:tcBorders>
              <w:bottom w:val="nil"/>
              <w:right w:val="nil"/>
            </w:tcBorders>
            <w:vAlign w:val="top"/>
          </w:tcPr>
          <w:p w14:paraId="2ABD76BE">
            <w:pPr>
              <w:pStyle w:val="6"/>
              <w:spacing w:before="123" w:line="237" w:lineRule="auto"/>
              <w:ind w:left="85" w:right="38" w:hanging="30"/>
            </w:pPr>
            <w:r>
              <w:rPr>
                <w:spacing w:val="-3"/>
              </w:rPr>
              <w:t>单位换</w:t>
            </w:r>
            <w:r>
              <w:t xml:space="preserve"> </w:t>
            </w:r>
            <w:r>
              <w:rPr>
                <w:spacing w:val="-3"/>
              </w:rPr>
              <w:t>算系数</w:t>
            </w:r>
          </w:p>
        </w:tc>
      </w:tr>
      <w:tr w14:paraId="7B56C0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550" w:type="dxa"/>
            <w:vMerge w:val="continue"/>
            <w:tcBorders>
              <w:top w:val="nil"/>
              <w:left w:val="nil"/>
            </w:tcBorders>
            <w:vAlign w:val="top"/>
          </w:tcPr>
          <w:p w14:paraId="4FD86258">
            <w:pPr>
              <w:rPr>
                <w:rFonts w:ascii="Arial"/>
                <w:sz w:val="21"/>
              </w:rPr>
            </w:pPr>
          </w:p>
        </w:tc>
        <w:tc>
          <w:tcPr>
            <w:tcW w:w="2170" w:type="dxa"/>
            <w:vMerge w:val="continue"/>
            <w:tcBorders>
              <w:top w:val="nil"/>
            </w:tcBorders>
            <w:vAlign w:val="top"/>
          </w:tcPr>
          <w:p w14:paraId="39FF7017">
            <w:pPr>
              <w:rPr>
                <w:rFonts w:ascii="Arial"/>
                <w:sz w:val="21"/>
              </w:rPr>
            </w:pPr>
          </w:p>
        </w:tc>
        <w:tc>
          <w:tcPr>
            <w:tcW w:w="1230" w:type="dxa"/>
            <w:vAlign w:val="top"/>
          </w:tcPr>
          <w:p w14:paraId="521E62AC">
            <w:pPr>
              <w:pStyle w:val="6"/>
              <w:spacing w:before="59" w:line="220" w:lineRule="auto"/>
              <w:ind w:left="445"/>
            </w:pPr>
            <w:r>
              <w:rPr>
                <w:spacing w:val="-3"/>
              </w:rPr>
              <w:t>指标</w:t>
            </w:r>
          </w:p>
        </w:tc>
        <w:tc>
          <w:tcPr>
            <w:tcW w:w="540" w:type="dxa"/>
            <w:vAlign w:val="top"/>
          </w:tcPr>
          <w:p w14:paraId="271F7358">
            <w:pPr>
              <w:pStyle w:val="6"/>
              <w:spacing w:before="59" w:line="220" w:lineRule="auto"/>
              <w:ind w:left="84"/>
            </w:pPr>
            <w:r>
              <w:rPr>
                <w:spacing w:val="-2"/>
              </w:rPr>
              <w:t>子项</w:t>
            </w:r>
          </w:p>
        </w:tc>
        <w:tc>
          <w:tcPr>
            <w:tcW w:w="450" w:type="dxa"/>
            <w:vAlign w:val="top"/>
          </w:tcPr>
          <w:p w14:paraId="2A2BD9E8">
            <w:pPr>
              <w:pStyle w:val="6"/>
              <w:spacing w:before="59" w:line="220" w:lineRule="auto"/>
              <w:ind w:left="35"/>
            </w:pPr>
            <w:r>
              <w:rPr>
                <w:spacing w:val="-2"/>
              </w:rPr>
              <w:t>母项</w:t>
            </w:r>
          </w:p>
        </w:tc>
        <w:tc>
          <w:tcPr>
            <w:tcW w:w="2200" w:type="dxa"/>
            <w:vAlign w:val="top"/>
          </w:tcPr>
          <w:p w14:paraId="0A9E8F88">
            <w:pPr>
              <w:pStyle w:val="6"/>
              <w:spacing w:before="59" w:line="220" w:lineRule="auto"/>
              <w:ind w:left="915"/>
            </w:pPr>
            <w:r>
              <w:rPr>
                <w:spacing w:val="-2"/>
              </w:rPr>
              <w:t>子项</w:t>
            </w:r>
          </w:p>
        </w:tc>
        <w:tc>
          <w:tcPr>
            <w:tcW w:w="1650" w:type="dxa"/>
            <w:vAlign w:val="top"/>
          </w:tcPr>
          <w:p w14:paraId="47D4CD1A">
            <w:pPr>
              <w:pStyle w:val="6"/>
              <w:spacing w:before="59" w:line="220" w:lineRule="auto"/>
              <w:ind w:left="655"/>
            </w:pPr>
            <w:r>
              <w:rPr>
                <w:spacing w:val="-2"/>
              </w:rPr>
              <w:t>母项</w:t>
            </w:r>
          </w:p>
        </w:tc>
        <w:tc>
          <w:tcPr>
            <w:tcW w:w="660" w:type="dxa"/>
            <w:vMerge w:val="continue"/>
            <w:tcBorders>
              <w:top w:val="nil"/>
              <w:right w:val="nil"/>
            </w:tcBorders>
            <w:vAlign w:val="top"/>
          </w:tcPr>
          <w:p w14:paraId="72E9AB2D">
            <w:pPr>
              <w:rPr>
                <w:rFonts w:ascii="Arial"/>
                <w:sz w:val="21"/>
              </w:rPr>
            </w:pPr>
          </w:p>
        </w:tc>
      </w:tr>
      <w:tr w14:paraId="65F7C1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550" w:type="dxa"/>
            <w:tcBorders>
              <w:left w:val="nil"/>
            </w:tcBorders>
            <w:vAlign w:val="top"/>
          </w:tcPr>
          <w:p w14:paraId="64828647">
            <w:pPr>
              <w:pStyle w:val="6"/>
              <w:spacing w:before="214" w:line="184" w:lineRule="auto"/>
              <w:ind w:left="90"/>
            </w:pPr>
            <w:r>
              <w:rPr>
                <w:spacing w:val="-4"/>
              </w:rPr>
              <w:t>1710</w:t>
            </w:r>
          </w:p>
        </w:tc>
        <w:tc>
          <w:tcPr>
            <w:tcW w:w="2170" w:type="dxa"/>
            <w:vAlign w:val="top"/>
          </w:tcPr>
          <w:p w14:paraId="6ECF3665">
            <w:pPr>
              <w:pStyle w:val="6"/>
              <w:spacing w:before="169" w:line="219" w:lineRule="auto"/>
              <w:ind w:left="15"/>
            </w:pPr>
            <w:r>
              <w:t>吨纱(线)混合数综合能耗</w:t>
            </w:r>
          </w:p>
        </w:tc>
        <w:tc>
          <w:tcPr>
            <w:tcW w:w="1230" w:type="dxa"/>
            <w:vAlign w:val="top"/>
          </w:tcPr>
          <w:p w14:paraId="0ABF0467">
            <w:pPr>
              <w:pStyle w:val="6"/>
              <w:spacing w:before="169" w:line="219" w:lineRule="auto"/>
              <w:ind w:left="25"/>
            </w:pPr>
            <w:r>
              <w:rPr>
                <w:spacing w:val="-1"/>
              </w:rPr>
              <w:t>千克标准煤/吨</w:t>
            </w:r>
          </w:p>
        </w:tc>
        <w:tc>
          <w:tcPr>
            <w:tcW w:w="540" w:type="dxa"/>
            <w:vAlign w:val="top"/>
          </w:tcPr>
          <w:p w14:paraId="6067355B">
            <w:pPr>
              <w:pStyle w:val="6"/>
              <w:spacing w:before="70" w:line="220" w:lineRule="auto"/>
              <w:ind w:left="84" w:right="77"/>
            </w:pPr>
            <w:r>
              <w:rPr>
                <w:spacing w:val="3"/>
              </w:rPr>
              <w:t>吨标</w:t>
            </w:r>
            <w:r>
              <w:t xml:space="preserve"> </w:t>
            </w:r>
            <w:r>
              <w:rPr>
                <w:spacing w:val="-3"/>
              </w:rPr>
              <w:t>准煤</w:t>
            </w:r>
          </w:p>
        </w:tc>
        <w:tc>
          <w:tcPr>
            <w:tcW w:w="450" w:type="dxa"/>
            <w:vAlign w:val="top"/>
          </w:tcPr>
          <w:p w14:paraId="41F41B33">
            <w:pPr>
              <w:pStyle w:val="6"/>
              <w:spacing w:before="178" w:line="229" w:lineRule="auto"/>
              <w:ind w:left="125"/>
            </w:pPr>
            <w:r>
              <w:t>吨</w:t>
            </w:r>
          </w:p>
        </w:tc>
        <w:tc>
          <w:tcPr>
            <w:tcW w:w="2200" w:type="dxa"/>
            <w:vAlign w:val="top"/>
          </w:tcPr>
          <w:p w14:paraId="08B479BB">
            <w:pPr>
              <w:pStyle w:val="6"/>
              <w:spacing w:before="169" w:line="219" w:lineRule="auto"/>
              <w:ind w:left="25"/>
            </w:pPr>
            <w:r>
              <w:rPr>
                <w:spacing w:val="-1"/>
              </w:rPr>
              <w:t>企业生产综合能源消费量</w:t>
            </w:r>
          </w:p>
        </w:tc>
        <w:tc>
          <w:tcPr>
            <w:tcW w:w="1650" w:type="dxa"/>
            <w:vAlign w:val="top"/>
          </w:tcPr>
          <w:p w14:paraId="7C5612B5">
            <w:pPr>
              <w:pStyle w:val="6"/>
              <w:spacing w:before="169" w:line="219" w:lineRule="auto"/>
              <w:ind w:left="15"/>
            </w:pPr>
            <w:r>
              <w:rPr>
                <w:spacing w:val="-1"/>
              </w:rPr>
              <w:t>纱(线)混合数产量</w:t>
            </w:r>
          </w:p>
        </w:tc>
        <w:tc>
          <w:tcPr>
            <w:tcW w:w="660" w:type="dxa"/>
            <w:tcBorders>
              <w:right w:val="nil"/>
            </w:tcBorders>
            <w:vAlign w:val="top"/>
          </w:tcPr>
          <w:p w14:paraId="4EB592CB">
            <w:pPr>
              <w:pStyle w:val="6"/>
              <w:spacing w:before="214" w:line="184" w:lineRule="auto"/>
              <w:ind w:left="265"/>
            </w:pPr>
            <w:r>
              <w:rPr>
                <w:spacing w:val="-4"/>
              </w:rPr>
              <w:t>1000</w:t>
            </w:r>
          </w:p>
        </w:tc>
      </w:tr>
      <w:tr w14:paraId="26E976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550" w:type="dxa"/>
            <w:tcBorders>
              <w:left w:val="nil"/>
            </w:tcBorders>
            <w:vAlign w:val="top"/>
          </w:tcPr>
          <w:p w14:paraId="02E4A0E5">
            <w:pPr>
              <w:pStyle w:val="6"/>
              <w:spacing w:before="236" w:line="184" w:lineRule="auto"/>
              <w:ind w:left="90"/>
            </w:pPr>
            <w:r>
              <w:rPr>
                <w:spacing w:val="-4"/>
              </w:rPr>
              <w:t>1715</w:t>
            </w:r>
          </w:p>
        </w:tc>
        <w:tc>
          <w:tcPr>
            <w:tcW w:w="2170" w:type="dxa"/>
            <w:vAlign w:val="top"/>
          </w:tcPr>
          <w:p w14:paraId="2FD93BE7">
            <w:pPr>
              <w:pStyle w:val="6"/>
              <w:spacing w:before="190" w:line="219" w:lineRule="auto"/>
              <w:jc w:val="right"/>
            </w:pPr>
            <w:r>
              <w:rPr>
                <w:spacing w:val="-2"/>
              </w:rPr>
              <w:t>吨纱(线)混合数生产用电量</w:t>
            </w:r>
          </w:p>
        </w:tc>
        <w:tc>
          <w:tcPr>
            <w:tcW w:w="1230" w:type="dxa"/>
            <w:vAlign w:val="top"/>
          </w:tcPr>
          <w:p w14:paraId="5BF2D2D8">
            <w:pPr>
              <w:pStyle w:val="6"/>
              <w:spacing w:before="191" w:line="221" w:lineRule="auto"/>
              <w:ind w:left="15"/>
            </w:pPr>
            <w:r>
              <w:rPr>
                <w:spacing w:val="-2"/>
              </w:rPr>
              <w:t>千瓦时/吨</w:t>
            </w:r>
          </w:p>
        </w:tc>
        <w:tc>
          <w:tcPr>
            <w:tcW w:w="540" w:type="dxa"/>
            <w:vAlign w:val="top"/>
          </w:tcPr>
          <w:p w14:paraId="158D7B20">
            <w:pPr>
              <w:pStyle w:val="6"/>
              <w:spacing w:before="90" w:line="230" w:lineRule="auto"/>
              <w:ind w:left="84" w:right="74"/>
            </w:pPr>
            <w:r>
              <w:rPr>
                <w:spacing w:val="-6"/>
              </w:rPr>
              <w:t>万千</w:t>
            </w:r>
            <w:r>
              <w:t xml:space="preserve"> </w:t>
            </w:r>
            <w:r>
              <w:rPr>
                <w:spacing w:val="5"/>
              </w:rPr>
              <w:t>瓦时</w:t>
            </w:r>
          </w:p>
        </w:tc>
        <w:tc>
          <w:tcPr>
            <w:tcW w:w="450" w:type="dxa"/>
            <w:vAlign w:val="top"/>
          </w:tcPr>
          <w:p w14:paraId="230E8960">
            <w:pPr>
              <w:pStyle w:val="6"/>
              <w:spacing w:before="199" w:line="229" w:lineRule="auto"/>
              <w:ind w:left="125"/>
            </w:pPr>
            <w:r>
              <w:t>吨</w:t>
            </w:r>
          </w:p>
        </w:tc>
        <w:tc>
          <w:tcPr>
            <w:tcW w:w="2200" w:type="dxa"/>
            <w:vAlign w:val="top"/>
          </w:tcPr>
          <w:p w14:paraId="7C623161">
            <w:pPr>
              <w:pStyle w:val="6"/>
              <w:spacing w:before="190" w:line="219" w:lineRule="auto"/>
              <w:ind w:left="25"/>
            </w:pPr>
            <w:r>
              <w:rPr>
                <w:spacing w:val="-2"/>
              </w:rPr>
              <w:t>企业生产用电量</w:t>
            </w:r>
          </w:p>
        </w:tc>
        <w:tc>
          <w:tcPr>
            <w:tcW w:w="1650" w:type="dxa"/>
            <w:vAlign w:val="top"/>
          </w:tcPr>
          <w:p w14:paraId="12C79846">
            <w:pPr>
              <w:pStyle w:val="6"/>
              <w:spacing w:before="190" w:line="219" w:lineRule="auto"/>
              <w:ind w:left="15"/>
            </w:pPr>
            <w:r>
              <w:rPr>
                <w:spacing w:val="-1"/>
              </w:rPr>
              <w:t>纱(线)混合数产量</w:t>
            </w:r>
          </w:p>
        </w:tc>
        <w:tc>
          <w:tcPr>
            <w:tcW w:w="660" w:type="dxa"/>
            <w:tcBorders>
              <w:right w:val="nil"/>
            </w:tcBorders>
            <w:vAlign w:val="top"/>
          </w:tcPr>
          <w:p w14:paraId="582201A7">
            <w:pPr>
              <w:pStyle w:val="6"/>
              <w:spacing w:before="236" w:line="184" w:lineRule="auto"/>
              <w:ind w:left="175"/>
            </w:pPr>
            <w:r>
              <w:rPr>
                <w:spacing w:val="-4"/>
              </w:rPr>
              <w:t>10000</w:t>
            </w:r>
          </w:p>
        </w:tc>
      </w:tr>
      <w:tr w14:paraId="58BB35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550" w:type="dxa"/>
            <w:tcBorders>
              <w:left w:val="nil"/>
            </w:tcBorders>
            <w:vAlign w:val="top"/>
          </w:tcPr>
          <w:p w14:paraId="1399ADBD">
            <w:pPr>
              <w:pStyle w:val="6"/>
              <w:spacing w:before="216" w:line="184" w:lineRule="auto"/>
              <w:ind w:left="90"/>
            </w:pPr>
            <w:r>
              <w:rPr>
                <w:spacing w:val="-4"/>
              </w:rPr>
              <w:t>1730</w:t>
            </w:r>
          </w:p>
        </w:tc>
        <w:tc>
          <w:tcPr>
            <w:tcW w:w="2170" w:type="dxa"/>
            <w:vAlign w:val="top"/>
          </w:tcPr>
          <w:p w14:paraId="71B54681">
            <w:pPr>
              <w:pStyle w:val="6"/>
              <w:spacing w:before="170" w:line="219" w:lineRule="auto"/>
              <w:ind w:left="15"/>
            </w:pPr>
            <w:r>
              <w:rPr>
                <w:spacing w:val="-2"/>
              </w:rPr>
              <w:t>万米布混合数综合能耗</w:t>
            </w:r>
          </w:p>
        </w:tc>
        <w:tc>
          <w:tcPr>
            <w:tcW w:w="1230" w:type="dxa"/>
            <w:vAlign w:val="top"/>
          </w:tcPr>
          <w:p w14:paraId="2890DF3C">
            <w:pPr>
              <w:pStyle w:val="6"/>
              <w:spacing w:before="71" w:line="219" w:lineRule="auto"/>
              <w:ind w:left="15" w:right="21" w:firstLine="20"/>
            </w:pPr>
            <w:r>
              <w:rPr>
                <w:spacing w:val="-2"/>
              </w:rPr>
              <w:t>千克标准煤/万</w:t>
            </w:r>
            <w:r>
              <w:rPr>
                <w:spacing w:val="5"/>
              </w:rPr>
              <w:t xml:space="preserve"> </w:t>
            </w:r>
            <w:r>
              <w:t>米</w:t>
            </w:r>
          </w:p>
        </w:tc>
        <w:tc>
          <w:tcPr>
            <w:tcW w:w="540" w:type="dxa"/>
            <w:vAlign w:val="top"/>
          </w:tcPr>
          <w:p w14:paraId="783AA9E8">
            <w:pPr>
              <w:pStyle w:val="6"/>
              <w:spacing w:before="71" w:line="219" w:lineRule="auto"/>
              <w:ind w:left="84" w:right="77"/>
            </w:pPr>
            <w:r>
              <w:rPr>
                <w:spacing w:val="3"/>
              </w:rPr>
              <w:t>吨标</w:t>
            </w:r>
            <w:r>
              <w:t xml:space="preserve"> </w:t>
            </w:r>
            <w:r>
              <w:rPr>
                <w:spacing w:val="-3"/>
              </w:rPr>
              <w:t>准煤</w:t>
            </w:r>
          </w:p>
        </w:tc>
        <w:tc>
          <w:tcPr>
            <w:tcW w:w="450" w:type="dxa"/>
            <w:vAlign w:val="top"/>
          </w:tcPr>
          <w:p w14:paraId="403B3517">
            <w:pPr>
              <w:pStyle w:val="6"/>
              <w:spacing w:before="211" w:line="219" w:lineRule="auto"/>
              <w:ind w:left="35"/>
            </w:pPr>
            <w:r>
              <w:rPr>
                <w:spacing w:val="-3"/>
              </w:rPr>
              <w:t>万米</w:t>
            </w:r>
          </w:p>
        </w:tc>
        <w:tc>
          <w:tcPr>
            <w:tcW w:w="2200" w:type="dxa"/>
            <w:vAlign w:val="top"/>
          </w:tcPr>
          <w:p w14:paraId="39C9FD77">
            <w:pPr>
              <w:pStyle w:val="6"/>
              <w:spacing w:before="201" w:line="219" w:lineRule="auto"/>
              <w:ind w:left="25"/>
            </w:pPr>
            <w:r>
              <w:rPr>
                <w:spacing w:val="-1"/>
              </w:rPr>
              <w:t>企业生产综合能源消费量</w:t>
            </w:r>
          </w:p>
        </w:tc>
        <w:tc>
          <w:tcPr>
            <w:tcW w:w="1650" w:type="dxa"/>
            <w:vAlign w:val="top"/>
          </w:tcPr>
          <w:p w14:paraId="392FD969">
            <w:pPr>
              <w:pStyle w:val="6"/>
              <w:spacing w:before="210" w:line="219" w:lineRule="auto"/>
              <w:ind w:left="15"/>
            </w:pPr>
            <w:r>
              <w:rPr>
                <w:spacing w:val="-1"/>
              </w:rPr>
              <w:t>布混合数产量</w:t>
            </w:r>
          </w:p>
        </w:tc>
        <w:tc>
          <w:tcPr>
            <w:tcW w:w="660" w:type="dxa"/>
            <w:tcBorders>
              <w:right w:val="nil"/>
            </w:tcBorders>
            <w:vAlign w:val="top"/>
          </w:tcPr>
          <w:p w14:paraId="136AE9F3">
            <w:pPr>
              <w:pStyle w:val="6"/>
              <w:spacing w:before="216" w:line="184" w:lineRule="auto"/>
              <w:ind w:left="265"/>
            </w:pPr>
            <w:r>
              <w:rPr>
                <w:spacing w:val="-4"/>
              </w:rPr>
              <w:t>1000</w:t>
            </w:r>
          </w:p>
        </w:tc>
      </w:tr>
      <w:tr w14:paraId="355CEC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trPr>
        <w:tc>
          <w:tcPr>
            <w:tcW w:w="550" w:type="dxa"/>
            <w:tcBorders>
              <w:left w:val="nil"/>
            </w:tcBorders>
            <w:vAlign w:val="top"/>
          </w:tcPr>
          <w:p w14:paraId="77EE163B">
            <w:pPr>
              <w:pStyle w:val="6"/>
              <w:spacing w:before="237" w:line="184" w:lineRule="auto"/>
              <w:ind w:left="90"/>
            </w:pPr>
            <w:r>
              <w:rPr>
                <w:spacing w:val="-4"/>
              </w:rPr>
              <w:t>1740</w:t>
            </w:r>
          </w:p>
        </w:tc>
        <w:tc>
          <w:tcPr>
            <w:tcW w:w="2170" w:type="dxa"/>
            <w:vAlign w:val="top"/>
          </w:tcPr>
          <w:p w14:paraId="58375E9F">
            <w:pPr>
              <w:pStyle w:val="6"/>
              <w:spacing w:before="191" w:line="219" w:lineRule="auto"/>
              <w:ind w:left="15"/>
            </w:pPr>
            <w:r>
              <w:rPr>
                <w:spacing w:val="-1"/>
              </w:rPr>
              <w:t>万米布混合数生产用电量</w:t>
            </w:r>
          </w:p>
        </w:tc>
        <w:tc>
          <w:tcPr>
            <w:tcW w:w="1230" w:type="dxa"/>
            <w:vAlign w:val="top"/>
          </w:tcPr>
          <w:p w14:paraId="1075D2C5">
            <w:pPr>
              <w:pStyle w:val="6"/>
              <w:spacing w:before="192" w:line="219" w:lineRule="auto"/>
              <w:ind w:left="15"/>
            </w:pPr>
            <w:r>
              <w:rPr>
                <w:spacing w:val="-1"/>
              </w:rPr>
              <w:t>千瓦时/万米</w:t>
            </w:r>
          </w:p>
        </w:tc>
        <w:tc>
          <w:tcPr>
            <w:tcW w:w="540" w:type="dxa"/>
            <w:vAlign w:val="top"/>
          </w:tcPr>
          <w:p w14:paraId="577E645E">
            <w:pPr>
              <w:pStyle w:val="6"/>
              <w:spacing w:before="83" w:line="233" w:lineRule="auto"/>
              <w:ind w:left="84" w:right="74"/>
            </w:pPr>
            <w:r>
              <w:rPr>
                <w:spacing w:val="-6"/>
              </w:rPr>
              <w:t>万千</w:t>
            </w:r>
            <w:r>
              <w:t xml:space="preserve"> </w:t>
            </w:r>
            <w:r>
              <w:rPr>
                <w:spacing w:val="5"/>
              </w:rPr>
              <w:t>瓦时</w:t>
            </w:r>
          </w:p>
        </w:tc>
        <w:tc>
          <w:tcPr>
            <w:tcW w:w="450" w:type="dxa"/>
            <w:vAlign w:val="top"/>
          </w:tcPr>
          <w:p w14:paraId="1231B418">
            <w:pPr>
              <w:pStyle w:val="6"/>
              <w:spacing w:before="192" w:line="219" w:lineRule="auto"/>
              <w:ind w:left="35"/>
            </w:pPr>
            <w:r>
              <w:rPr>
                <w:spacing w:val="-3"/>
              </w:rPr>
              <w:t>万米</w:t>
            </w:r>
          </w:p>
        </w:tc>
        <w:tc>
          <w:tcPr>
            <w:tcW w:w="2200" w:type="dxa"/>
            <w:vAlign w:val="top"/>
          </w:tcPr>
          <w:p w14:paraId="29C38F7F">
            <w:pPr>
              <w:pStyle w:val="6"/>
              <w:spacing w:before="192" w:line="219" w:lineRule="auto"/>
              <w:ind w:left="25"/>
            </w:pPr>
            <w:r>
              <w:rPr>
                <w:spacing w:val="-2"/>
              </w:rPr>
              <w:t>企业生产用电量</w:t>
            </w:r>
          </w:p>
        </w:tc>
        <w:tc>
          <w:tcPr>
            <w:tcW w:w="1650" w:type="dxa"/>
            <w:vAlign w:val="top"/>
          </w:tcPr>
          <w:p w14:paraId="2CA5AA74">
            <w:pPr>
              <w:pStyle w:val="6"/>
              <w:spacing w:before="191" w:line="219" w:lineRule="auto"/>
              <w:ind w:left="15"/>
            </w:pPr>
            <w:r>
              <w:rPr>
                <w:spacing w:val="-1"/>
              </w:rPr>
              <w:t>布混合数产量</w:t>
            </w:r>
          </w:p>
        </w:tc>
        <w:tc>
          <w:tcPr>
            <w:tcW w:w="660" w:type="dxa"/>
            <w:tcBorders>
              <w:right w:val="nil"/>
            </w:tcBorders>
            <w:vAlign w:val="top"/>
          </w:tcPr>
          <w:p w14:paraId="155E7CCA">
            <w:pPr>
              <w:pStyle w:val="6"/>
              <w:spacing w:before="237" w:line="184" w:lineRule="auto"/>
              <w:ind w:left="175"/>
            </w:pPr>
            <w:r>
              <w:rPr>
                <w:spacing w:val="-4"/>
              </w:rPr>
              <w:t>10000</w:t>
            </w:r>
          </w:p>
        </w:tc>
      </w:tr>
      <w:tr w14:paraId="407CA4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550" w:type="dxa"/>
            <w:tcBorders>
              <w:left w:val="nil"/>
            </w:tcBorders>
            <w:vAlign w:val="top"/>
          </w:tcPr>
          <w:p w14:paraId="21E7C46D">
            <w:pPr>
              <w:pStyle w:val="6"/>
              <w:spacing w:before="219" w:line="184" w:lineRule="auto"/>
              <w:ind w:left="90"/>
            </w:pPr>
            <w:r>
              <w:rPr>
                <w:spacing w:val="-4"/>
              </w:rPr>
              <w:t>1750</w:t>
            </w:r>
          </w:p>
        </w:tc>
        <w:tc>
          <w:tcPr>
            <w:tcW w:w="2170" w:type="dxa"/>
            <w:vAlign w:val="top"/>
          </w:tcPr>
          <w:p w14:paraId="2AE62B03">
            <w:pPr>
              <w:pStyle w:val="6"/>
              <w:spacing w:before="173" w:line="219" w:lineRule="auto"/>
              <w:ind w:left="15"/>
            </w:pPr>
            <w:r>
              <w:rPr>
                <w:spacing w:val="-2"/>
              </w:rPr>
              <w:t>万米印染布综合能耗</w:t>
            </w:r>
          </w:p>
        </w:tc>
        <w:tc>
          <w:tcPr>
            <w:tcW w:w="1230" w:type="dxa"/>
            <w:vAlign w:val="top"/>
          </w:tcPr>
          <w:p w14:paraId="499597BD">
            <w:pPr>
              <w:pStyle w:val="6"/>
              <w:spacing w:before="54" w:line="233" w:lineRule="auto"/>
              <w:ind w:left="15" w:right="42"/>
            </w:pPr>
            <w:r>
              <w:rPr>
                <w:spacing w:val="-2"/>
              </w:rPr>
              <w:t>千克标准煤/万</w:t>
            </w:r>
            <w:r>
              <w:rPr>
                <w:spacing w:val="5"/>
              </w:rPr>
              <w:t xml:space="preserve"> </w:t>
            </w:r>
            <w:r>
              <w:t>米</w:t>
            </w:r>
          </w:p>
        </w:tc>
        <w:tc>
          <w:tcPr>
            <w:tcW w:w="540" w:type="dxa"/>
            <w:vAlign w:val="top"/>
          </w:tcPr>
          <w:p w14:paraId="052AE902">
            <w:pPr>
              <w:pStyle w:val="6"/>
              <w:spacing w:before="74" w:line="223" w:lineRule="auto"/>
              <w:ind w:left="84" w:right="77"/>
            </w:pPr>
            <w:r>
              <w:rPr>
                <w:spacing w:val="3"/>
              </w:rPr>
              <w:t>吨标</w:t>
            </w:r>
            <w:r>
              <w:t xml:space="preserve"> </w:t>
            </w:r>
            <w:r>
              <w:rPr>
                <w:spacing w:val="-3"/>
              </w:rPr>
              <w:t>准煤</w:t>
            </w:r>
          </w:p>
        </w:tc>
        <w:tc>
          <w:tcPr>
            <w:tcW w:w="450" w:type="dxa"/>
            <w:vAlign w:val="top"/>
          </w:tcPr>
          <w:p w14:paraId="5A55EBF9">
            <w:pPr>
              <w:pStyle w:val="6"/>
              <w:spacing w:before="174" w:line="219" w:lineRule="auto"/>
              <w:ind w:left="35"/>
            </w:pPr>
            <w:r>
              <w:rPr>
                <w:spacing w:val="-3"/>
              </w:rPr>
              <w:t>万米</w:t>
            </w:r>
          </w:p>
        </w:tc>
        <w:tc>
          <w:tcPr>
            <w:tcW w:w="2200" w:type="dxa"/>
            <w:vAlign w:val="top"/>
          </w:tcPr>
          <w:p w14:paraId="58578247">
            <w:pPr>
              <w:pStyle w:val="6"/>
              <w:spacing w:before="174" w:line="219" w:lineRule="auto"/>
              <w:ind w:left="25"/>
            </w:pPr>
            <w:r>
              <w:rPr>
                <w:spacing w:val="-1"/>
              </w:rPr>
              <w:t>企业生产综合能耗量</w:t>
            </w:r>
          </w:p>
        </w:tc>
        <w:tc>
          <w:tcPr>
            <w:tcW w:w="1650" w:type="dxa"/>
            <w:vAlign w:val="top"/>
          </w:tcPr>
          <w:p w14:paraId="7D35D110">
            <w:pPr>
              <w:pStyle w:val="6"/>
              <w:spacing w:before="173" w:line="219" w:lineRule="auto"/>
              <w:ind w:left="15"/>
            </w:pPr>
            <w:r>
              <w:rPr>
                <w:spacing w:val="11"/>
              </w:rPr>
              <w:t>印染布产量.</w:t>
            </w:r>
          </w:p>
        </w:tc>
        <w:tc>
          <w:tcPr>
            <w:tcW w:w="660" w:type="dxa"/>
            <w:tcBorders>
              <w:right w:val="nil"/>
            </w:tcBorders>
            <w:vAlign w:val="top"/>
          </w:tcPr>
          <w:p w14:paraId="15EC7030">
            <w:pPr>
              <w:pStyle w:val="6"/>
              <w:spacing w:before="219" w:line="184" w:lineRule="auto"/>
              <w:ind w:left="265"/>
            </w:pPr>
            <w:r>
              <w:rPr>
                <w:spacing w:val="-4"/>
              </w:rPr>
              <w:t>1000</w:t>
            </w:r>
          </w:p>
        </w:tc>
      </w:tr>
      <w:tr w14:paraId="1DB18D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550" w:type="dxa"/>
            <w:tcBorders>
              <w:left w:val="nil"/>
            </w:tcBorders>
            <w:vAlign w:val="top"/>
          </w:tcPr>
          <w:p w14:paraId="0E338511">
            <w:pPr>
              <w:pStyle w:val="6"/>
              <w:spacing w:before="230" w:line="184" w:lineRule="auto"/>
              <w:ind w:left="90"/>
            </w:pPr>
            <w:r>
              <w:rPr>
                <w:spacing w:val="-4"/>
              </w:rPr>
              <w:t>1770</w:t>
            </w:r>
          </w:p>
        </w:tc>
        <w:tc>
          <w:tcPr>
            <w:tcW w:w="2170" w:type="dxa"/>
            <w:vAlign w:val="top"/>
          </w:tcPr>
          <w:p w14:paraId="54121B51">
            <w:pPr>
              <w:pStyle w:val="6"/>
              <w:spacing w:before="185" w:line="219" w:lineRule="auto"/>
              <w:ind w:left="15"/>
            </w:pPr>
            <w:r>
              <w:rPr>
                <w:spacing w:val="-2"/>
              </w:rPr>
              <w:t>万米丝织品综合能耗</w:t>
            </w:r>
          </w:p>
        </w:tc>
        <w:tc>
          <w:tcPr>
            <w:tcW w:w="1230" w:type="dxa"/>
            <w:vAlign w:val="top"/>
          </w:tcPr>
          <w:p w14:paraId="14577287">
            <w:pPr>
              <w:pStyle w:val="6"/>
              <w:spacing w:before="84" w:line="228" w:lineRule="auto"/>
              <w:ind w:left="15" w:right="32" w:firstLine="10"/>
            </w:pPr>
            <w:r>
              <w:rPr>
                <w:spacing w:val="-2"/>
              </w:rPr>
              <w:t>千克标准煤/万</w:t>
            </w:r>
            <w:r>
              <w:rPr>
                <w:spacing w:val="5"/>
              </w:rPr>
              <w:t xml:space="preserve"> </w:t>
            </w:r>
            <w:r>
              <w:t>米</w:t>
            </w:r>
          </w:p>
        </w:tc>
        <w:tc>
          <w:tcPr>
            <w:tcW w:w="540" w:type="dxa"/>
            <w:vAlign w:val="top"/>
          </w:tcPr>
          <w:p w14:paraId="0C517AFE">
            <w:pPr>
              <w:pStyle w:val="6"/>
              <w:spacing w:before="86" w:line="227" w:lineRule="auto"/>
              <w:ind w:left="84" w:right="77"/>
            </w:pPr>
            <w:r>
              <w:rPr>
                <w:spacing w:val="3"/>
              </w:rPr>
              <w:t>吨标</w:t>
            </w:r>
            <w:r>
              <w:t xml:space="preserve"> </w:t>
            </w:r>
            <w:r>
              <w:rPr>
                <w:spacing w:val="-3"/>
              </w:rPr>
              <w:t>准煤</w:t>
            </w:r>
          </w:p>
        </w:tc>
        <w:tc>
          <w:tcPr>
            <w:tcW w:w="450" w:type="dxa"/>
            <w:vAlign w:val="top"/>
          </w:tcPr>
          <w:p w14:paraId="0BA57D92">
            <w:pPr>
              <w:pStyle w:val="6"/>
              <w:spacing w:before="185" w:line="219" w:lineRule="auto"/>
              <w:ind w:left="35"/>
            </w:pPr>
            <w:r>
              <w:rPr>
                <w:spacing w:val="-3"/>
              </w:rPr>
              <w:t>万米</w:t>
            </w:r>
          </w:p>
        </w:tc>
        <w:tc>
          <w:tcPr>
            <w:tcW w:w="2200" w:type="dxa"/>
            <w:vAlign w:val="top"/>
          </w:tcPr>
          <w:p w14:paraId="1A96D062">
            <w:pPr>
              <w:pStyle w:val="6"/>
              <w:spacing w:before="185" w:line="219" w:lineRule="auto"/>
              <w:ind w:left="25"/>
            </w:pPr>
            <w:r>
              <w:rPr>
                <w:spacing w:val="-1"/>
              </w:rPr>
              <w:t>企业生产综合能耗量</w:t>
            </w:r>
          </w:p>
        </w:tc>
        <w:tc>
          <w:tcPr>
            <w:tcW w:w="1650" w:type="dxa"/>
            <w:vAlign w:val="top"/>
          </w:tcPr>
          <w:p w14:paraId="36431850">
            <w:pPr>
              <w:pStyle w:val="6"/>
              <w:spacing w:before="185" w:line="219" w:lineRule="auto"/>
              <w:ind w:left="15"/>
            </w:pPr>
            <w:r>
              <w:rPr>
                <w:spacing w:val="-2"/>
              </w:rPr>
              <w:t>丝织品产量</w:t>
            </w:r>
          </w:p>
        </w:tc>
        <w:tc>
          <w:tcPr>
            <w:tcW w:w="660" w:type="dxa"/>
            <w:tcBorders>
              <w:right w:val="nil"/>
            </w:tcBorders>
            <w:vAlign w:val="top"/>
          </w:tcPr>
          <w:p w14:paraId="30B3E174">
            <w:pPr>
              <w:pStyle w:val="6"/>
              <w:spacing w:before="230" w:line="184" w:lineRule="auto"/>
              <w:ind w:left="265"/>
            </w:pPr>
            <w:r>
              <w:rPr>
                <w:spacing w:val="-4"/>
              </w:rPr>
              <w:t>1000</w:t>
            </w:r>
          </w:p>
        </w:tc>
      </w:tr>
      <w:tr w14:paraId="4887DC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550" w:type="dxa"/>
            <w:tcBorders>
              <w:left w:val="nil"/>
            </w:tcBorders>
            <w:vAlign w:val="top"/>
          </w:tcPr>
          <w:p w14:paraId="28DCE7F3">
            <w:pPr>
              <w:pStyle w:val="6"/>
              <w:spacing w:before="221" w:line="184" w:lineRule="auto"/>
              <w:ind w:left="90"/>
            </w:pPr>
            <w:r>
              <w:rPr>
                <w:spacing w:val="-4"/>
              </w:rPr>
              <w:t>1780</w:t>
            </w:r>
          </w:p>
        </w:tc>
        <w:tc>
          <w:tcPr>
            <w:tcW w:w="2170" w:type="dxa"/>
            <w:vAlign w:val="top"/>
          </w:tcPr>
          <w:p w14:paraId="3046FABE">
            <w:pPr>
              <w:pStyle w:val="6"/>
              <w:spacing w:before="216" w:line="219" w:lineRule="auto"/>
              <w:ind w:left="15"/>
            </w:pPr>
            <w:r>
              <w:rPr>
                <w:spacing w:val="-2"/>
              </w:rPr>
              <w:t>万米丝织品用电量</w:t>
            </w:r>
          </w:p>
        </w:tc>
        <w:tc>
          <w:tcPr>
            <w:tcW w:w="1230" w:type="dxa"/>
            <w:vAlign w:val="top"/>
          </w:tcPr>
          <w:p w14:paraId="198B8673">
            <w:pPr>
              <w:pStyle w:val="6"/>
              <w:spacing w:before="176" w:line="219" w:lineRule="auto"/>
              <w:ind w:left="15"/>
            </w:pPr>
            <w:r>
              <w:rPr>
                <w:spacing w:val="-1"/>
              </w:rPr>
              <w:t>千瓦时/万米</w:t>
            </w:r>
          </w:p>
        </w:tc>
        <w:tc>
          <w:tcPr>
            <w:tcW w:w="540" w:type="dxa"/>
            <w:vAlign w:val="top"/>
          </w:tcPr>
          <w:p w14:paraId="5A1ACAEA">
            <w:pPr>
              <w:pStyle w:val="6"/>
              <w:spacing w:before="76" w:line="219" w:lineRule="auto"/>
              <w:ind w:left="84" w:right="74"/>
            </w:pPr>
            <w:r>
              <w:rPr>
                <w:spacing w:val="-6"/>
              </w:rPr>
              <w:t>万千</w:t>
            </w:r>
            <w:r>
              <w:t xml:space="preserve"> </w:t>
            </w:r>
            <w:r>
              <w:rPr>
                <w:spacing w:val="5"/>
              </w:rPr>
              <w:t>瓦时</w:t>
            </w:r>
          </w:p>
        </w:tc>
        <w:tc>
          <w:tcPr>
            <w:tcW w:w="450" w:type="dxa"/>
            <w:vAlign w:val="top"/>
          </w:tcPr>
          <w:p w14:paraId="0A064B69">
            <w:pPr>
              <w:pStyle w:val="6"/>
              <w:spacing w:before="216" w:line="219" w:lineRule="auto"/>
              <w:ind w:left="35"/>
            </w:pPr>
            <w:r>
              <w:rPr>
                <w:spacing w:val="-3"/>
              </w:rPr>
              <w:t>万米</w:t>
            </w:r>
          </w:p>
        </w:tc>
        <w:tc>
          <w:tcPr>
            <w:tcW w:w="2200" w:type="dxa"/>
            <w:vAlign w:val="top"/>
          </w:tcPr>
          <w:p w14:paraId="28DEDCE6">
            <w:pPr>
              <w:pStyle w:val="6"/>
              <w:spacing w:before="216" w:line="219" w:lineRule="auto"/>
              <w:ind w:left="25"/>
            </w:pPr>
            <w:r>
              <w:rPr>
                <w:spacing w:val="-2"/>
              </w:rPr>
              <w:t>企业生产用电量</w:t>
            </w:r>
          </w:p>
        </w:tc>
        <w:tc>
          <w:tcPr>
            <w:tcW w:w="1650" w:type="dxa"/>
            <w:vAlign w:val="top"/>
          </w:tcPr>
          <w:p w14:paraId="24F9D710">
            <w:pPr>
              <w:pStyle w:val="6"/>
              <w:spacing w:before="176" w:line="219" w:lineRule="auto"/>
              <w:ind w:left="15"/>
            </w:pPr>
            <w:r>
              <w:rPr>
                <w:spacing w:val="-2"/>
              </w:rPr>
              <w:t>丝织品产量</w:t>
            </w:r>
          </w:p>
        </w:tc>
        <w:tc>
          <w:tcPr>
            <w:tcW w:w="660" w:type="dxa"/>
            <w:tcBorders>
              <w:right w:val="nil"/>
            </w:tcBorders>
            <w:vAlign w:val="top"/>
          </w:tcPr>
          <w:p w14:paraId="4CA5799E">
            <w:pPr>
              <w:pStyle w:val="6"/>
              <w:spacing w:before="261" w:line="184" w:lineRule="auto"/>
              <w:ind w:left="175"/>
            </w:pPr>
            <w:r>
              <w:rPr>
                <w:spacing w:val="-4"/>
              </w:rPr>
              <w:t>10000</w:t>
            </w:r>
          </w:p>
        </w:tc>
      </w:tr>
    </w:tbl>
    <w:p w14:paraId="2E7EA4E9">
      <w:pPr>
        <w:spacing w:before="90" w:line="215" w:lineRule="auto"/>
        <w:ind w:left="30"/>
        <w:rPr>
          <w:rFonts w:ascii="宋体" w:hAnsi="宋体" w:eastAsia="宋体" w:cs="宋体"/>
          <w:sz w:val="18"/>
          <w:szCs w:val="18"/>
        </w:rPr>
      </w:pPr>
      <w:r>
        <w:rPr>
          <w:rFonts w:ascii="宋体" w:hAnsi="宋体" w:eastAsia="宋体" w:cs="宋体"/>
          <w:b/>
          <w:bCs/>
          <w:spacing w:val="1"/>
          <w:sz w:val="18"/>
          <w:szCs w:val="18"/>
        </w:rPr>
        <w:t>造纸及纸制品(22)</w:t>
      </w:r>
    </w:p>
    <w:tbl>
      <w:tblPr>
        <w:tblStyle w:val="5"/>
        <w:tblW w:w="9450" w:type="dxa"/>
        <w:tblInd w:w="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4"/>
        <w:gridCol w:w="2168"/>
        <w:gridCol w:w="1229"/>
        <w:gridCol w:w="539"/>
        <w:gridCol w:w="450"/>
        <w:gridCol w:w="2198"/>
        <w:gridCol w:w="1648"/>
        <w:gridCol w:w="664"/>
      </w:tblGrid>
      <w:tr w14:paraId="22C09D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554" w:type="dxa"/>
            <w:vAlign w:val="top"/>
          </w:tcPr>
          <w:p w14:paraId="12932407">
            <w:pPr>
              <w:pStyle w:val="6"/>
              <w:spacing w:before="221" w:line="183" w:lineRule="auto"/>
              <w:ind w:left="75"/>
              <w:rPr>
                <w:sz w:val="19"/>
                <w:szCs w:val="19"/>
              </w:rPr>
            </w:pPr>
            <w:r>
              <w:rPr>
                <w:spacing w:val="-2"/>
                <w:sz w:val="19"/>
                <w:szCs w:val="19"/>
              </w:rPr>
              <w:t>2202</w:t>
            </w:r>
          </w:p>
        </w:tc>
        <w:tc>
          <w:tcPr>
            <w:tcW w:w="2168" w:type="dxa"/>
            <w:vAlign w:val="top"/>
          </w:tcPr>
          <w:p w14:paraId="25800876">
            <w:pPr>
              <w:pStyle w:val="6"/>
              <w:spacing w:before="171" w:line="219" w:lineRule="auto"/>
              <w:ind w:left="11"/>
              <w:rPr>
                <w:sz w:val="19"/>
                <w:szCs w:val="19"/>
              </w:rPr>
            </w:pPr>
            <w:r>
              <w:rPr>
                <w:spacing w:val="-1"/>
                <w:sz w:val="19"/>
                <w:szCs w:val="19"/>
              </w:rPr>
              <w:t>机制纸及纸板综合能耗</w:t>
            </w:r>
          </w:p>
        </w:tc>
        <w:tc>
          <w:tcPr>
            <w:tcW w:w="1229" w:type="dxa"/>
            <w:vAlign w:val="top"/>
          </w:tcPr>
          <w:p w14:paraId="108D6288">
            <w:pPr>
              <w:pStyle w:val="6"/>
              <w:spacing w:before="172" w:line="219" w:lineRule="auto"/>
              <w:jc w:val="right"/>
              <w:rPr>
                <w:sz w:val="19"/>
                <w:szCs w:val="19"/>
              </w:rPr>
            </w:pPr>
            <w:r>
              <w:rPr>
                <w:spacing w:val="-6"/>
                <w:sz w:val="19"/>
                <w:szCs w:val="19"/>
              </w:rPr>
              <w:t>千克标准煤/吨</w:t>
            </w:r>
          </w:p>
        </w:tc>
        <w:tc>
          <w:tcPr>
            <w:tcW w:w="539" w:type="dxa"/>
            <w:vAlign w:val="top"/>
          </w:tcPr>
          <w:p w14:paraId="2625450D">
            <w:pPr>
              <w:pStyle w:val="6"/>
              <w:spacing w:before="73" w:line="217" w:lineRule="auto"/>
              <w:ind w:left="74" w:right="67"/>
              <w:rPr>
                <w:sz w:val="19"/>
                <w:szCs w:val="19"/>
              </w:rPr>
            </w:pPr>
            <w:r>
              <w:rPr>
                <w:spacing w:val="3"/>
                <w:sz w:val="19"/>
                <w:szCs w:val="19"/>
              </w:rPr>
              <w:t>吨标</w:t>
            </w:r>
            <w:r>
              <w:rPr>
                <w:sz w:val="19"/>
                <w:szCs w:val="19"/>
              </w:rPr>
              <w:t xml:space="preserve"> </w:t>
            </w:r>
            <w:r>
              <w:rPr>
                <w:spacing w:val="-3"/>
                <w:sz w:val="19"/>
                <w:szCs w:val="19"/>
              </w:rPr>
              <w:t>准煤</w:t>
            </w:r>
          </w:p>
        </w:tc>
        <w:tc>
          <w:tcPr>
            <w:tcW w:w="450" w:type="dxa"/>
            <w:vAlign w:val="top"/>
          </w:tcPr>
          <w:p w14:paraId="35FE9CF4">
            <w:pPr>
              <w:pStyle w:val="6"/>
              <w:spacing w:before="182" w:line="229" w:lineRule="auto"/>
              <w:ind w:left="125"/>
              <w:rPr>
                <w:sz w:val="19"/>
                <w:szCs w:val="19"/>
              </w:rPr>
            </w:pPr>
            <w:r>
              <w:rPr>
                <w:sz w:val="19"/>
                <w:szCs w:val="19"/>
              </w:rPr>
              <w:t>吨</w:t>
            </w:r>
          </w:p>
        </w:tc>
        <w:tc>
          <w:tcPr>
            <w:tcW w:w="2198" w:type="dxa"/>
            <w:vAlign w:val="top"/>
          </w:tcPr>
          <w:p w14:paraId="4D34D768">
            <w:pPr>
              <w:pStyle w:val="6"/>
              <w:spacing w:before="172" w:line="219" w:lineRule="auto"/>
              <w:ind w:left="25"/>
              <w:rPr>
                <w:sz w:val="19"/>
                <w:szCs w:val="19"/>
              </w:rPr>
            </w:pPr>
            <w:r>
              <w:rPr>
                <w:spacing w:val="-2"/>
                <w:sz w:val="19"/>
                <w:szCs w:val="19"/>
              </w:rPr>
              <w:t>企业生产综合能耗</w:t>
            </w:r>
          </w:p>
        </w:tc>
        <w:tc>
          <w:tcPr>
            <w:tcW w:w="1648" w:type="dxa"/>
            <w:vAlign w:val="top"/>
          </w:tcPr>
          <w:p w14:paraId="4B5F2C4C">
            <w:pPr>
              <w:pStyle w:val="6"/>
              <w:spacing w:before="81" w:line="213" w:lineRule="auto"/>
              <w:ind w:left="7" w:right="1"/>
              <w:rPr>
                <w:sz w:val="19"/>
                <w:szCs w:val="19"/>
              </w:rPr>
            </w:pPr>
            <w:r>
              <w:rPr>
                <w:spacing w:val="1"/>
                <w:sz w:val="19"/>
                <w:szCs w:val="19"/>
              </w:rPr>
              <w:t>机制纸及纸板(外购</w:t>
            </w:r>
            <w:r>
              <w:rPr>
                <w:spacing w:val="4"/>
                <w:sz w:val="19"/>
                <w:szCs w:val="19"/>
              </w:rPr>
              <w:t xml:space="preserve"> </w:t>
            </w:r>
            <w:r>
              <w:rPr>
                <w:spacing w:val="1"/>
                <w:sz w:val="19"/>
                <w:szCs w:val="19"/>
              </w:rPr>
              <w:t>原纸加工除外)产量</w:t>
            </w:r>
          </w:p>
        </w:tc>
        <w:tc>
          <w:tcPr>
            <w:tcW w:w="664" w:type="dxa"/>
            <w:vAlign w:val="top"/>
          </w:tcPr>
          <w:p w14:paraId="79A492A6">
            <w:pPr>
              <w:pStyle w:val="6"/>
              <w:spacing w:before="220" w:line="184" w:lineRule="auto"/>
              <w:ind w:right="21"/>
              <w:jc w:val="right"/>
              <w:rPr>
                <w:sz w:val="19"/>
                <w:szCs w:val="19"/>
              </w:rPr>
            </w:pPr>
            <w:r>
              <w:rPr>
                <w:spacing w:val="-5"/>
                <w:sz w:val="19"/>
                <w:szCs w:val="19"/>
              </w:rPr>
              <w:t>1000</w:t>
            </w:r>
          </w:p>
        </w:tc>
      </w:tr>
      <w:tr w14:paraId="00F274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554" w:type="dxa"/>
            <w:vAlign w:val="top"/>
          </w:tcPr>
          <w:p w14:paraId="21888E86">
            <w:pPr>
              <w:pStyle w:val="6"/>
              <w:spacing w:before="270" w:line="184" w:lineRule="auto"/>
              <w:ind w:left="75"/>
              <w:rPr>
                <w:sz w:val="19"/>
                <w:szCs w:val="19"/>
              </w:rPr>
            </w:pPr>
            <w:r>
              <w:rPr>
                <w:spacing w:val="-2"/>
                <w:sz w:val="19"/>
                <w:szCs w:val="19"/>
              </w:rPr>
              <w:t>2201</w:t>
            </w:r>
          </w:p>
        </w:tc>
        <w:tc>
          <w:tcPr>
            <w:tcW w:w="2168" w:type="dxa"/>
            <w:vAlign w:val="top"/>
          </w:tcPr>
          <w:p w14:paraId="6F6C13DA">
            <w:pPr>
              <w:pStyle w:val="6"/>
              <w:spacing w:before="201" w:line="219" w:lineRule="auto"/>
              <w:ind w:left="11"/>
              <w:rPr>
                <w:sz w:val="19"/>
                <w:szCs w:val="19"/>
              </w:rPr>
            </w:pPr>
            <w:r>
              <w:rPr>
                <w:spacing w:val="-1"/>
                <w:sz w:val="19"/>
                <w:szCs w:val="19"/>
              </w:rPr>
              <w:t>机制纸及纸板耗电</w:t>
            </w:r>
          </w:p>
        </w:tc>
        <w:tc>
          <w:tcPr>
            <w:tcW w:w="1229" w:type="dxa"/>
            <w:vAlign w:val="top"/>
          </w:tcPr>
          <w:p w14:paraId="45E2EEE4">
            <w:pPr>
              <w:pStyle w:val="6"/>
              <w:spacing w:before="163" w:line="221" w:lineRule="auto"/>
              <w:ind w:left="23"/>
              <w:rPr>
                <w:sz w:val="19"/>
                <w:szCs w:val="19"/>
              </w:rPr>
            </w:pPr>
            <w:r>
              <w:rPr>
                <w:spacing w:val="-2"/>
                <w:sz w:val="19"/>
                <w:szCs w:val="19"/>
              </w:rPr>
              <w:t>千瓦时/吨</w:t>
            </w:r>
          </w:p>
        </w:tc>
        <w:tc>
          <w:tcPr>
            <w:tcW w:w="539" w:type="dxa"/>
            <w:vAlign w:val="top"/>
          </w:tcPr>
          <w:p w14:paraId="65B669A5">
            <w:pPr>
              <w:pStyle w:val="6"/>
              <w:spacing w:before="84" w:line="202" w:lineRule="auto"/>
              <w:ind w:left="74" w:right="63"/>
              <w:rPr>
                <w:sz w:val="19"/>
                <w:szCs w:val="19"/>
              </w:rPr>
            </w:pPr>
            <w:r>
              <w:rPr>
                <w:spacing w:val="4"/>
                <w:sz w:val="19"/>
                <w:szCs w:val="19"/>
              </w:rPr>
              <w:t>万千</w:t>
            </w:r>
            <w:r>
              <w:rPr>
                <w:sz w:val="19"/>
                <w:szCs w:val="19"/>
              </w:rPr>
              <w:t xml:space="preserve"> </w:t>
            </w:r>
            <w:r>
              <w:rPr>
                <w:spacing w:val="5"/>
                <w:sz w:val="19"/>
                <w:szCs w:val="19"/>
              </w:rPr>
              <w:t>瓦时</w:t>
            </w:r>
          </w:p>
        </w:tc>
        <w:tc>
          <w:tcPr>
            <w:tcW w:w="450" w:type="dxa"/>
            <w:vAlign w:val="top"/>
          </w:tcPr>
          <w:p w14:paraId="632B578C">
            <w:pPr>
              <w:pStyle w:val="6"/>
              <w:spacing w:before="212" w:line="229" w:lineRule="auto"/>
              <w:ind w:left="125"/>
              <w:rPr>
                <w:sz w:val="19"/>
                <w:szCs w:val="19"/>
              </w:rPr>
            </w:pPr>
            <w:r>
              <w:rPr>
                <w:sz w:val="19"/>
                <w:szCs w:val="19"/>
              </w:rPr>
              <w:t>吨</w:t>
            </w:r>
          </w:p>
        </w:tc>
        <w:tc>
          <w:tcPr>
            <w:tcW w:w="2198" w:type="dxa"/>
            <w:vAlign w:val="top"/>
          </w:tcPr>
          <w:p w14:paraId="0F62401A">
            <w:pPr>
              <w:pStyle w:val="6"/>
              <w:spacing w:before="212" w:line="219" w:lineRule="auto"/>
              <w:ind w:left="25"/>
              <w:rPr>
                <w:sz w:val="19"/>
                <w:szCs w:val="19"/>
              </w:rPr>
            </w:pPr>
            <w:r>
              <w:rPr>
                <w:spacing w:val="-2"/>
                <w:sz w:val="19"/>
                <w:szCs w:val="19"/>
              </w:rPr>
              <w:t>企业生产用电量</w:t>
            </w:r>
          </w:p>
        </w:tc>
        <w:tc>
          <w:tcPr>
            <w:tcW w:w="1648" w:type="dxa"/>
            <w:vAlign w:val="top"/>
          </w:tcPr>
          <w:p w14:paraId="7E38EA24">
            <w:pPr>
              <w:pStyle w:val="6"/>
              <w:spacing w:before="71" w:line="208" w:lineRule="auto"/>
              <w:ind w:left="7" w:right="1"/>
              <w:rPr>
                <w:sz w:val="19"/>
                <w:szCs w:val="19"/>
              </w:rPr>
            </w:pPr>
            <w:r>
              <w:rPr>
                <w:spacing w:val="1"/>
                <w:sz w:val="19"/>
                <w:szCs w:val="19"/>
              </w:rPr>
              <w:t>机制纸及纸板(外购</w:t>
            </w:r>
            <w:r>
              <w:rPr>
                <w:spacing w:val="4"/>
                <w:sz w:val="19"/>
                <w:szCs w:val="19"/>
              </w:rPr>
              <w:t xml:space="preserve"> </w:t>
            </w:r>
            <w:r>
              <w:rPr>
                <w:spacing w:val="1"/>
                <w:sz w:val="19"/>
                <w:szCs w:val="19"/>
              </w:rPr>
              <w:t>原纸加工除外)产量</w:t>
            </w:r>
          </w:p>
        </w:tc>
        <w:tc>
          <w:tcPr>
            <w:tcW w:w="664" w:type="dxa"/>
            <w:vAlign w:val="top"/>
          </w:tcPr>
          <w:p w14:paraId="013EC8BF">
            <w:pPr>
              <w:pStyle w:val="6"/>
              <w:spacing w:before="270" w:line="184" w:lineRule="auto"/>
              <w:ind w:right="27"/>
              <w:jc w:val="right"/>
              <w:rPr>
                <w:sz w:val="19"/>
                <w:szCs w:val="19"/>
              </w:rPr>
            </w:pPr>
            <w:r>
              <w:rPr>
                <w:spacing w:val="-4"/>
                <w:sz w:val="19"/>
                <w:szCs w:val="19"/>
              </w:rPr>
              <w:t>10000</w:t>
            </w:r>
          </w:p>
        </w:tc>
      </w:tr>
    </w:tbl>
    <w:p w14:paraId="146D148A">
      <w:pPr>
        <w:spacing w:before="80" w:line="221" w:lineRule="auto"/>
        <w:rPr>
          <w:rFonts w:ascii="宋体" w:hAnsi="宋体" w:eastAsia="宋体" w:cs="宋体"/>
          <w:sz w:val="18"/>
          <w:szCs w:val="18"/>
        </w:rPr>
      </w:pPr>
      <w:r>
        <w:rPr>
          <w:rFonts w:ascii="宋体" w:hAnsi="宋体" w:eastAsia="宋体" w:cs="宋体"/>
          <w:b/>
          <w:bCs/>
          <w:spacing w:val="-4"/>
          <w:sz w:val="18"/>
          <w:szCs w:val="18"/>
        </w:rPr>
        <w:t>焦炭(25</w:t>
      </w:r>
    </w:p>
    <w:p w14:paraId="2BE79195">
      <w:pPr>
        <w:spacing w:line="33" w:lineRule="exact"/>
      </w:pPr>
    </w:p>
    <w:tbl>
      <w:tblPr>
        <w:tblStyle w:val="5"/>
        <w:tblW w:w="9450" w:type="dxa"/>
        <w:tblInd w:w="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0"/>
        <w:gridCol w:w="2170"/>
        <w:gridCol w:w="1230"/>
        <w:gridCol w:w="540"/>
        <w:gridCol w:w="450"/>
        <w:gridCol w:w="2200"/>
        <w:gridCol w:w="1650"/>
        <w:gridCol w:w="660"/>
      </w:tblGrid>
      <w:tr w14:paraId="0D9F55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550" w:type="dxa"/>
            <w:tcBorders>
              <w:left w:val="nil"/>
            </w:tcBorders>
            <w:vAlign w:val="top"/>
          </w:tcPr>
          <w:p w14:paraId="14BBBE1C">
            <w:pPr>
              <w:pStyle w:val="6"/>
              <w:spacing w:before="267" w:line="184" w:lineRule="auto"/>
              <w:ind w:left="100"/>
            </w:pPr>
            <w:r>
              <w:rPr>
                <w:spacing w:val="-2"/>
              </w:rPr>
              <w:t>2501</w:t>
            </w:r>
          </w:p>
        </w:tc>
        <w:tc>
          <w:tcPr>
            <w:tcW w:w="2170" w:type="dxa"/>
            <w:vAlign w:val="top"/>
          </w:tcPr>
          <w:p w14:paraId="301BDE69">
            <w:pPr>
              <w:pStyle w:val="6"/>
              <w:spacing w:before="162" w:line="219" w:lineRule="auto"/>
              <w:ind w:left="15"/>
            </w:pPr>
            <w:r>
              <w:rPr>
                <w:spacing w:val="-1"/>
              </w:rPr>
              <w:t>炼焦工序单位能耗</w:t>
            </w:r>
          </w:p>
        </w:tc>
        <w:tc>
          <w:tcPr>
            <w:tcW w:w="1230" w:type="dxa"/>
            <w:vAlign w:val="top"/>
          </w:tcPr>
          <w:p w14:paraId="062A0925">
            <w:pPr>
              <w:pStyle w:val="6"/>
              <w:spacing w:before="162" w:line="219" w:lineRule="auto"/>
              <w:ind w:left="35"/>
            </w:pPr>
            <w:r>
              <w:rPr>
                <w:spacing w:val="-1"/>
              </w:rPr>
              <w:t>千克标准煤/吨</w:t>
            </w:r>
          </w:p>
        </w:tc>
        <w:tc>
          <w:tcPr>
            <w:tcW w:w="540" w:type="dxa"/>
            <w:vAlign w:val="top"/>
          </w:tcPr>
          <w:p w14:paraId="4005B2DA">
            <w:pPr>
              <w:pStyle w:val="6"/>
              <w:spacing w:before="73" w:line="213" w:lineRule="auto"/>
              <w:ind w:left="84" w:right="77"/>
            </w:pPr>
            <w:r>
              <w:rPr>
                <w:spacing w:val="3"/>
              </w:rPr>
              <w:t>吨标</w:t>
            </w:r>
            <w:r>
              <w:t xml:space="preserve"> </w:t>
            </w:r>
            <w:r>
              <w:rPr>
                <w:spacing w:val="-3"/>
              </w:rPr>
              <w:t>准煤</w:t>
            </w:r>
          </w:p>
        </w:tc>
        <w:tc>
          <w:tcPr>
            <w:tcW w:w="450" w:type="dxa"/>
            <w:vAlign w:val="top"/>
          </w:tcPr>
          <w:p w14:paraId="1EBFBB11">
            <w:pPr>
              <w:pStyle w:val="6"/>
              <w:spacing w:before="211" w:line="229" w:lineRule="auto"/>
              <w:ind w:left="125"/>
            </w:pPr>
            <w:r>
              <w:t>吨</w:t>
            </w:r>
          </w:p>
        </w:tc>
        <w:tc>
          <w:tcPr>
            <w:tcW w:w="2200" w:type="dxa"/>
            <w:vAlign w:val="top"/>
          </w:tcPr>
          <w:p w14:paraId="7FCA9425">
            <w:pPr>
              <w:pStyle w:val="6"/>
              <w:spacing w:before="162" w:line="219" w:lineRule="auto"/>
              <w:ind w:left="25"/>
            </w:pPr>
            <w:r>
              <w:rPr>
                <w:spacing w:val="-1"/>
              </w:rPr>
              <w:t>炼焦工序净耗能量</w:t>
            </w:r>
          </w:p>
        </w:tc>
        <w:tc>
          <w:tcPr>
            <w:tcW w:w="1650" w:type="dxa"/>
            <w:vAlign w:val="top"/>
          </w:tcPr>
          <w:p w14:paraId="0D05BFFC">
            <w:pPr>
              <w:pStyle w:val="6"/>
              <w:spacing w:before="222" w:line="219" w:lineRule="auto"/>
              <w:ind w:left="15"/>
            </w:pPr>
            <w:r>
              <w:rPr>
                <w:spacing w:val="-1"/>
              </w:rPr>
              <w:t>全部焦炭合格产出量</w:t>
            </w:r>
          </w:p>
        </w:tc>
        <w:tc>
          <w:tcPr>
            <w:tcW w:w="660" w:type="dxa"/>
            <w:tcBorders>
              <w:right w:val="nil"/>
            </w:tcBorders>
            <w:vAlign w:val="top"/>
          </w:tcPr>
          <w:p w14:paraId="24861F59">
            <w:pPr>
              <w:pStyle w:val="6"/>
              <w:spacing w:before="277" w:line="184" w:lineRule="auto"/>
              <w:ind w:right="25"/>
              <w:jc w:val="right"/>
            </w:pPr>
            <w:r>
              <w:rPr>
                <w:spacing w:val="-4"/>
              </w:rPr>
              <w:t>1000</w:t>
            </w:r>
          </w:p>
        </w:tc>
      </w:tr>
    </w:tbl>
    <w:p w14:paraId="790E831D">
      <w:pPr>
        <w:spacing w:before="113" w:line="192" w:lineRule="auto"/>
        <w:ind w:left="40"/>
        <w:rPr>
          <w:rFonts w:ascii="宋体" w:hAnsi="宋体" w:eastAsia="宋体" w:cs="宋体"/>
          <w:sz w:val="18"/>
          <w:szCs w:val="18"/>
        </w:rPr>
      </w:pPr>
      <w:r>
        <w:rPr>
          <w:rFonts w:ascii="宋体" w:hAnsi="宋体" w:eastAsia="宋体" w:cs="宋体"/>
          <w:b/>
          <w:bCs/>
          <w:spacing w:val="2"/>
          <w:sz w:val="18"/>
          <w:szCs w:val="18"/>
        </w:rPr>
        <w:t>原油加工(25)</w:t>
      </w:r>
    </w:p>
    <w:tbl>
      <w:tblPr>
        <w:tblStyle w:val="5"/>
        <w:tblW w:w="9450" w:type="dxa"/>
        <w:tblInd w:w="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4"/>
        <w:gridCol w:w="2168"/>
        <w:gridCol w:w="1229"/>
        <w:gridCol w:w="539"/>
        <w:gridCol w:w="450"/>
        <w:gridCol w:w="2198"/>
        <w:gridCol w:w="1648"/>
        <w:gridCol w:w="664"/>
      </w:tblGrid>
      <w:tr w14:paraId="58C0F5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554" w:type="dxa"/>
            <w:vAlign w:val="top"/>
          </w:tcPr>
          <w:p w14:paraId="34D8FB3A">
            <w:pPr>
              <w:pStyle w:val="6"/>
              <w:spacing w:before="228" w:line="183" w:lineRule="auto"/>
              <w:ind w:left="85"/>
            </w:pPr>
            <w:r>
              <w:rPr>
                <w:spacing w:val="-2"/>
              </w:rPr>
              <w:t>2503</w:t>
            </w:r>
          </w:p>
        </w:tc>
        <w:tc>
          <w:tcPr>
            <w:tcW w:w="2168" w:type="dxa"/>
            <w:vAlign w:val="top"/>
          </w:tcPr>
          <w:p w14:paraId="72CDDEB0">
            <w:pPr>
              <w:pStyle w:val="6"/>
              <w:spacing w:before="182" w:line="219" w:lineRule="auto"/>
              <w:ind w:left="21"/>
            </w:pPr>
            <w:r>
              <w:rPr>
                <w:spacing w:val="-2"/>
              </w:rPr>
              <w:t>原油加工单位综合能耗</w:t>
            </w:r>
          </w:p>
        </w:tc>
        <w:tc>
          <w:tcPr>
            <w:tcW w:w="1229" w:type="dxa"/>
            <w:vAlign w:val="top"/>
          </w:tcPr>
          <w:p w14:paraId="4F4DECD6">
            <w:pPr>
              <w:pStyle w:val="6"/>
              <w:spacing w:before="182" w:line="219" w:lineRule="auto"/>
              <w:ind w:left="23"/>
            </w:pPr>
            <w:r>
              <w:rPr>
                <w:spacing w:val="-1"/>
              </w:rPr>
              <w:t>千克标准油/吨</w:t>
            </w:r>
          </w:p>
        </w:tc>
        <w:tc>
          <w:tcPr>
            <w:tcW w:w="539" w:type="dxa"/>
            <w:vAlign w:val="top"/>
          </w:tcPr>
          <w:p w14:paraId="1975E7FB">
            <w:pPr>
              <w:pStyle w:val="6"/>
              <w:spacing w:before="73" w:line="229" w:lineRule="auto"/>
              <w:ind w:left="83" w:right="66"/>
            </w:pPr>
            <w:r>
              <w:rPr>
                <w:spacing w:val="3"/>
              </w:rPr>
              <w:t>吨标</w:t>
            </w:r>
            <w:r>
              <w:t xml:space="preserve"> </w:t>
            </w:r>
            <w:r>
              <w:rPr>
                <w:spacing w:val="9"/>
              </w:rPr>
              <w:t>准油</w:t>
            </w:r>
          </w:p>
        </w:tc>
        <w:tc>
          <w:tcPr>
            <w:tcW w:w="450" w:type="dxa"/>
            <w:vAlign w:val="top"/>
          </w:tcPr>
          <w:p w14:paraId="4D7EC536">
            <w:pPr>
              <w:pStyle w:val="6"/>
              <w:spacing w:before="191" w:line="229" w:lineRule="auto"/>
              <w:ind w:left="125"/>
            </w:pPr>
            <w:r>
              <w:t>吨</w:t>
            </w:r>
          </w:p>
        </w:tc>
        <w:tc>
          <w:tcPr>
            <w:tcW w:w="2198" w:type="dxa"/>
            <w:vAlign w:val="top"/>
          </w:tcPr>
          <w:p w14:paraId="174440E7">
            <w:pPr>
              <w:pStyle w:val="6"/>
              <w:spacing w:before="182" w:line="219" w:lineRule="auto"/>
              <w:ind w:left="25"/>
            </w:pPr>
            <w:r>
              <w:rPr>
                <w:spacing w:val="-2"/>
              </w:rPr>
              <w:t>综合能耗量</w:t>
            </w:r>
          </w:p>
        </w:tc>
        <w:tc>
          <w:tcPr>
            <w:tcW w:w="1648" w:type="dxa"/>
            <w:vAlign w:val="top"/>
          </w:tcPr>
          <w:p w14:paraId="28494531">
            <w:pPr>
              <w:pStyle w:val="6"/>
              <w:spacing w:before="83" w:line="224" w:lineRule="auto"/>
              <w:ind w:left="17"/>
            </w:pPr>
            <w:r>
              <w:t xml:space="preserve">原油及外购原料油加 </w:t>
            </w:r>
            <w:r>
              <w:rPr>
                <w:spacing w:val="-4"/>
              </w:rPr>
              <w:t>工量</w:t>
            </w:r>
          </w:p>
        </w:tc>
        <w:tc>
          <w:tcPr>
            <w:tcW w:w="664" w:type="dxa"/>
            <w:vAlign w:val="top"/>
          </w:tcPr>
          <w:p w14:paraId="0F05BA79">
            <w:pPr>
              <w:pStyle w:val="6"/>
              <w:spacing w:before="227" w:line="184" w:lineRule="auto"/>
              <w:ind w:right="20"/>
              <w:jc w:val="right"/>
            </w:pPr>
            <w:r>
              <w:rPr>
                <w:spacing w:val="-4"/>
              </w:rPr>
              <w:t>1000</w:t>
            </w:r>
          </w:p>
        </w:tc>
      </w:tr>
      <w:tr w14:paraId="5861F0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554" w:type="dxa"/>
            <w:vAlign w:val="top"/>
          </w:tcPr>
          <w:p w14:paraId="799EA70E">
            <w:pPr>
              <w:pStyle w:val="6"/>
              <w:spacing w:before="278" w:line="183" w:lineRule="auto"/>
              <w:ind w:left="85"/>
            </w:pPr>
            <w:r>
              <w:rPr>
                <w:spacing w:val="-2"/>
              </w:rPr>
              <w:t>2502</w:t>
            </w:r>
          </w:p>
        </w:tc>
        <w:tc>
          <w:tcPr>
            <w:tcW w:w="2168" w:type="dxa"/>
            <w:vAlign w:val="top"/>
          </w:tcPr>
          <w:p w14:paraId="2C72712F">
            <w:pPr>
              <w:pStyle w:val="6"/>
              <w:spacing w:before="222" w:line="219" w:lineRule="auto"/>
              <w:ind w:left="21"/>
            </w:pPr>
            <w:r>
              <w:rPr>
                <w:spacing w:val="1"/>
              </w:rPr>
              <w:t>原油加工单位耗电</w:t>
            </w:r>
          </w:p>
        </w:tc>
        <w:tc>
          <w:tcPr>
            <w:tcW w:w="1229" w:type="dxa"/>
            <w:vAlign w:val="top"/>
          </w:tcPr>
          <w:p w14:paraId="6569353F">
            <w:pPr>
              <w:pStyle w:val="6"/>
              <w:spacing w:before="213" w:line="221" w:lineRule="auto"/>
              <w:ind w:left="23"/>
            </w:pPr>
            <w:r>
              <w:rPr>
                <w:spacing w:val="-2"/>
              </w:rPr>
              <w:t>千瓦时/吨</w:t>
            </w:r>
          </w:p>
        </w:tc>
        <w:tc>
          <w:tcPr>
            <w:tcW w:w="539" w:type="dxa"/>
            <w:vAlign w:val="top"/>
          </w:tcPr>
          <w:p w14:paraId="22187967">
            <w:pPr>
              <w:pStyle w:val="6"/>
              <w:spacing w:before="82" w:line="219" w:lineRule="auto"/>
              <w:ind w:left="83" w:right="74"/>
            </w:pPr>
            <w:r>
              <w:rPr>
                <w:spacing w:val="-6"/>
              </w:rPr>
              <w:t>万千</w:t>
            </w:r>
            <w:r>
              <w:t xml:space="preserve"> </w:t>
            </w:r>
            <w:r>
              <w:rPr>
                <w:spacing w:val="5"/>
              </w:rPr>
              <w:t>瓦时</w:t>
            </w:r>
          </w:p>
        </w:tc>
        <w:tc>
          <w:tcPr>
            <w:tcW w:w="450" w:type="dxa"/>
            <w:vAlign w:val="top"/>
          </w:tcPr>
          <w:p w14:paraId="4DA3463F">
            <w:pPr>
              <w:pStyle w:val="6"/>
              <w:spacing w:before="231" w:line="229" w:lineRule="auto"/>
              <w:ind w:left="125"/>
            </w:pPr>
            <w:r>
              <w:t>吨</w:t>
            </w:r>
          </w:p>
        </w:tc>
        <w:tc>
          <w:tcPr>
            <w:tcW w:w="2198" w:type="dxa"/>
            <w:vAlign w:val="top"/>
          </w:tcPr>
          <w:p w14:paraId="77A35317">
            <w:pPr>
              <w:pStyle w:val="6"/>
              <w:spacing w:before="222" w:line="219" w:lineRule="auto"/>
              <w:ind w:left="25"/>
            </w:pPr>
            <w:r>
              <w:rPr>
                <w:spacing w:val="-1"/>
              </w:rPr>
              <w:t>炼油系统电消耗量</w:t>
            </w:r>
          </w:p>
        </w:tc>
        <w:tc>
          <w:tcPr>
            <w:tcW w:w="1648" w:type="dxa"/>
            <w:vAlign w:val="top"/>
          </w:tcPr>
          <w:p w14:paraId="0F877916">
            <w:pPr>
              <w:pStyle w:val="6"/>
              <w:spacing w:before="82" w:line="219" w:lineRule="auto"/>
              <w:ind w:left="17"/>
            </w:pPr>
            <w:r>
              <w:t xml:space="preserve">原油及外购原料油加 </w:t>
            </w:r>
            <w:r>
              <w:rPr>
                <w:spacing w:val="-4"/>
              </w:rPr>
              <w:t>工量</w:t>
            </w:r>
          </w:p>
        </w:tc>
        <w:tc>
          <w:tcPr>
            <w:tcW w:w="664" w:type="dxa"/>
            <w:vAlign w:val="top"/>
          </w:tcPr>
          <w:p w14:paraId="3781FE2E">
            <w:pPr>
              <w:pStyle w:val="6"/>
              <w:spacing w:before="267" w:line="184" w:lineRule="auto"/>
              <w:ind w:right="21"/>
              <w:jc w:val="right"/>
            </w:pPr>
            <w:r>
              <w:rPr>
                <w:spacing w:val="-4"/>
              </w:rPr>
              <w:t>10000</w:t>
            </w:r>
          </w:p>
        </w:tc>
      </w:tr>
    </w:tbl>
    <w:p w14:paraId="399C5FC7">
      <w:pPr>
        <w:spacing w:before="119" w:line="206" w:lineRule="auto"/>
        <w:ind w:left="30"/>
        <w:rPr>
          <w:rFonts w:ascii="宋体" w:hAnsi="宋体" w:eastAsia="宋体" w:cs="宋体"/>
          <w:sz w:val="18"/>
          <w:szCs w:val="18"/>
        </w:rPr>
      </w:pPr>
      <w:r>
        <w:rPr>
          <w:rFonts w:ascii="宋体" w:hAnsi="宋体" w:eastAsia="宋体" w:cs="宋体"/>
          <w:b/>
          <w:bCs/>
          <w:spacing w:val="3"/>
          <w:sz w:val="18"/>
          <w:szCs w:val="18"/>
        </w:rPr>
        <w:t>无机碱(26)</w:t>
      </w:r>
    </w:p>
    <w:tbl>
      <w:tblPr>
        <w:tblStyle w:val="5"/>
        <w:tblW w:w="9450" w:type="dxa"/>
        <w:tblInd w:w="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4"/>
        <w:gridCol w:w="2168"/>
        <w:gridCol w:w="1229"/>
        <w:gridCol w:w="539"/>
        <w:gridCol w:w="450"/>
        <w:gridCol w:w="2198"/>
        <w:gridCol w:w="1648"/>
        <w:gridCol w:w="664"/>
      </w:tblGrid>
      <w:tr w14:paraId="131F5B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554" w:type="dxa"/>
            <w:vAlign w:val="top"/>
          </w:tcPr>
          <w:p w14:paraId="0F5318C6">
            <w:pPr>
              <w:pStyle w:val="6"/>
              <w:spacing w:before="217" w:line="184" w:lineRule="auto"/>
              <w:ind w:left="85"/>
            </w:pPr>
            <w:r>
              <w:rPr>
                <w:spacing w:val="-2"/>
              </w:rPr>
              <w:t>2601</w:t>
            </w:r>
          </w:p>
        </w:tc>
        <w:tc>
          <w:tcPr>
            <w:tcW w:w="2168" w:type="dxa"/>
            <w:vAlign w:val="top"/>
          </w:tcPr>
          <w:p w14:paraId="6FDBD4EE">
            <w:pPr>
              <w:pStyle w:val="6"/>
              <w:spacing w:before="61" w:line="227" w:lineRule="auto"/>
              <w:ind w:left="11" w:right="85"/>
            </w:pPr>
            <w:r>
              <w:rPr>
                <w:spacing w:val="-1"/>
              </w:rPr>
              <w:t>单位烧碱生产综合能耗(离</w:t>
            </w:r>
            <w:r>
              <w:rPr>
                <w:spacing w:val="2"/>
              </w:rPr>
              <w:t xml:space="preserve"> </w:t>
            </w:r>
            <w:r>
              <w:rPr>
                <w:spacing w:val="5"/>
              </w:rPr>
              <w:t>子膜法30%)</w:t>
            </w:r>
          </w:p>
        </w:tc>
        <w:tc>
          <w:tcPr>
            <w:tcW w:w="1229" w:type="dxa"/>
            <w:vAlign w:val="top"/>
          </w:tcPr>
          <w:p w14:paraId="31222548">
            <w:pPr>
              <w:pStyle w:val="6"/>
              <w:spacing w:before="172" w:line="219" w:lineRule="auto"/>
              <w:ind w:left="33"/>
            </w:pPr>
            <w:r>
              <w:rPr>
                <w:spacing w:val="-1"/>
              </w:rPr>
              <w:t>千克标准煤/吨</w:t>
            </w:r>
          </w:p>
        </w:tc>
        <w:tc>
          <w:tcPr>
            <w:tcW w:w="539" w:type="dxa"/>
            <w:vAlign w:val="top"/>
          </w:tcPr>
          <w:p w14:paraId="7E267BAF">
            <w:pPr>
              <w:pStyle w:val="6"/>
              <w:spacing w:before="53" w:line="231" w:lineRule="auto"/>
              <w:ind w:left="83" w:right="77"/>
            </w:pPr>
            <w:r>
              <w:rPr>
                <w:spacing w:val="3"/>
              </w:rPr>
              <w:t>吨标</w:t>
            </w:r>
            <w:r>
              <w:t xml:space="preserve"> </w:t>
            </w:r>
            <w:r>
              <w:rPr>
                <w:spacing w:val="-3"/>
              </w:rPr>
              <w:t>准煤</w:t>
            </w:r>
          </w:p>
        </w:tc>
        <w:tc>
          <w:tcPr>
            <w:tcW w:w="450" w:type="dxa"/>
            <w:vAlign w:val="top"/>
          </w:tcPr>
          <w:p w14:paraId="7D01CBFF">
            <w:pPr>
              <w:pStyle w:val="6"/>
              <w:spacing w:before="181" w:line="229" w:lineRule="auto"/>
              <w:ind w:left="125"/>
            </w:pPr>
            <w:r>
              <w:t>吨</w:t>
            </w:r>
          </w:p>
        </w:tc>
        <w:tc>
          <w:tcPr>
            <w:tcW w:w="2198" w:type="dxa"/>
            <w:vAlign w:val="top"/>
          </w:tcPr>
          <w:p w14:paraId="7955AC2A">
            <w:pPr>
              <w:pStyle w:val="6"/>
              <w:spacing w:before="171" w:line="219" w:lineRule="auto"/>
              <w:ind w:left="25"/>
            </w:pPr>
            <w:r>
              <w:rPr>
                <w:spacing w:val="-1"/>
              </w:rPr>
              <w:t>烧碱综合能源消耗量</w:t>
            </w:r>
          </w:p>
        </w:tc>
        <w:tc>
          <w:tcPr>
            <w:tcW w:w="1648" w:type="dxa"/>
            <w:vAlign w:val="top"/>
          </w:tcPr>
          <w:p w14:paraId="3E8738EE">
            <w:pPr>
              <w:pStyle w:val="6"/>
              <w:spacing w:before="171" w:line="219" w:lineRule="auto"/>
              <w:ind w:left="17"/>
            </w:pPr>
            <w:r>
              <w:rPr>
                <w:spacing w:val="-1"/>
              </w:rPr>
              <w:t>烧碱(折100%)产量</w:t>
            </w:r>
          </w:p>
        </w:tc>
        <w:tc>
          <w:tcPr>
            <w:tcW w:w="664" w:type="dxa"/>
            <w:vAlign w:val="top"/>
          </w:tcPr>
          <w:p w14:paraId="228A5287">
            <w:pPr>
              <w:pStyle w:val="6"/>
              <w:spacing w:before="277" w:line="184" w:lineRule="auto"/>
              <w:ind w:right="20"/>
              <w:jc w:val="right"/>
            </w:pPr>
            <w:r>
              <w:rPr>
                <w:spacing w:val="-4"/>
              </w:rPr>
              <w:t>1000</w:t>
            </w:r>
          </w:p>
        </w:tc>
      </w:tr>
      <w:tr w14:paraId="68020A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554" w:type="dxa"/>
            <w:vAlign w:val="top"/>
          </w:tcPr>
          <w:p w14:paraId="086EE36A">
            <w:pPr>
              <w:pStyle w:val="6"/>
              <w:spacing w:before="224" w:line="183" w:lineRule="auto"/>
              <w:ind w:left="85"/>
            </w:pPr>
            <w:r>
              <w:rPr>
                <w:spacing w:val="-2"/>
              </w:rPr>
              <w:t>2602</w:t>
            </w:r>
          </w:p>
        </w:tc>
        <w:tc>
          <w:tcPr>
            <w:tcW w:w="2168" w:type="dxa"/>
            <w:vAlign w:val="top"/>
          </w:tcPr>
          <w:p w14:paraId="71E5B14E">
            <w:pPr>
              <w:pStyle w:val="6"/>
              <w:spacing w:before="66" w:line="237" w:lineRule="auto"/>
              <w:ind w:left="11" w:right="85"/>
            </w:pPr>
            <w:r>
              <w:rPr>
                <w:spacing w:val="-1"/>
              </w:rPr>
              <w:t>单位烧碱生产耗交流电(离</w:t>
            </w:r>
            <w:r>
              <w:rPr>
                <w:spacing w:val="2"/>
              </w:rPr>
              <w:t xml:space="preserve"> </w:t>
            </w:r>
            <w:r>
              <w:rPr>
                <w:spacing w:val="5"/>
              </w:rPr>
              <w:t>子膜法30%)</w:t>
            </w:r>
          </w:p>
        </w:tc>
        <w:tc>
          <w:tcPr>
            <w:tcW w:w="1229" w:type="dxa"/>
            <w:vAlign w:val="top"/>
          </w:tcPr>
          <w:p w14:paraId="766BDD30">
            <w:pPr>
              <w:pStyle w:val="6"/>
              <w:spacing w:before="179" w:line="221" w:lineRule="auto"/>
              <w:ind w:left="13"/>
            </w:pPr>
            <w:r>
              <w:rPr>
                <w:spacing w:val="-2"/>
              </w:rPr>
              <w:t>千瓦时/吨</w:t>
            </w:r>
          </w:p>
        </w:tc>
        <w:tc>
          <w:tcPr>
            <w:tcW w:w="539" w:type="dxa"/>
            <w:vAlign w:val="top"/>
          </w:tcPr>
          <w:p w14:paraId="7AB5E55D">
            <w:pPr>
              <w:pStyle w:val="6"/>
              <w:spacing w:before="88" w:line="226" w:lineRule="auto"/>
              <w:ind w:left="83" w:right="74"/>
            </w:pPr>
            <w:r>
              <w:rPr>
                <w:spacing w:val="-6"/>
              </w:rPr>
              <w:t>万千</w:t>
            </w:r>
            <w:r>
              <w:t xml:space="preserve"> </w:t>
            </w:r>
            <w:r>
              <w:rPr>
                <w:spacing w:val="5"/>
              </w:rPr>
              <w:t>瓦时</w:t>
            </w:r>
          </w:p>
        </w:tc>
        <w:tc>
          <w:tcPr>
            <w:tcW w:w="450" w:type="dxa"/>
            <w:vAlign w:val="top"/>
          </w:tcPr>
          <w:p w14:paraId="5E712CE4">
            <w:pPr>
              <w:pStyle w:val="6"/>
              <w:spacing w:before="186" w:line="229" w:lineRule="auto"/>
              <w:ind w:left="125"/>
            </w:pPr>
            <w:r>
              <w:t>吨</w:t>
            </w:r>
          </w:p>
        </w:tc>
        <w:tc>
          <w:tcPr>
            <w:tcW w:w="2198" w:type="dxa"/>
            <w:vAlign w:val="top"/>
          </w:tcPr>
          <w:p w14:paraId="7D0B8F2A">
            <w:pPr>
              <w:pStyle w:val="6"/>
              <w:spacing w:before="228" w:line="219" w:lineRule="auto"/>
              <w:ind w:left="25"/>
            </w:pPr>
            <w:r>
              <w:rPr>
                <w:spacing w:val="-2"/>
              </w:rPr>
              <w:t>交流电消耗量</w:t>
            </w:r>
          </w:p>
        </w:tc>
        <w:tc>
          <w:tcPr>
            <w:tcW w:w="1648" w:type="dxa"/>
            <w:vAlign w:val="top"/>
          </w:tcPr>
          <w:p w14:paraId="6775DEF8">
            <w:pPr>
              <w:pStyle w:val="6"/>
              <w:spacing w:before="227" w:line="219" w:lineRule="auto"/>
              <w:ind w:left="17"/>
            </w:pPr>
            <w:r>
              <w:rPr>
                <w:spacing w:val="-1"/>
              </w:rPr>
              <w:t>烧碱(折100%)产量</w:t>
            </w:r>
          </w:p>
        </w:tc>
        <w:tc>
          <w:tcPr>
            <w:tcW w:w="664" w:type="dxa"/>
            <w:vAlign w:val="top"/>
          </w:tcPr>
          <w:p w14:paraId="5801515B">
            <w:pPr>
              <w:pStyle w:val="6"/>
              <w:spacing w:before="273" w:line="184" w:lineRule="auto"/>
              <w:ind w:right="21"/>
              <w:jc w:val="right"/>
            </w:pPr>
            <w:r>
              <w:rPr>
                <w:spacing w:val="-4"/>
              </w:rPr>
              <w:t>10000</w:t>
            </w:r>
          </w:p>
        </w:tc>
      </w:tr>
      <w:tr w14:paraId="18537F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554" w:type="dxa"/>
            <w:vAlign w:val="top"/>
          </w:tcPr>
          <w:p w14:paraId="06D2ABF0">
            <w:pPr>
              <w:pStyle w:val="6"/>
              <w:spacing w:before="274" w:line="184" w:lineRule="auto"/>
              <w:ind w:left="85"/>
            </w:pPr>
            <w:r>
              <w:rPr>
                <w:spacing w:val="-2"/>
              </w:rPr>
              <w:t>2641</w:t>
            </w:r>
          </w:p>
        </w:tc>
        <w:tc>
          <w:tcPr>
            <w:tcW w:w="2168" w:type="dxa"/>
            <w:vAlign w:val="top"/>
          </w:tcPr>
          <w:p w14:paraId="2B491763">
            <w:pPr>
              <w:pStyle w:val="6"/>
              <w:spacing w:before="68" w:line="226" w:lineRule="auto"/>
              <w:ind w:left="11" w:right="75" w:firstLine="10"/>
            </w:pPr>
            <w:r>
              <w:rPr>
                <w:spacing w:val="-1"/>
              </w:rPr>
              <w:t>单位烧碱生产综合能耗(离</w:t>
            </w:r>
            <w:r>
              <w:rPr>
                <w:spacing w:val="2"/>
              </w:rPr>
              <w:t xml:space="preserve"> </w:t>
            </w:r>
            <w:r>
              <w:rPr>
                <w:spacing w:val="5"/>
              </w:rPr>
              <w:t>子膜法45%)</w:t>
            </w:r>
          </w:p>
        </w:tc>
        <w:tc>
          <w:tcPr>
            <w:tcW w:w="1229" w:type="dxa"/>
            <w:vAlign w:val="top"/>
          </w:tcPr>
          <w:p w14:paraId="07C1860A">
            <w:pPr>
              <w:pStyle w:val="6"/>
              <w:spacing w:before="169" w:line="219" w:lineRule="auto"/>
              <w:ind w:left="33"/>
            </w:pPr>
            <w:r>
              <w:rPr>
                <w:spacing w:val="-1"/>
              </w:rPr>
              <w:t>千克标准煤/吨</w:t>
            </w:r>
          </w:p>
        </w:tc>
        <w:tc>
          <w:tcPr>
            <w:tcW w:w="539" w:type="dxa"/>
            <w:vAlign w:val="top"/>
          </w:tcPr>
          <w:p w14:paraId="40682B41">
            <w:pPr>
              <w:pStyle w:val="6"/>
              <w:spacing w:before="70" w:line="225" w:lineRule="auto"/>
              <w:ind w:left="83" w:right="77"/>
            </w:pPr>
            <w:r>
              <w:rPr>
                <w:spacing w:val="3"/>
              </w:rPr>
              <w:t>吨标</w:t>
            </w:r>
            <w:r>
              <w:t xml:space="preserve"> </w:t>
            </w:r>
            <w:r>
              <w:rPr>
                <w:spacing w:val="-3"/>
              </w:rPr>
              <w:t>准煤</w:t>
            </w:r>
          </w:p>
        </w:tc>
        <w:tc>
          <w:tcPr>
            <w:tcW w:w="450" w:type="dxa"/>
            <w:vAlign w:val="top"/>
          </w:tcPr>
          <w:p w14:paraId="788184EA">
            <w:pPr>
              <w:pStyle w:val="6"/>
              <w:spacing w:before="217" w:line="229" w:lineRule="auto"/>
              <w:ind w:left="125"/>
            </w:pPr>
            <w:r>
              <w:t>吨</w:t>
            </w:r>
          </w:p>
        </w:tc>
        <w:tc>
          <w:tcPr>
            <w:tcW w:w="2198" w:type="dxa"/>
            <w:vAlign w:val="top"/>
          </w:tcPr>
          <w:p w14:paraId="38CED2AF">
            <w:pPr>
              <w:pStyle w:val="6"/>
              <w:spacing w:before="168" w:line="219" w:lineRule="auto"/>
              <w:ind w:left="25"/>
            </w:pPr>
            <w:r>
              <w:rPr>
                <w:spacing w:val="-1"/>
              </w:rPr>
              <w:t>烧碱综合能源消耗量</w:t>
            </w:r>
          </w:p>
        </w:tc>
        <w:tc>
          <w:tcPr>
            <w:tcW w:w="1648" w:type="dxa"/>
            <w:vAlign w:val="top"/>
          </w:tcPr>
          <w:p w14:paraId="5D6FB4C3">
            <w:pPr>
              <w:pStyle w:val="6"/>
              <w:spacing w:before="208" w:line="219" w:lineRule="auto"/>
              <w:ind w:left="17"/>
            </w:pPr>
            <w:r>
              <w:rPr>
                <w:spacing w:val="-1"/>
              </w:rPr>
              <w:t>烧碱(折100%)产量</w:t>
            </w:r>
          </w:p>
        </w:tc>
        <w:tc>
          <w:tcPr>
            <w:tcW w:w="664" w:type="dxa"/>
            <w:vAlign w:val="top"/>
          </w:tcPr>
          <w:p w14:paraId="0429DA3D">
            <w:pPr>
              <w:pStyle w:val="6"/>
              <w:spacing w:before="284" w:line="184" w:lineRule="auto"/>
              <w:ind w:right="20"/>
              <w:jc w:val="right"/>
            </w:pPr>
            <w:r>
              <w:rPr>
                <w:spacing w:val="-4"/>
              </w:rPr>
              <w:t>1000</w:t>
            </w:r>
          </w:p>
        </w:tc>
      </w:tr>
      <w:tr w14:paraId="3773F1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554" w:type="dxa"/>
            <w:vAlign w:val="top"/>
          </w:tcPr>
          <w:p w14:paraId="4015B837">
            <w:pPr>
              <w:pStyle w:val="6"/>
              <w:spacing w:before="226" w:line="183" w:lineRule="auto"/>
              <w:ind w:left="85"/>
            </w:pPr>
            <w:r>
              <w:rPr>
                <w:spacing w:val="-2"/>
              </w:rPr>
              <w:t>2642</w:t>
            </w:r>
          </w:p>
        </w:tc>
        <w:tc>
          <w:tcPr>
            <w:tcW w:w="2168" w:type="dxa"/>
            <w:vAlign w:val="top"/>
          </w:tcPr>
          <w:p w14:paraId="442EE4E0">
            <w:pPr>
              <w:pStyle w:val="6"/>
              <w:spacing w:before="90" w:line="225" w:lineRule="auto"/>
              <w:ind w:left="11" w:right="85"/>
            </w:pPr>
            <w:r>
              <w:rPr>
                <w:spacing w:val="-1"/>
              </w:rPr>
              <w:t>单位烧碱生产耗交流电(离</w:t>
            </w:r>
            <w:r>
              <w:rPr>
                <w:spacing w:val="2"/>
              </w:rPr>
              <w:t xml:space="preserve"> </w:t>
            </w:r>
            <w:r>
              <w:rPr>
                <w:spacing w:val="5"/>
              </w:rPr>
              <w:t>子膜法45%)</w:t>
            </w:r>
          </w:p>
        </w:tc>
        <w:tc>
          <w:tcPr>
            <w:tcW w:w="1229" w:type="dxa"/>
            <w:vAlign w:val="top"/>
          </w:tcPr>
          <w:p w14:paraId="585A950F">
            <w:pPr>
              <w:pStyle w:val="6"/>
              <w:spacing w:before="181" w:line="221" w:lineRule="auto"/>
              <w:ind w:left="13"/>
            </w:pPr>
            <w:r>
              <w:rPr>
                <w:spacing w:val="-2"/>
              </w:rPr>
              <w:t>千瓦时/吨</w:t>
            </w:r>
          </w:p>
        </w:tc>
        <w:tc>
          <w:tcPr>
            <w:tcW w:w="539" w:type="dxa"/>
            <w:vAlign w:val="top"/>
          </w:tcPr>
          <w:p w14:paraId="6E0C4CB9">
            <w:pPr>
              <w:pStyle w:val="6"/>
              <w:spacing w:before="90" w:line="225" w:lineRule="auto"/>
              <w:ind w:left="83" w:right="74"/>
            </w:pPr>
            <w:r>
              <w:rPr>
                <w:spacing w:val="-6"/>
              </w:rPr>
              <w:t>万千</w:t>
            </w:r>
            <w:r>
              <w:t xml:space="preserve"> </w:t>
            </w:r>
            <w:r>
              <w:rPr>
                <w:spacing w:val="5"/>
              </w:rPr>
              <w:t>瓦时</w:t>
            </w:r>
          </w:p>
        </w:tc>
        <w:tc>
          <w:tcPr>
            <w:tcW w:w="450" w:type="dxa"/>
            <w:vAlign w:val="top"/>
          </w:tcPr>
          <w:p w14:paraId="3D02FEAB">
            <w:pPr>
              <w:pStyle w:val="6"/>
              <w:spacing w:before="229" w:line="229" w:lineRule="auto"/>
              <w:ind w:left="125"/>
            </w:pPr>
            <w:r>
              <w:t>吨</w:t>
            </w:r>
          </w:p>
        </w:tc>
        <w:tc>
          <w:tcPr>
            <w:tcW w:w="2198" w:type="dxa"/>
            <w:vAlign w:val="top"/>
          </w:tcPr>
          <w:p w14:paraId="0F1C66C8">
            <w:pPr>
              <w:pStyle w:val="6"/>
              <w:spacing w:before="220" w:line="219" w:lineRule="auto"/>
              <w:ind w:left="25"/>
            </w:pPr>
            <w:r>
              <w:rPr>
                <w:spacing w:val="-2"/>
              </w:rPr>
              <w:t>交流电消耗量</w:t>
            </w:r>
          </w:p>
        </w:tc>
        <w:tc>
          <w:tcPr>
            <w:tcW w:w="1648" w:type="dxa"/>
            <w:vAlign w:val="top"/>
          </w:tcPr>
          <w:p w14:paraId="7986E388">
            <w:pPr>
              <w:pStyle w:val="6"/>
              <w:spacing w:before="219" w:line="219" w:lineRule="auto"/>
              <w:ind w:left="17"/>
            </w:pPr>
            <w:r>
              <w:rPr>
                <w:spacing w:val="-1"/>
              </w:rPr>
              <w:t>烧碱(折100%)产量</w:t>
            </w:r>
          </w:p>
        </w:tc>
        <w:tc>
          <w:tcPr>
            <w:tcW w:w="664" w:type="dxa"/>
            <w:vAlign w:val="top"/>
          </w:tcPr>
          <w:p w14:paraId="53041197">
            <w:pPr>
              <w:pStyle w:val="6"/>
              <w:spacing w:before="275" w:line="184" w:lineRule="auto"/>
              <w:ind w:right="21"/>
              <w:jc w:val="right"/>
            </w:pPr>
            <w:r>
              <w:rPr>
                <w:spacing w:val="-4"/>
              </w:rPr>
              <w:t>10000</w:t>
            </w:r>
          </w:p>
        </w:tc>
      </w:tr>
      <w:tr w14:paraId="5B93E8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554" w:type="dxa"/>
            <w:vAlign w:val="top"/>
          </w:tcPr>
          <w:p w14:paraId="613D26CB">
            <w:pPr>
              <w:pStyle w:val="6"/>
              <w:spacing w:before="216" w:line="184" w:lineRule="auto"/>
              <w:ind w:left="85"/>
            </w:pPr>
            <w:r>
              <w:rPr>
                <w:spacing w:val="-2"/>
              </w:rPr>
              <w:t>2691</w:t>
            </w:r>
          </w:p>
        </w:tc>
        <w:tc>
          <w:tcPr>
            <w:tcW w:w="2168" w:type="dxa"/>
            <w:vAlign w:val="top"/>
          </w:tcPr>
          <w:p w14:paraId="181BA062">
            <w:pPr>
              <w:pStyle w:val="6"/>
              <w:spacing w:before="70" w:line="225" w:lineRule="auto"/>
              <w:ind w:left="11" w:right="85"/>
            </w:pPr>
            <w:r>
              <w:rPr>
                <w:spacing w:val="-1"/>
              </w:rPr>
              <w:t>单位烧碱生产综合能耗(离</w:t>
            </w:r>
            <w:r>
              <w:rPr>
                <w:spacing w:val="2"/>
              </w:rPr>
              <w:t xml:space="preserve"> </w:t>
            </w:r>
            <w:r>
              <w:rPr>
                <w:spacing w:val="5"/>
              </w:rPr>
              <w:t>子膜法98%)</w:t>
            </w:r>
          </w:p>
        </w:tc>
        <w:tc>
          <w:tcPr>
            <w:tcW w:w="1229" w:type="dxa"/>
            <w:vAlign w:val="top"/>
          </w:tcPr>
          <w:p w14:paraId="7EDF0DA8">
            <w:pPr>
              <w:pStyle w:val="6"/>
              <w:spacing w:before="171" w:line="219" w:lineRule="auto"/>
              <w:ind w:left="33"/>
            </w:pPr>
            <w:r>
              <w:rPr>
                <w:spacing w:val="-1"/>
              </w:rPr>
              <w:t>千克标准煤/吨</w:t>
            </w:r>
          </w:p>
        </w:tc>
        <w:tc>
          <w:tcPr>
            <w:tcW w:w="539" w:type="dxa"/>
            <w:vAlign w:val="top"/>
          </w:tcPr>
          <w:p w14:paraId="0995466B">
            <w:pPr>
              <w:pStyle w:val="6"/>
              <w:spacing w:before="72" w:line="224" w:lineRule="auto"/>
              <w:ind w:left="83" w:right="77"/>
            </w:pPr>
            <w:r>
              <w:rPr>
                <w:spacing w:val="3"/>
              </w:rPr>
              <w:t>吨标</w:t>
            </w:r>
            <w:r>
              <w:t xml:space="preserve"> </w:t>
            </w:r>
            <w:r>
              <w:rPr>
                <w:spacing w:val="-3"/>
              </w:rPr>
              <w:t>准煤</w:t>
            </w:r>
          </w:p>
        </w:tc>
        <w:tc>
          <w:tcPr>
            <w:tcW w:w="450" w:type="dxa"/>
            <w:vAlign w:val="top"/>
          </w:tcPr>
          <w:p w14:paraId="4EFB676B">
            <w:pPr>
              <w:pStyle w:val="6"/>
              <w:spacing w:before="179" w:line="229" w:lineRule="auto"/>
              <w:ind w:left="125"/>
            </w:pPr>
            <w:r>
              <w:t>吨</w:t>
            </w:r>
          </w:p>
        </w:tc>
        <w:tc>
          <w:tcPr>
            <w:tcW w:w="2198" w:type="dxa"/>
            <w:vAlign w:val="top"/>
          </w:tcPr>
          <w:p w14:paraId="2E0CCA14">
            <w:pPr>
              <w:pStyle w:val="6"/>
              <w:spacing w:before="170" w:line="219" w:lineRule="auto"/>
              <w:ind w:left="25"/>
            </w:pPr>
            <w:r>
              <w:rPr>
                <w:spacing w:val="-1"/>
              </w:rPr>
              <w:t>烧碱综合能源消耗量</w:t>
            </w:r>
          </w:p>
        </w:tc>
        <w:tc>
          <w:tcPr>
            <w:tcW w:w="1648" w:type="dxa"/>
            <w:vAlign w:val="top"/>
          </w:tcPr>
          <w:p w14:paraId="324C7CE6">
            <w:pPr>
              <w:pStyle w:val="6"/>
              <w:spacing w:before="210" w:line="219" w:lineRule="auto"/>
              <w:ind w:left="17"/>
            </w:pPr>
            <w:r>
              <w:rPr>
                <w:spacing w:val="-1"/>
              </w:rPr>
              <w:t>烧碱(折100%)产量</w:t>
            </w:r>
          </w:p>
        </w:tc>
        <w:tc>
          <w:tcPr>
            <w:tcW w:w="664" w:type="dxa"/>
            <w:vAlign w:val="top"/>
          </w:tcPr>
          <w:p w14:paraId="6FAB420C">
            <w:pPr>
              <w:pStyle w:val="6"/>
              <w:spacing w:before="286" w:line="184" w:lineRule="auto"/>
              <w:ind w:right="20"/>
              <w:jc w:val="right"/>
            </w:pPr>
            <w:r>
              <w:rPr>
                <w:spacing w:val="-4"/>
              </w:rPr>
              <w:t>1000</w:t>
            </w:r>
          </w:p>
        </w:tc>
      </w:tr>
      <w:tr w14:paraId="1E7964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554" w:type="dxa"/>
            <w:vAlign w:val="top"/>
          </w:tcPr>
          <w:p w14:paraId="411469EC">
            <w:pPr>
              <w:pStyle w:val="6"/>
              <w:spacing w:before="228" w:line="183" w:lineRule="auto"/>
              <w:ind w:left="85"/>
            </w:pPr>
            <w:r>
              <w:rPr>
                <w:spacing w:val="-2"/>
              </w:rPr>
              <w:t>2692</w:t>
            </w:r>
          </w:p>
        </w:tc>
        <w:tc>
          <w:tcPr>
            <w:tcW w:w="2168" w:type="dxa"/>
            <w:vAlign w:val="top"/>
          </w:tcPr>
          <w:p w14:paraId="57C1B056">
            <w:pPr>
              <w:pStyle w:val="6"/>
              <w:spacing w:before="70" w:line="235" w:lineRule="auto"/>
              <w:ind w:left="11" w:right="85"/>
            </w:pPr>
            <w:r>
              <w:rPr>
                <w:spacing w:val="-1"/>
              </w:rPr>
              <w:t>单位烧碱生产耗交流电(离</w:t>
            </w:r>
            <w:r>
              <w:rPr>
                <w:spacing w:val="2"/>
              </w:rPr>
              <w:t xml:space="preserve"> </w:t>
            </w:r>
            <w:r>
              <w:rPr>
                <w:spacing w:val="5"/>
              </w:rPr>
              <w:t>子膜法98%)</w:t>
            </w:r>
          </w:p>
        </w:tc>
        <w:tc>
          <w:tcPr>
            <w:tcW w:w="1229" w:type="dxa"/>
            <w:vAlign w:val="top"/>
          </w:tcPr>
          <w:p w14:paraId="0D54791C">
            <w:pPr>
              <w:pStyle w:val="6"/>
              <w:spacing w:before="223" w:line="221" w:lineRule="auto"/>
              <w:ind w:left="13"/>
            </w:pPr>
            <w:r>
              <w:rPr>
                <w:spacing w:val="-2"/>
              </w:rPr>
              <w:t>千瓦时/吨</w:t>
            </w:r>
          </w:p>
        </w:tc>
        <w:tc>
          <w:tcPr>
            <w:tcW w:w="539" w:type="dxa"/>
            <w:vAlign w:val="top"/>
          </w:tcPr>
          <w:p w14:paraId="6C4346DF">
            <w:pPr>
              <w:pStyle w:val="6"/>
              <w:spacing w:before="92" w:line="224" w:lineRule="auto"/>
              <w:ind w:left="83" w:right="74"/>
            </w:pPr>
            <w:r>
              <w:rPr>
                <w:spacing w:val="-6"/>
              </w:rPr>
              <w:t>万千</w:t>
            </w:r>
            <w:r>
              <w:t xml:space="preserve"> </w:t>
            </w:r>
            <w:r>
              <w:rPr>
                <w:spacing w:val="5"/>
              </w:rPr>
              <w:t>瓦时</w:t>
            </w:r>
          </w:p>
        </w:tc>
        <w:tc>
          <w:tcPr>
            <w:tcW w:w="450" w:type="dxa"/>
            <w:vAlign w:val="top"/>
          </w:tcPr>
          <w:p w14:paraId="0D50EC7C">
            <w:pPr>
              <w:pStyle w:val="6"/>
              <w:spacing w:before="230" w:line="229" w:lineRule="auto"/>
              <w:ind w:left="125"/>
            </w:pPr>
            <w:r>
              <w:t>吨</w:t>
            </w:r>
          </w:p>
        </w:tc>
        <w:tc>
          <w:tcPr>
            <w:tcW w:w="2198" w:type="dxa"/>
            <w:vAlign w:val="top"/>
          </w:tcPr>
          <w:p w14:paraId="3DF2F15C">
            <w:pPr>
              <w:pStyle w:val="6"/>
              <w:spacing w:before="222" w:line="219" w:lineRule="auto"/>
              <w:ind w:left="25"/>
            </w:pPr>
            <w:r>
              <w:rPr>
                <w:spacing w:val="-2"/>
              </w:rPr>
              <w:t>交流电消耗量</w:t>
            </w:r>
          </w:p>
        </w:tc>
        <w:tc>
          <w:tcPr>
            <w:tcW w:w="1648" w:type="dxa"/>
            <w:vAlign w:val="top"/>
          </w:tcPr>
          <w:p w14:paraId="7C71A310">
            <w:pPr>
              <w:pStyle w:val="6"/>
              <w:spacing w:before="221" w:line="219" w:lineRule="auto"/>
              <w:ind w:left="17"/>
            </w:pPr>
            <w:r>
              <w:rPr>
                <w:spacing w:val="-1"/>
              </w:rPr>
              <w:t>烧碱(折100%)产量</w:t>
            </w:r>
          </w:p>
        </w:tc>
        <w:tc>
          <w:tcPr>
            <w:tcW w:w="664" w:type="dxa"/>
            <w:vAlign w:val="top"/>
          </w:tcPr>
          <w:p w14:paraId="745F8BFF">
            <w:pPr>
              <w:pStyle w:val="6"/>
              <w:spacing w:before="277" w:line="184" w:lineRule="auto"/>
              <w:ind w:right="21"/>
              <w:jc w:val="right"/>
            </w:pPr>
            <w:r>
              <w:rPr>
                <w:spacing w:val="-4"/>
              </w:rPr>
              <w:t>10000</w:t>
            </w:r>
          </w:p>
        </w:tc>
      </w:tr>
      <w:tr w14:paraId="5C05D8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554" w:type="dxa"/>
            <w:vAlign w:val="top"/>
          </w:tcPr>
          <w:p w14:paraId="619E3A15">
            <w:pPr>
              <w:pStyle w:val="6"/>
              <w:spacing w:before="279" w:line="183" w:lineRule="auto"/>
              <w:ind w:left="85"/>
            </w:pPr>
            <w:r>
              <w:rPr>
                <w:spacing w:val="-2"/>
              </w:rPr>
              <w:t>2607</w:t>
            </w:r>
          </w:p>
        </w:tc>
        <w:tc>
          <w:tcPr>
            <w:tcW w:w="2168" w:type="dxa"/>
            <w:vAlign w:val="top"/>
          </w:tcPr>
          <w:p w14:paraId="1A8C780B">
            <w:pPr>
              <w:pStyle w:val="6"/>
              <w:spacing w:before="72" w:line="224" w:lineRule="auto"/>
              <w:ind w:left="11" w:right="62"/>
            </w:pPr>
            <w:r>
              <w:rPr>
                <w:spacing w:val="1"/>
              </w:rPr>
              <w:t xml:space="preserve">单位烧碱生产综合能耗(隔 </w:t>
            </w:r>
            <w:r>
              <w:rPr>
                <w:spacing w:val="6"/>
              </w:rPr>
              <w:t>膜法30%)</w:t>
            </w:r>
          </w:p>
        </w:tc>
        <w:tc>
          <w:tcPr>
            <w:tcW w:w="1229" w:type="dxa"/>
            <w:vAlign w:val="top"/>
          </w:tcPr>
          <w:p w14:paraId="27FA5DD5">
            <w:pPr>
              <w:pStyle w:val="6"/>
              <w:spacing w:before="173" w:line="219" w:lineRule="auto"/>
              <w:ind w:left="13"/>
            </w:pPr>
            <w:r>
              <w:rPr>
                <w:spacing w:val="-1"/>
              </w:rPr>
              <w:t>千克标准煤/吨</w:t>
            </w:r>
          </w:p>
        </w:tc>
        <w:tc>
          <w:tcPr>
            <w:tcW w:w="539" w:type="dxa"/>
            <w:vAlign w:val="top"/>
          </w:tcPr>
          <w:p w14:paraId="0314F820">
            <w:pPr>
              <w:pStyle w:val="6"/>
              <w:spacing w:before="74" w:line="223" w:lineRule="auto"/>
              <w:ind w:left="83" w:right="77"/>
            </w:pPr>
            <w:r>
              <w:rPr>
                <w:spacing w:val="3"/>
              </w:rPr>
              <w:t>吨标</w:t>
            </w:r>
            <w:r>
              <w:t xml:space="preserve"> </w:t>
            </w:r>
            <w:r>
              <w:rPr>
                <w:spacing w:val="-3"/>
              </w:rPr>
              <w:t>准煤</w:t>
            </w:r>
          </w:p>
        </w:tc>
        <w:tc>
          <w:tcPr>
            <w:tcW w:w="450" w:type="dxa"/>
            <w:vAlign w:val="top"/>
          </w:tcPr>
          <w:p w14:paraId="4EB84611">
            <w:pPr>
              <w:pStyle w:val="6"/>
              <w:spacing w:before="181" w:line="229" w:lineRule="auto"/>
              <w:ind w:left="125"/>
            </w:pPr>
            <w:r>
              <w:t>吨</w:t>
            </w:r>
          </w:p>
        </w:tc>
        <w:tc>
          <w:tcPr>
            <w:tcW w:w="2198" w:type="dxa"/>
            <w:vAlign w:val="top"/>
          </w:tcPr>
          <w:p w14:paraId="2D9D19DF">
            <w:pPr>
              <w:pStyle w:val="6"/>
              <w:spacing w:before="172" w:line="219" w:lineRule="auto"/>
              <w:ind w:left="25"/>
            </w:pPr>
            <w:r>
              <w:rPr>
                <w:spacing w:val="-1"/>
              </w:rPr>
              <w:t>烧碱综合能源消耗量</w:t>
            </w:r>
          </w:p>
        </w:tc>
        <w:tc>
          <w:tcPr>
            <w:tcW w:w="1648" w:type="dxa"/>
            <w:vAlign w:val="top"/>
          </w:tcPr>
          <w:p w14:paraId="5EF5A413">
            <w:pPr>
              <w:pStyle w:val="6"/>
              <w:spacing w:before="172" w:line="219" w:lineRule="auto"/>
              <w:ind w:left="17"/>
            </w:pPr>
            <w:r>
              <w:rPr>
                <w:spacing w:val="-1"/>
              </w:rPr>
              <w:t>烧碱(折100%)产量</w:t>
            </w:r>
          </w:p>
        </w:tc>
        <w:tc>
          <w:tcPr>
            <w:tcW w:w="664" w:type="dxa"/>
            <w:vAlign w:val="top"/>
          </w:tcPr>
          <w:p w14:paraId="3B6C2B55">
            <w:pPr>
              <w:pStyle w:val="6"/>
              <w:spacing w:before="288" w:line="184" w:lineRule="auto"/>
              <w:ind w:right="20"/>
              <w:jc w:val="right"/>
            </w:pPr>
            <w:r>
              <w:rPr>
                <w:spacing w:val="-4"/>
              </w:rPr>
              <w:t>1000</w:t>
            </w:r>
          </w:p>
        </w:tc>
      </w:tr>
      <w:tr w14:paraId="7CC995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554" w:type="dxa"/>
            <w:vAlign w:val="top"/>
          </w:tcPr>
          <w:p w14:paraId="686CF880">
            <w:pPr>
              <w:pStyle w:val="6"/>
              <w:spacing w:before="230" w:line="183" w:lineRule="auto"/>
              <w:ind w:left="85"/>
            </w:pPr>
            <w:r>
              <w:rPr>
                <w:spacing w:val="-2"/>
              </w:rPr>
              <w:t>2608</w:t>
            </w:r>
          </w:p>
        </w:tc>
        <w:tc>
          <w:tcPr>
            <w:tcW w:w="2168" w:type="dxa"/>
            <w:vAlign w:val="top"/>
          </w:tcPr>
          <w:p w14:paraId="150D4FED">
            <w:pPr>
              <w:pStyle w:val="6"/>
              <w:spacing w:before="72" w:line="234" w:lineRule="auto"/>
              <w:ind w:left="11" w:right="62"/>
            </w:pPr>
            <w:r>
              <w:rPr>
                <w:spacing w:val="1"/>
              </w:rPr>
              <w:t xml:space="preserve">单位烧碱生产耗交流电(隔 </w:t>
            </w:r>
            <w:r>
              <w:rPr>
                <w:spacing w:val="-2"/>
              </w:rPr>
              <w:t>膜法30%</w:t>
            </w:r>
          </w:p>
        </w:tc>
        <w:tc>
          <w:tcPr>
            <w:tcW w:w="1229" w:type="dxa"/>
            <w:vAlign w:val="top"/>
          </w:tcPr>
          <w:p w14:paraId="295773AE">
            <w:pPr>
              <w:pStyle w:val="6"/>
              <w:spacing w:before="225" w:line="221" w:lineRule="auto"/>
              <w:ind w:left="13"/>
            </w:pPr>
            <w:r>
              <w:rPr>
                <w:spacing w:val="-2"/>
              </w:rPr>
              <w:t>千瓦时/吨</w:t>
            </w:r>
          </w:p>
        </w:tc>
        <w:tc>
          <w:tcPr>
            <w:tcW w:w="539" w:type="dxa"/>
            <w:vAlign w:val="top"/>
          </w:tcPr>
          <w:p w14:paraId="39319320">
            <w:pPr>
              <w:pStyle w:val="6"/>
              <w:spacing w:before="84" w:line="228" w:lineRule="auto"/>
              <w:ind w:left="83" w:right="74"/>
            </w:pPr>
            <w:r>
              <w:rPr>
                <w:spacing w:val="-6"/>
              </w:rPr>
              <w:t>万千</w:t>
            </w:r>
            <w:r>
              <w:t xml:space="preserve"> </w:t>
            </w:r>
            <w:r>
              <w:rPr>
                <w:spacing w:val="5"/>
              </w:rPr>
              <w:t>瓦时</w:t>
            </w:r>
          </w:p>
        </w:tc>
        <w:tc>
          <w:tcPr>
            <w:tcW w:w="450" w:type="dxa"/>
            <w:vAlign w:val="top"/>
          </w:tcPr>
          <w:p w14:paraId="53E16D9B">
            <w:pPr>
              <w:pStyle w:val="6"/>
              <w:spacing w:before="233" w:line="229" w:lineRule="auto"/>
              <w:ind w:left="125"/>
            </w:pPr>
            <w:r>
              <w:t>吨</w:t>
            </w:r>
          </w:p>
        </w:tc>
        <w:tc>
          <w:tcPr>
            <w:tcW w:w="2198" w:type="dxa"/>
            <w:vAlign w:val="top"/>
          </w:tcPr>
          <w:p w14:paraId="44EE7FA6">
            <w:pPr>
              <w:pStyle w:val="6"/>
              <w:spacing w:before="224" w:line="219" w:lineRule="auto"/>
              <w:ind w:left="25"/>
            </w:pPr>
            <w:r>
              <w:rPr>
                <w:spacing w:val="-2"/>
              </w:rPr>
              <w:t>交流电消耗量</w:t>
            </w:r>
          </w:p>
        </w:tc>
        <w:tc>
          <w:tcPr>
            <w:tcW w:w="1648" w:type="dxa"/>
            <w:vAlign w:val="top"/>
          </w:tcPr>
          <w:p w14:paraId="6E40FD5F">
            <w:pPr>
              <w:pStyle w:val="6"/>
              <w:spacing w:before="223" w:line="219" w:lineRule="auto"/>
              <w:ind w:left="17"/>
            </w:pPr>
            <w:r>
              <w:rPr>
                <w:spacing w:val="-1"/>
              </w:rPr>
              <w:t>烧碱(折100%)产量</w:t>
            </w:r>
          </w:p>
        </w:tc>
        <w:tc>
          <w:tcPr>
            <w:tcW w:w="664" w:type="dxa"/>
            <w:vAlign w:val="top"/>
          </w:tcPr>
          <w:p w14:paraId="28456E8B">
            <w:pPr>
              <w:pStyle w:val="6"/>
              <w:spacing w:before="279" w:line="184" w:lineRule="auto"/>
              <w:ind w:right="21"/>
              <w:jc w:val="right"/>
            </w:pPr>
            <w:r>
              <w:rPr>
                <w:spacing w:val="-4"/>
              </w:rPr>
              <w:t>10000</w:t>
            </w:r>
          </w:p>
        </w:tc>
      </w:tr>
      <w:tr w14:paraId="60DB8A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554" w:type="dxa"/>
            <w:vAlign w:val="top"/>
          </w:tcPr>
          <w:p w14:paraId="5E7192C3">
            <w:pPr>
              <w:pStyle w:val="6"/>
              <w:spacing w:before="210" w:line="184" w:lineRule="auto"/>
              <w:ind w:left="85"/>
            </w:pPr>
            <w:r>
              <w:rPr>
                <w:spacing w:val="-2"/>
              </w:rPr>
              <w:t>2661</w:t>
            </w:r>
          </w:p>
        </w:tc>
        <w:tc>
          <w:tcPr>
            <w:tcW w:w="2168" w:type="dxa"/>
            <w:vAlign w:val="top"/>
          </w:tcPr>
          <w:p w14:paraId="1D91E3D9">
            <w:pPr>
              <w:pStyle w:val="6"/>
              <w:spacing w:before="75" w:line="207" w:lineRule="auto"/>
              <w:ind w:left="11"/>
            </w:pPr>
            <w:r>
              <w:rPr>
                <w:spacing w:val="-2"/>
              </w:rPr>
              <w:t>氨碱法单位纯碱生产综合能</w:t>
            </w:r>
            <w:r>
              <w:rPr>
                <w:spacing w:val="9"/>
              </w:rPr>
              <w:t xml:space="preserve"> </w:t>
            </w:r>
            <w:r>
              <w:t>耗</w:t>
            </w:r>
          </w:p>
        </w:tc>
        <w:tc>
          <w:tcPr>
            <w:tcW w:w="1229" w:type="dxa"/>
            <w:vAlign w:val="top"/>
          </w:tcPr>
          <w:p w14:paraId="17097D73">
            <w:pPr>
              <w:pStyle w:val="6"/>
              <w:spacing w:before="165" w:line="219" w:lineRule="auto"/>
              <w:ind w:left="33"/>
            </w:pPr>
            <w:r>
              <w:rPr>
                <w:spacing w:val="-1"/>
              </w:rPr>
              <w:t>千克标准煤/吨</w:t>
            </w:r>
          </w:p>
        </w:tc>
        <w:tc>
          <w:tcPr>
            <w:tcW w:w="539" w:type="dxa"/>
            <w:vAlign w:val="top"/>
          </w:tcPr>
          <w:p w14:paraId="6133C20D">
            <w:pPr>
              <w:pStyle w:val="6"/>
              <w:spacing w:before="75" w:line="207" w:lineRule="auto"/>
              <w:ind w:left="83" w:right="77"/>
            </w:pPr>
            <w:r>
              <w:rPr>
                <w:spacing w:val="3"/>
              </w:rPr>
              <w:t>吨标</w:t>
            </w:r>
            <w:r>
              <w:t xml:space="preserve"> </w:t>
            </w:r>
            <w:r>
              <w:rPr>
                <w:spacing w:val="-3"/>
              </w:rPr>
              <w:t>准煤</w:t>
            </w:r>
          </w:p>
        </w:tc>
        <w:tc>
          <w:tcPr>
            <w:tcW w:w="450" w:type="dxa"/>
            <w:vAlign w:val="top"/>
          </w:tcPr>
          <w:p w14:paraId="7FE65840">
            <w:pPr>
              <w:pStyle w:val="6"/>
              <w:spacing w:before="204" w:line="229" w:lineRule="auto"/>
              <w:ind w:left="125"/>
            </w:pPr>
            <w:r>
              <w:t>吨</w:t>
            </w:r>
          </w:p>
        </w:tc>
        <w:tc>
          <w:tcPr>
            <w:tcW w:w="2198" w:type="dxa"/>
            <w:vAlign w:val="top"/>
          </w:tcPr>
          <w:p w14:paraId="31B14325">
            <w:pPr>
              <w:pStyle w:val="6"/>
              <w:spacing w:before="165" w:line="219" w:lineRule="auto"/>
              <w:ind w:left="25"/>
            </w:pPr>
            <w:r>
              <w:rPr>
                <w:spacing w:val="-1"/>
              </w:rPr>
              <w:t>纯碱综合能源消耗总量</w:t>
            </w:r>
          </w:p>
        </w:tc>
        <w:tc>
          <w:tcPr>
            <w:tcW w:w="1648" w:type="dxa"/>
            <w:vAlign w:val="top"/>
          </w:tcPr>
          <w:p w14:paraId="2AEF7830">
            <w:pPr>
              <w:pStyle w:val="6"/>
              <w:spacing w:before="165" w:line="219" w:lineRule="auto"/>
              <w:ind w:left="17"/>
            </w:pPr>
            <w:r>
              <w:rPr>
                <w:spacing w:val="-1"/>
              </w:rPr>
              <w:t>纯碱(碳酸钠)产量</w:t>
            </w:r>
          </w:p>
        </w:tc>
        <w:tc>
          <w:tcPr>
            <w:tcW w:w="664" w:type="dxa"/>
            <w:vAlign w:val="top"/>
          </w:tcPr>
          <w:p w14:paraId="548CCB2F">
            <w:pPr>
              <w:pStyle w:val="6"/>
              <w:spacing w:before="260" w:line="184" w:lineRule="auto"/>
              <w:ind w:right="20"/>
              <w:jc w:val="right"/>
            </w:pPr>
            <w:r>
              <w:rPr>
                <w:spacing w:val="-4"/>
              </w:rPr>
              <w:t>1000</w:t>
            </w:r>
          </w:p>
        </w:tc>
      </w:tr>
      <w:tr w14:paraId="52D335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554" w:type="dxa"/>
            <w:vAlign w:val="top"/>
          </w:tcPr>
          <w:p w14:paraId="1C3435EA">
            <w:pPr>
              <w:pStyle w:val="6"/>
              <w:spacing w:before="222" w:line="183" w:lineRule="auto"/>
              <w:ind w:left="85"/>
            </w:pPr>
            <w:r>
              <w:rPr>
                <w:spacing w:val="-2"/>
              </w:rPr>
              <w:t>2662</w:t>
            </w:r>
          </w:p>
        </w:tc>
        <w:tc>
          <w:tcPr>
            <w:tcW w:w="2168" w:type="dxa"/>
            <w:vAlign w:val="top"/>
          </w:tcPr>
          <w:p w14:paraId="0E43E254">
            <w:pPr>
              <w:pStyle w:val="6"/>
              <w:spacing w:before="216" w:line="219" w:lineRule="auto"/>
              <w:ind w:left="11"/>
            </w:pPr>
            <w:r>
              <w:rPr>
                <w:spacing w:val="-1"/>
              </w:rPr>
              <w:t>氨碱法单位纯碱生产耗电</w:t>
            </w:r>
          </w:p>
        </w:tc>
        <w:tc>
          <w:tcPr>
            <w:tcW w:w="1229" w:type="dxa"/>
            <w:vAlign w:val="top"/>
          </w:tcPr>
          <w:p w14:paraId="70A23DF7">
            <w:pPr>
              <w:pStyle w:val="6"/>
              <w:spacing w:before="217" w:line="221" w:lineRule="auto"/>
              <w:ind w:left="13"/>
            </w:pPr>
            <w:r>
              <w:rPr>
                <w:spacing w:val="-2"/>
              </w:rPr>
              <w:t>千瓦时/吨</w:t>
            </w:r>
          </w:p>
        </w:tc>
        <w:tc>
          <w:tcPr>
            <w:tcW w:w="539" w:type="dxa"/>
            <w:vAlign w:val="top"/>
          </w:tcPr>
          <w:p w14:paraId="649F81FF">
            <w:pPr>
              <w:pStyle w:val="6"/>
              <w:spacing w:before="87" w:line="213" w:lineRule="auto"/>
              <w:ind w:left="83" w:right="74"/>
            </w:pPr>
            <w:r>
              <w:rPr>
                <w:spacing w:val="-6"/>
              </w:rPr>
              <w:t>万千</w:t>
            </w:r>
            <w:r>
              <w:t xml:space="preserve"> </w:t>
            </w:r>
            <w:r>
              <w:rPr>
                <w:spacing w:val="5"/>
              </w:rPr>
              <w:t>瓦时</w:t>
            </w:r>
          </w:p>
        </w:tc>
        <w:tc>
          <w:tcPr>
            <w:tcW w:w="450" w:type="dxa"/>
            <w:vAlign w:val="top"/>
          </w:tcPr>
          <w:p w14:paraId="45A31573">
            <w:pPr>
              <w:pStyle w:val="6"/>
              <w:spacing w:before="235" w:line="229" w:lineRule="auto"/>
              <w:ind w:left="125"/>
            </w:pPr>
            <w:r>
              <w:t>吨</w:t>
            </w:r>
          </w:p>
        </w:tc>
        <w:tc>
          <w:tcPr>
            <w:tcW w:w="2198" w:type="dxa"/>
            <w:vAlign w:val="top"/>
          </w:tcPr>
          <w:p w14:paraId="6742BF4E">
            <w:pPr>
              <w:pStyle w:val="6"/>
              <w:spacing w:before="206" w:line="219" w:lineRule="auto"/>
              <w:ind w:left="25"/>
            </w:pPr>
            <w:r>
              <w:rPr>
                <w:spacing w:val="-2"/>
              </w:rPr>
              <w:t>纯碱生产耗电总量</w:t>
            </w:r>
          </w:p>
        </w:tc>
        <w:tc>
          <w:tcPr>
            <w:tcW w:w="1648" w:type="dxa"/>
            <w:vAlign w:val="top"/>
          </w:tcPr>
          <w:p w14:paraId="6AA11800">
            <w:pPr>
              <w:pStyle w:val="6"/>
              <w:spacing w:before="176" w:line="219" w:lineRule="auto"/>
              <w:ind w:left="17"/>
            </w:pPr>
            <w:r>
              <w:rPr>
                <w:spacing w:val="-1"/>
              </w:rPr>
              <w:t>纯碱(碳酸钠)产量</w:t>
            </w:r>
          </w:p>
        </w:tc>
        <w:tc>
          <w:tcPr>
            <w:tcW w:w="664" w:type="dxa"/>
            <w:vAlign w:val="top"/>
          </w:tcPr>
          <w:p w14:paraId="4B8A230C">
            <w:pPr>
              <w:pStyle w:val="6"/>
              <w:spacing w:before="261" w:line="184" w:lineRule="auto"/>
              <w:ind w:right="21"/>
              <w:jc w:val="right"/>
            </w:pPr>
            <w:r>
              <w:rPr>
                <w:spacing w:val="-4"/>
              </w:rPr>
              <w:t>10000</w:t>
            </w:r>
          </w:p>
        </w:tc>
      </w:tr>
    </w:tbl>
    <w:p w14:paraId="2B67A464">
      <w:pPr>
        <w:pStyle w:val="2"/>
      </w:pPr>
    </w:p>
    <w:p w14:paraId="7C18CAA5">
      <w:pPr>
        <w:sectPr>
          <w:headerReference r:id="rId26" w:type="default"/>
          <w:footerReference r:id="rId27" w:type="default"/>
          <w:pgSz w:w="11910" w:h="16840"/>
          <w:pgMar w:top="1046" w:right="1214" w:bottom="400" w:left="1222" w:header="876" w:footer="0" w:gutter="0"/>
          <w:cols w:space="720" w:num="1"/>
        </w:sectPr>
      </w:pPr>
    </w:p>
    <w:p w14:paraId="666F3816">
      <w:pPr>
        <w:spacing w:before="53"/>
      </w:pPr>
    </w:p>
    <w:p w14:paraId="7FE1A736">
      <w:pPr>
        <w:spacing w:before="52"/>
      </w:pPr>
    </w:p>
    <w:tbl>
      <w:tblPr>
        <w:tblStyle w:val="5"/>
        <w:tblW w:w="9450" w:type="dxa"/>
        <w:tblInd w:w="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0"/>
        <w:gridCol w:w="2270"/>
        <w:gridCol w:w="1300"/>
        <w:gridCol w:w="510"/>
        <w:gridCol w:w="540"/>
        <w:gridCol w:w="1900"/>
        <w:gridCol w:w="1670"/>
        <w:gridCol w:w="730"/>
      </w:tblGrid>
      <w:tr w14:paraId="05ACAF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 w:hRule="atLeast"/>
        </w:trPr>
        <w:tc>
          <w:tcPr>
            <w:tcW w:w="530" w:type="dxa"/>
            <w:vMerge w:val="restart"/>
            <w:tcBorders>
              <w:left w:val="nil"/>
              <w:bottom w:val="nil"/>
            </w:tcBorders>
            <w:vAlign w:val="top"/>
          </w:tcPr>
          <w:p w14:paraId="5E86B58F">
            <w:pPr>
              <w:pStyle w:val="6"/>
              <w:spacing w:before="222" w:line="219" w:lineRule="auto"/>
              <w:ind w:left="80"/>
            </w:pPr>
            <w:r>
              <w:rPr>
                <w:spacing w:val="-2"/>
              </w:rPr>
              <w:t>代码</w:t>
            </w:r>
          </w:p>
        </w:tc>
        <w:tc>
          <w:tcPr>
            <w:tcW w:w="2270" w:type="dxa"/>
            <w:vMerge w:val="restart"/>
            <w:tcBorders>
              <w:bottom w:val="nil"/>
            </w:tcBorders>
            <w:vAlign w:val="top"/>
          </w:tcPr>
          <w:p w14:paraId="19DE903E">
            <w:pPr>
              <w:pStyle w:val="6"/>
              <w:spacing w:before="223" w:line="220" w:lineRule="auto"/>
              <w:ind w:left="795"/>
            </w:pPr>
            <w:r>
              <w:rPr>
                <w:spacing w:val="-2"/>
              </w:rPr>
              <w:t>指标名称</w:t>
            </w:r>
          </w:p>
        </w:tc>
        <w:tc>
          <w:tcPr>
            <w:tcW w:w="2350" w:type="dxa"/>
            <w:gridSpan w:val="3"/>
            <w:vAlign w:val="top"/>
          </w:tcPr>
          <w:p w14:paraId="5A8B676B">
            <w:pPr>
              <w:pStyle w:val="6"/>
              <w:spacing w:before="63" w:line="220" w:lineRule="auto"/>
              <w:ind w:left="825"/>
            </w:pPr>
            <w:r>
              <w:rPr>
                <w:spacing w:val="-2"/>
              </w:rPr>
              <w:t>计量单位</w:t>
            </w:r>
          </w:p>
        </w:tc>
        <w:tc>
          <w:tcPr>
            <w:tcW w:w="3570" w:type="dxa"/>
            <w:gridSpan w:val="2"/>
            <w:vAlign w:val="top"/>
          </w:tcPr>
          <w:p w14:paraId="44C4F490">
            <w:pPr>
              <w:pStyle w:val="6"/>
              <w:spacing w:before="62" w:line="219" w:lineRule="auto"/>
              <w:ind w:left="1435"/>
            </w:pPr>
            <w:r>
              <w:rPr>
                <w:spacing w:val="-2"/>
              </w:rPr>
              <w:t>计算根据</w:t>
            </w:r>
          </w:p>
        </w:tc>
        <w:tc>
          <w:tcPr>
            <w:tcW w:w="730" w:type="dxa"/>
            <w:vMerge w:val="restart"/>
            <w:tcBorders>
              <w:bottom w:val="nil"/>
              <w:right w:val="nil"/>
            </w:tcBorders>
            <w:vAlign w:val="top"/>
          </w:tcPr>
          <w:p w14:paraId="31E97078">
            <w:pPr>
              <w:pStyle w:val="6"/>
              <w:spacing w:before="113" w:line="232" w:lineRule="auto"/>
              <w:ind w:left="95" w:right="98"/>
            </w:pPr>
            <w:r>
              <w:rPr>
                <w:spacing w:val="-3"/>
              </w:rPr>
              <w:t>单位换</w:t>
            </w:r>
            <w:r>
              <w:t xml:space="preserve"> </w:t>
            </w:r>
            <w:r>
              <w:rPr>
                <w:spacing w:val="-3"/>
              </w:rPr>
              <w:t>算系数</w:t>
            </w:r>
          </w:p>
        </w:tc>
      </w:tr>
      <w:tr w14:paraId="249159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530" w:type="dxa"/>
            <w:vMerge w:val="continue"/>
            <w:tcBorders>
              <w:top w:val="nil"/>
              <w:left w:val="nil"/>
            </w:tcBorders>
            <w:vAlign w:val="top"/>
          </w:tcPr>
          <w:p w14:paraId="193BDCD4">
            <w:pPr>
              <w:rPr>
                <w:rFonts w:ascii="Arial"/>
                <w:sz w:val="21"/>
              </w:rPr>
            </w:pPr>
          </w:p>
        </w:tc>
        <w:tc>
          <w:tcPr>
            <w:tcW w:w="2270" w:type="dxa"/>
            <w:vMerge w:val="continue"/>
            <w:tcBorders>
              <w:top w:val="nil"/>
            </w:tcBorders>
            <w:vAlign w:val="top"/>
          </w:tcPr>
          <w:p w14:paraId="35299363">
            <w:pPr>
              <w:rPr>
                <w:rFonts w:ascii="Arial"/>
                <w:sz w:val="21"/>
              </w:rPr>
            </w:pPr>
          </w:p>
        </w:tc>
        <w:tc>
          <w:tcPr>
            <w:tcW w:w="1300" w:type="dxa"/>
            <w:vAlign w:val="top"/>
          </w:tcPr>
          <w:p w14:paraId="770FA150">
            <w:pPr>
              <w:pStyle w:val="6"/>
              <w:spacing w:before="60" w:line="220" w:lineRule="auto"/>
              <w:ind w:left="465"/>
            </w:pPr>
            <w:r>
              <w:rPr>
                <w:spacing w:val="-3"/>
              </w:rPr>
              <w:t>指标</w:t>
            </w:r>
          </w:p>
        </w:tc>
        <w:tc>
          <w:tcPr>
            <w:tcW w:w="510" w:type="dxa"/>
            <w:vAlign w:val="top"/>
          </w:tcPr>
          <w:p w14:paraId="1B06F2EB">
            <w:pPr>
              <w:pStyle w:val="6"/>
              <w:spacing w:before="60" w:line="220" w:lineRule="auto"/>
              <w:ind w:left="65"/>
            </w:pPr>
            <w:r>
              <w:rPr>
                <w:spacing w:val="-2"/>
              </w:rPr>
              <w:t>子项</w:t>
            </w:r>
          </w:p>
        </w:tc>
        <w:tc>
          <w:tcPr>
            <w:tcW w:w="540" w:type="dxa"/>
            <w:vAlign w:val="top"/>
          </w:tcPr>
          <w:p w14:paraId="40589AB7">
            <w:pPr>
              <w:pStyle w:val="6"/>
              <w:spacing w:before="60" w:line="220" w:lineRule="auto"/>
              <w:ind w:left="85"/>
            </w:pPr>
            <w:r>
              <w:rPr>
                <w:spacing w:val="-2"/>
              </w:rPr>
              <w:t>母项</w:t>
            </w:r>
          </w:p>
        </w:tc>
        <w:tc>
          <w:tcPr>
            <w:tcW w:w="1900" w:type="dxa"/>
            <w:vAlign w:val="top"/>
          </w:tcPr>
          <w:p w14:paraId="5CFAD0A2">
            <w:pPr>
              <w:pStyle w:val="6"/>
              <w:spacing w:before="60" w:line="220" w:lineRule="auto"/>
              <w:ind w:left="765"/>
            </w:pPr>
            <w:r>
              <w:rPr>
                <w:spacing w:val="-2"/>
              </w:rPr>
              <w:t>子项</w:t>
            </w:r>
          </w:p>
        </w:tc>
        <w:tc>
          <w:tcPr>
            <w:tcW w:w="1670" w:type="dxa"/>
            <w:vAlign w:val="top"/>
          </w:tcPr>
          <w:p w14:paraId="352C7A1E">
            <w:pPr>
              <w:pStyle w:val="6"/>
              <w:spacing w:before="60" w:line="220" w:lineRule="auto"/>
              <w:ind w:left="665"/>
            </w:pPr>
            <w:r>
              <w:rPr>
                <w:spacing w:val="-2"/>
              </w:rPr>
              <w:t>母项</w:t>
            </w:r>
          </w:p>
        </w:tc>
        <w:tc>
          <w:tcPr>
            <w:tcW w:w="730" w:type="dxa"/>
            <w:vMerge w:val="continue"/>
            <w:tcBorders>
              <w:top w:val="nil"/>
              <w:right w:val="nil"/>
            </w:tcBorders>
            <w:vAlign w:val="top"/>
          </w:tcPr>
          <w:p w14:paraId="3908A233">
            <w:pPr>
              <w:rPr>
                <w:rFonts w:ascii="Arial"/>
                <w:sz w:val="21"/>
              </w:rPr>
            </w:pPr>
          </w:p>
        </w:tc>
      </w:tr>
      <w:tr w14:paraId="2D1582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530" w:type="dxa"/>
            <w:tcBorders>
              <w:left w:val="nil"/>
            </w:tcBorders>
            <w:vAlign w:val="top"/>
          </w:tcPr>
          <w:p w14:paraId="3B840167">
            <w:pPr>
              <w:pStyle w:val="6"/>
              <w:spacing w:before="206" w:line="183" w:lineRule="auto"/>
              <w:ind w:left="80"/>
            </w:pPr>
            <w:r>
              <w:rPr>
                <w:spacing w:val="-2"/>
              </w:rPr>
              <w:t>2663</w:t>
            </w:r>
          </w:p>
        </w:tc>
        <w:tc>
          <w:tcPr>
            <w:tcW w:w="2270" w:type="dxa"/>
            <w:vAlign w:val="top"/>
          </w:tcPr>
          <w:p w14:paraId="3EF5F55F">
            <w:pPr>
              <w:pStyle w:val="6"/>
              <w:spacing w:before="70" w:line="214" w:lineRule="auto"/>
              <w:ind w:left="25" w:right="72" w:firstLine="10"/>
            </w:pPr>
            <w:r>
              <w:rPr>
                <w:spacing w:val="-1"/>
              </w:rPr>
              <w:t>联碱法纯碱双吨产品生产综</w:t>
            </w:r>
            <w:r>
              <w:rPr>
                <w:spacing w:val="3"/>
              </w:rPr>
              <w:t xml:space="preserve"> </w:t>
            </w:r>
            <w:r>
              <w:rPr>
                <w:spacing w:val="-2"/>
              </w:rPr>
              <w:t>合能耗</w:t>
            </w:r>
          </w:p>
        </w:tc>
        <w:tc>
          <w:tcPr>
            <w:tcW w:w="1300" w:type="dxa"/>
            <w:vAlign w:val="top"/>
          </w:tcPr>
          <w:p w14:paraId="31212535">
            <w:pPr>
              <w:pStyle w:val="6"/>
              <w:spacing w:before="160" w:line="219" w:lineRule="auto"/>
              <w:ind w:left="35"/>
            </w:pPr>
            <w:r>
              <w:rPr>
                <w:spacing w:val="-1"/>
              </w:rPr>
              <w:t>千克标准煤/吨</w:t>
            </w:r>
          </w:p>
        </w:tc>
        <w:tc>
          <w:tcPr>
            <w:tcW w:w="510" w:type="dxa"/>
            <w:vAlign w:val="top"/>
          </w:tcPr>
          <w:p w14:paraId="7782B893">
            <w:pPr>
              <w:pStyle w:val="6"/>
              <w:spacing w:before="60" w:line="219" w:lineRule="auto"/>
              <w:ind w:left="65" w:right="67"/>
            </w:pPr>
            <w:r>
              <w:rPr>
                <w:spacing w:val="3"/>
              </w:rPr>
              <w:t>吨标</w:t>
            </w:r>
            <w:r>
              <w:t xml:space="preserve"> </w:t>
            </w:r>
            <w:r>
              <w:rPr>
                <w:spacing w:val="-3"/>
              </w:rPr>
              <w:t>准煤</w:t>
            </w:r>
          </w:p>
        </w:tc>
        <w:tc>
          <w:tcPr>
            <w:tcW w:w="540" w:type="dxa"/>
            <w:vAlign w:val="top"/>
          </w:tcPr>
          <w:p w14:paraId="7EF8C1B1">
            <w:pPr>
              <w:pStyle w:val="6"/>
              <w:spacing w:before="169" w:line="229" w:lineRule="auto"/>
              <w:ind w:left="175"/>
            </w:pPr>
            <w:r>
              <w:t>吨</w:t>
            </w:r>
          </w:p>
        </w:tc>
        <w:tc>
          <w:tcPr>
            <w:tcW w:w="1900" w:type="dxa"/>
            <w:vAlign w:val="top"/>
          </w:tcPr>
          <w:p w14:paraId="5CC278CE">
            <w:pPr>
              <w:pStyle w:val="6"/>
              <w:spacing w:before="60" w:line="219" w:lineRule="auto"/>
              <w:ind w:left="15" w:right="82"/>
            </w:pPr>
            <w:r>
              <w:rPr>
                <w:spacing w:val="-1"/>
              </w:rPr>
              <w:t>双吨产品综合能源消耗</w:t>
            </w:r>
            <w:r>
              <w:rPr>
                <w:spacing w:val="1"/>
              </w:rPr>
              <w:t xml:space="preserve"> </w:t>
            </w:r>
            <w:r>
              <w:rPr>
                <w:spacing w:val="-3"/>
              </w:rPr>
              <w:t>总量</w:t>
            </w:r>
          </w:p>
        </w:tc>
        <w:tc>
          <w:tcPr>
            <w:tcW w:w="1670" w:type="dxa"/>
            <w:vAlign w:val="top"/>
          </w:tcPr>
          <w:p w14:paraId="1F4B829D">
            <w:pPr>
              <w:pStyle w:val="6"/>
              <w:spacing w:before="160" w:line="219" w:lineRule="auto"/>
              <w:ind w:left="15"/>
            </w:pPr>
            <w:r>
              <w:rPr>
                <w:spacing w:val="-1"/>
              </w:rPr>
              <w:t>纯碱(碳酸钠)产量</w:t>
            </w:r>
          </w:p>
        </w:tc>
        <w:tc>
          <w:tcPr>
            <w:tcW w:w="730" w:type="dxa"/>
            <w:tcBorders>
              <w:right w:val="nil"/>
            </w:tcBorders>
            <w:vAlign w:val="top"/>
          </w:tcPr>
          <w:p w14:paraId="2C45EC0F">
            <w:pPr>
              <w:pStyle w:val="6"/>
              <w:spacing w:before="205" w:line="184" w:lineRule="auto"/>
              <w:ind w:left="345"/>
            </w:pPr>
            <w:r>
              <w:rPr>
                <w:spacing w:val="-4"/>
              </w:rPr>
              <w:t>1000</w:t>
            </w:r>
          </w:p>
        </w:tc>
      </w:tr>
      <w:tr w14:paraId="06858B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530" w:type="dxa"/>
            <w:tcBorders>
              <w:left w:val="nil"/>
            </w:tcBorders>
            <w:vAlign w:val="top"/>
          </w:tcPr>
          <w:p w14:paraId="485D2032">
            <w:pPr>
              <w:pStyle w:val="6"/>
              <w:spacing w:before="208" w:line="183" w:lineRule="auto"/>
              <w:ind w:left="80"/>
            </w:pPr>
            <w:r>
              <w:rPr>
                <w:spacing w:val="-2"/>
              </w:rPr>
              <w:t>2664</w:t>
            </w:r>
          </w:p>
        </w:tc>
        <w:tc>
          <w:tcPr>
            <w:tcW w:w="2270" w:type="dxa"/>
            <w:vAlign w:val="top"/>
          </w:tcPr>
          <w:p w14:paraId="7225A0F1">
            <w:pPr>
              <w:pStyle w:val="6"/>
              <w:spacing w:before="62" w:line="218" w:lineRule="auto"/>
              <w:ind w:left="35" w:right="92" w:hanging="20"/>
            </w:pPr>
            <w:r>
              <w:rPr>
                <w:spacing w:val="-1"/>
              </w:rPr>
              <w:t>联碱法纯碱双吨产品生产耗</w:t>
            </w:r>
            <w:r>
              <w:rPr>
                <w:spacing w:val="3"/>
              </w:rPr>
              <w:t xml:space="preserve"> </w:t>
            </w:r>
            <w:r>
              <w:t>电</w:t>
            </w:r>
          </w:p>
        </w:tc>
        <w:tc>
          <w:tcPr>
            <w:tcW w:w="1300" w:type="dxa"/>
            <w:vAlign w:val="top"/>
          </w:tcPr>
          <w:p w14:paraId="1C753C62">
            <w:pPr>
              <w:pStyle w:val="6"/>
              <w:spacing w:before="163" w:line="221" w:lineRule="auto"/>
              <w:ind w:left="35"/>
            </w:pPr>
            <w:r>
              <w:rPr>
                <w:spacing w:val="-2"/>
              </w:rPr>
              <w:t>千瓦时/吨</w:t>
            </w:r>
          </w:p>
        </w:tc>
        <w:tc>
          <w:tcPr>
            <w:tcW w:w="510" w:type="dxa"/>
            <w:vAlign w:val="top"/>
          </w:tcPr>
          <w:p w14:paraId="7D0D2402">
            <w:pPr>
              <w:pStyle w:val="6"/>
              <w:spacing w:before="92" w:line="203" w:lineRule="auto"/>
              <w:ind w:left="65" w:right="64"/>
            </w:pPr>
            <w:r>
              <w:rPr>
                <w:spacing w:val="-6"/>
              </w:rPr>
              <w:t>万干</w:t>
            </w:r>
            <w:r>
              <w:t xml:space="preserve"> </w:t>
            </w:r>
            <w:r>
              <w:rPr>
                <w:spacing w:val="5"/>
              </w:rPr>
              <w:t>瓦时</w:t>
            </w:r>
          </w:p>
        </w:tc>
        <w:tc>
          <w:tcPr>
            <w:tcW w:w="540" w:type="dxa"/>
            <w:vAlign w:val="top"/>
          </w:tcPr>
          <w:p w14:paraId="1F3D2DC9">
            <w:pPr>
              <w:pStyle w:val="6"/>
              <w:spacing w:before="171" w:line="229" w:lineRule="auto"/>
              <w:ind w:left="175"/>
            </w:pPr>
            <w:r>
              <w:t>吨</w:t>
            </w:r>
          </w:p>
        </w:tc>
        <w:tc>
          <w:tcPr>
            <w:tcW w:w="1900" w:type="dxa"/>
            <w:vAlign w:val="top"/>
          </w:tcPr>
          <w:p w14:paraId="734BF13E">
            <w:pPr>
              <w:pStyle w:val="6"/>
              <w:spacing w:before="162" w:line="219" w:lineRule="auto"/>
              <w:ind w:left="15"/>
            </w:pPr>
            <w:r>
              <w:rPr>
                <w:spacing w:val="-1"/>
              </w:rPr>
              <w:t>双吨产品生产耗电总量</w:t>
            </w:r>
          </w:p>
        </w:tc>
        <w:tc>
          <w:tcPr>
            <w:tcW w:w="1670" w:type="dxa"/>
            <w:vAlign w:val="top"/>
          </w:tcPr>
          <w:p w14:paraId="017A484F">
            <w:pPr>
              <w:pStyle w:val="6"/>
              <w:spacing w:before="162" w:line="219" w:lineRule="auto"/>
              <w:ind w:left="15"/>
            </w:pPr>
            <w:r>
              <w:rPr>
                <w:spacing w:val="-1"/>
              </w:rPr>
              <w:t>纯碱(碳酸钠)产量</w:t>
            </w:r>
          </w:p>
        </w:tc>
        <w:tc>
          <w:tcPr>
            <w:tcW w:w="730" w:type="dxa"/>
            <w:tcBorders>
              <w:right w:val="nil"/>
            </w:tcBorders>
            <w:vAlign w:val="top"/>
          </w:tcPr>
          <w:p w14:paraId="30A743FF">
            <w:pPr>
              <w:pStyle w:val="6"/>
              <w:spacing w:before="208" w:line="184" w:lineRule="auto"/>
              <w:ind w:left="255"/>
            </w:pPr>
            <w:r>
              <w:rPr>
                <w:spacing w:val="-4"/>
              </w:rPr>
              <w:t>10000</w:t>
            </w:r>
          </w:p>
        </w:tc>
      </w:tr>
      <w:tr w14:paraId="01525D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530" w:type="dxa"/>
            <w:tcBorders>
              <w:left w:val="nil"/>
            </w:tcBorders>
            <w:vAlign w:val="top"/>
          </w:tcPr>
          <w:p w14:paraId="79370F87">
            <w:pPr>
              <w:pStyle w:val="6"/>
              <w:spacing w:before="210" w:line="183" w:lineRule="auto"/>
              <w:ind w:left="80"/>
            </w:pPr>
            <w:r>
              <w:rPr>
                <w:spacing w:val="-2"/>
              </w:rPr>
              <w:t>2665</w:t>
            </w:r>
          </w:p>
        </w:tc>
        <w:tc>
          <w:tcPr>
            <w:tcW w:w="2270" w:type="dxa"/>
            <w:vAlign w:val="top"/>
          </w:tcPr>
          <w:p w14:paraId="3E3F8B1A">
            <w:pPr>
              <w:pStyle w:val="6"/>
              <w:spacing w:before="74" w:line="212" w:lineRule="auto"/>
              <w:ind w:left="25" w:right="95" w:hanging="10"/>
            </w:pPr>
            <w:r>
              <w:rPr>
                <w:spacing w:val="-1"/>
              </w:rPr>
              <w:t>天然碱法单位纯碱生产综合</w:t>
            </w:r>
            <w:r>
              <w:t xml:space="preserve"> </w:t>
            </w:r>
            <w:r>
              <w:rPr>
                <w:spacing w:val="3"/>
              </w:rPr>
              <w:t>能耗</w:t>
            </w:r>
          </w:p>
        </w:tc>
        <w:tc>
          <w:tcPr>
            <w:tcW w:w="1300" w:type="dxa"/>
            <w:vAlign w:val="top"/>
          </w:tcPr>
          <w:p w14:paraId="1FE99341">
            <w:pPr>
              <w:pStyle w:val="6"/>
              <w:spacing w:before="164" w:line="219" w:lineRule="auto"/>
              <w:ind w:left="35"/>
            </w:pPr>
            <w:r>
              <w:rPr>
                <w:spacing w:val="-1"/>
              </w:rPr>
              <w:t>千克标准煤/吨</w:t>
            </w:r>
          </w:p>
        </w:tc>
        <w:tc>
          <w:tcPr>
            <w:tcW w:w="510" w:type="dxa"/>
            <w:vAlign w:val="top"/>
          </w:tcPr>
          <w:p w14:paraId="4B406E28">
            <w:pPr>
              <w:pStyle w:val="6"/>
              <w:spacing w:before="64" w:line="217" w:lineRule="auto"/>
              <w:ind w:left="65" w:right="67"/>
            </w:pPr>
            <w:r>
              <w:rPr>
                <w:spacing w:val="3"/>
              </w:rPr>
              <w:t>吨标</w:t>
            </w:r>
            <w:r>
              <w:t xml:space="preserve"> </w:t>
            </w:r>
            <w:r>
              <w:rPr>
                <w:spacing w:val="-3"/>
              </w:rPr>
              <w:t>准煤</w:t>
            </w:r>
          </w:p>
        </w:tc>
        <w:tc>
          <w:tcPr>
            <w:tcW w:w="540" w:type="dxa"/>
            <w:vAlign w:val="top"/>
          </w:tcPr>
          <w:p w14:paraId="0E38596C">
            <w:pPr>
              <w:pStyle w:val="6"/>
              <w:spacing w:before="173" w:line="229" w:lineRule="auto"/>
              <w:ind w:left="175"/>
            </w:pPr>
            <w:r>
              <w:t>吨</w:t>
            </w:r>
          </w:p>
        </w:tc>
        <w:tc>
          <w:tcPr>
            <w:tcW w:w="1900" w:type="dxa"/>
            <w:vAlign w:val="top"/>
          </w:tcPr>
          <w:p w14:paraId="363164D4">
            <w:pPr>
              <w:pStyle w:val="6"/>
              <w:spacing w:before="164" w:line="219" w:lineRule="auto"/>
              <w:ind w:left="15"/>
            </w:pPr>
            <w:r>
              <w:rPr>
                <w:spacing w:val="-1"/>
              </w:rPr>
              <w:t>纯碱综合能源消耗总量</w:t>
            </w:r>
          </w:p>
        </w:tc>
        <w:tc>
          <w:tcPr>
            <w:tcW w:w="1670" w:type="dxa"/>
            <w:vAlign w:val="top"/>
          </w:tcPr>
          <w:p w14:paraId="22936577">
            <w:pPr>
              <w:pStyle w:val="6"/>
              <w:spacing w:before="164" w:line="219" w:lineRule="auto"/>
              <w:ind w:left="15"/>
            </w:pPr>
            <w:r>
              <w:rPr>
                <w:spacing w:val="-1"/>
              </w:rPr>
              <w:t>纯碱(碳酸钠)产量</w:t>
            </w:r>
          </w:p>
        </w:tc>
        <w:tc>
          <w:tcPr>
            <w:tcW w:w="730" w:type="dxa"/>
            <w:tcBorders>
              <w:right w:val="nil"/>
            </w:tcBorders>
            <w:vAlign w:val="top"/>
          </w:tcPr>
          <w:p w14:paraId="5DA95120">
            <w:pPr>
              <w:pStyle w:val="6"/>
              <w:spacing w:before="209" w:line="184" w:lineRule="auto"/>
              <w:ind w:left="345"/>
            </w:pPr>
            <w:r>
              <w:rPr>
                <w:spacing w:val="-4"/>
              </w:rPr>
              <w:t>1000</w:t>
            </w:r>
          </w:p>
        </w:tc>
      </w:tr>
      <w:tr w14:paraId="14705D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530" w:type="dxa"/>
            <w:tcBorders>
              <w:left w:val="nil"/>
            </w:tcBorders>
            <w:vAlign w:val="top"/>
          </w:tcPr>
          <w:p w14:paraId="16AFC4C3">
            <w:pPr>
              <w:pStyle w:val="6"/>
              <w:spacing w:before="211" w:line="183" w:lineRule="auto"/>
              <w:ind w:left="82"/>
            </w:pPr>
            <w:r>
              <w:rPr>
                <w:b/>
                <w:bCs/>
                <w:spacing w:val="-4"/>
              </w:rPr>
              <w:t>2666</w:t>
            </w:r>
          </w:p>
        </w:tc>
        <w:tc>
          <w:tcPr>
            <w:tcW w:w="2270" w:type="dxa"/>
            <w:vAlign w:val="top"/>
          </w:tcPr>
          <w:p w14:paraId="034A80B2">
            <w:pPr>
              <w:pStyle w:val="6"/>
              <w:spacing w:before="216" w:line="219" w:lineRule="auto"/>
              <w:ind w:left="25"/>
            </w:pPr>
            <w:r>
              <w:t>天然碱法单位纯碱生产耗电</w:t>
            </w:r>
          </w:p>
        </w:tc>
        <w:tc>
          <w:tcPr>
            <w:tcW w:w="1300" w:type="dxa"/>
            <w:vAlign w:val="top"/>
          </w:tcPr>
          <w:p w14:paraId="4279EAAA">
            <w:pPr>
              <w:pStyle w:val="6"/>
              <w:spacing w:before="197" w:line="221" w:lineRule="auto"/>
              <w:ind w:left="35"/>
            </w:pPr>
            <w:r>
              <w:rPr>
                <w:spacing w:val="-2"/>
              </w:rPr>
              <w:t>千瓦时/吨</w:t>
            </w:r>
          </w:p>
        </w:tc>
        <w:tc>
          <w:tcPr>
            <w:tcW w:w="510" w:type="dxa"/>
            <w:vAlign w:val="top"/>
          </w:tcPr>
          <w:p w14:paraId="780B2185">
            <w:pPr>
              <w:pStyle w:val="6"/>
              <w:spacing w:before="87" w:line="203" w:lineRule="auto"/>
              <w:ind w:left="65" w:right="64"/>
            </w:pPr>
            <w:r>
              <w:rPr>
                <w:spacing w:val="-6"/>
              </w:rPr>
              <w:t>万千</w:t>
            </w:r>
            <w:r>
              <w:t xml:space="preserve"> </w:t>
            </w:r>
            <w:r>
              <w:rPr>
                <w:spacing w:val="5"/>
              </w:rPr>
              <w:t>瓦时</w:t>
            </w:r>
          </w:p>
        </w:tc>
        <w:tc>
          <w:tcPr>
            <w:tcW w:w="540" w:type="dxa"/>
            <w:vAlign w:val="top"/>
          </w:tcPr>
          <w:p w14:paraId="6845D063">
            <w:pPr>
              <w:pStyle w:val="6"/>
              <w:spacing w:before="205" w:line="229" w:lineRule="auto"/>
              <w:ind w:left="175"/>
            </w:pPr>
            <w:r>
              <w:t>吨</w:t>
            </w:r>
          </w:p>
        </w:tc>
        <w:tc>
          <w:tcPr>
            <w:tcW w:w="1900" w:type="dxa"/>
            <w:vAlign w:val="top"/>
          </w:tcPr>
          <w:p w14:paraId="667709F6">
            <w:pPr>
              <w:pStyle w:val="6"/>
              <w:spacing w:before="206" w:line="219" w:lineRule="auto"/>
              <w:ind w:left="15"/>
            </w:pPr>
            <w:r>
              <w:rPr>
                <w:spacing w:val="-2"/>
              </w:rPr>
              <w:t>纯碱生产耗电总量</w:t>
            </w:r>
          </w:p>
        </w:tc>
        <w:tc>
          <w:tcPr>
            <w:tcW w:w="1670" w:type="dxa"/>
            <w:vAlign w:val="top"/>
          </w:tcPr>
          <w:p w14:paraId="5FA7E45E">
            <w:pPr>
              <w:pStyle w:val="6"/>
              <w:spacing w:before="206" w:line="219" w:lineRule="auto"/>
              <w:ind w:left="15"/>
            </w:pPr>
            <w:r>
              <w:rPr>
                <w:spacing w:val="-1"/>
              </w:rPr>
              <w:t>纯碱(碳酸钠)产量</w:t>
            </w:r>
          </w:p>
        </w:tc>
        <w:tc>
          <w:tcPr>
            <w:tcW w:w="730" w:type="dxa"/>
            <w:tcBorders>
              <w:right w:val="nil"/>
            </w:tcBorders>
            <w:vAlign w:val="top"/>
          </w:tcPr>
          <w:p w14:paraId="599BFF16">
            <w:pPr>
              <w:pStyle w:val="6"/>
              <w:spacing w:before="241" w:line="184" w:lineRule="auto"/>
              <w:ind w:left="255"/>
            </w:pPr>
            <w:r>
              <w:rPr>
                <w:spacing w:val="-4"/>
              </w:rPr>
              <w:t>10000</w:t>
            </w:r>
          </w:p>
        </w:tc>
      </w:tr>
    </w:tbl>
    <w:p w14:paraId="4C31569E">
      <w:pPr>
        <w:spacing w:line="218" w:lineRule="auto"/>
        <w:rPr>
          <w:rFonts w:ascii="宋体" w:hAnsi="宋体" w:eastAsia="宋体" w:cs="宋体"/>
          <w:sz w:val="18"/>
          <w:szCs w:val="18"/>
        </w:rPr>
      </w:pPr>
      <w:r>
        <w:rPr>
          <w:rFonts w:ascii="宋体" w:hAnsi="宋体" w:eastAsia="宋体" w:cs="宋体"/>
          <w:b/>
          <w:bCs/>
          <w:spacing w:val="-4"/>
          <w:sz w:val="18"/>
          <w:szCs w:val="18"/>
        </w:rPr>
        <w:t>无机盐(26</w:t>
      </w:r>
    </w:p>
    <w:p w14:paraId="352E0B9B">
      <w:pPr>
        <w:spacing w:line="87" w:lineRule="exact"/>
      </w:pPr>
    </w:p>
    <w:tbl>
      <w:tblPr>
        <w:tblStyle w:val="5"/>
        <w:tblW w:w="9430" w:type="dxa"/>
        <w:tblInd w:w="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0"/>
        <w:gridCol w:w="2270"/>
        <w:gridCol w:w="1300"/>
        <w:gridCol w:w="510"/>
        <w:gridCol w:w="540"/>
        <w:gridCol w:w="1900"/>
        <w:gridCol w:w="1670"/>
        <w:gridCol w:w="730"/>
      </w:tblGrid>
      <w:tr w14:paraId="233653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510" w:type="dxa"/>
            <w:tcBorders>
              <w:left w:val="nil"/>
            </w:tcBorders>
            <w:vAlign w:val="top"/>
          </w:tcPr>
          <w:p w14:paraId="39B7DFE1">
            <w:pPr>
              <w:pStyle w:val="6"/>
              <w:spacing w:before="207" w:line="184" w:lineRule="auto"/>
              <w:ind w:left="70"/>
            </w:pPr>
            <w:r>
              <w:rPr>
                <w:spacing w:val="-2"/>
              </w:rPr>
              <w:t>2619</w:t>
            </w:r>
          </w:p>
        </w:tc>
        <w:tc>
          <w:tcPr>
            <w:tcW w:w="2270" w:type="dxa"/>
            <w:vAlign w:val="top"/>
          </w:tcPr>
          <w:p w14:paraId="745F32C4">
            <w:pPr>
              <w:pStyle w:val="6"/>
              <w:spacing w:before="162" w:line="219" w:lineRule="auto"/>
              <w:ind w:left="25"/>
            </w:pPr>
            <w:r>
              <w:rPr>
                <w:spacing w:val="-1"/>
              </w:rPr>
              <w:t>单位电石生产综合能耗</w:t>
            </w:r>
          </w:p>
        </w:tc>
        <w:tc>
          <w:tcPr>
            <w:tcW w:w="1300" w:type="dxa"/>
            <w:vAlign w:val="top"/>
          </w:tcPr>
          <w:p w14:paraId="4E9D7E91">
            <w:pPr>
              <w:pStyle w:val="6"/>
              <w:spacing w:before="162" w:line="219" w:lineRule="auto"/>
              <w:ind w:left="35"/>
            </w:pPr>
            <w:r>
              <w:rPr>
                <w:spacing w:val="-1"/>
              </w:rPr>
              <w:t>千克标准煤/吨</w:t>
            </w:r>
          </w:p>
        </w:tc>
        <w:tc>
          <w:tcPr>
            <w:tcW w:w="510" w:type="dxa"/>
            <w:vAlign w:val="top"/>
          </w:tcPr>
          <w:p w14:paraId="52C2ACF1">
            <w:pPr>
              <w:pStyle w:val="6"/>
              <w:spacing w:before="62" w:line="220" w:lineRule="auto"/>
              <w:ind w:left="65" w:right="67"/>
            </w:pPr>
            <w:r>
              <w:rPr>
                <w:spacing w:val="3"/>
              </w:rPr>
              <w:t>吨标</w:t>
            </w:r>
            <w:r>
              <w:t xml:space="preserve"> </w:t>
            </w:r>
            <w:r>
              <w:rPr>
                <w:spacing w:val="-3"/>
              </w:rPr>
              <w:t>准煤</w:t>
            </w:r>
          </w:p>
        </w:tc>
        <w:tc>
          <w:tcPr>
            <w:tcW w:w="540" w:type="dxa"/>
            <w:vAlign w:val="top"/>
          </w:tcPr>
          <w:p w14:paraId="66EFE673">
            <w:pPr>
              <w:pStyle w:val="6"/>
              <w:spacing w:before="171" w:line="229" w:lineRule="auto"/>
              <w:ind w:left="175"/>
            </w:pPr>
            <w:r>
              <w:t>吨</w:t>
            </w:r>
          </w:p>
        </w:tc>
        <w:tc>
          <w:tcPr>
            <w:tcW w:w="1900" w:type="dxa"/>
            <w:vAlign w:val="top"/>
          </w:tcPr>
          <w:p w14:paraId="3BBC782D">
            <w:pPr>
              <w:pStyle w:val="6"/>
              <w:spacing w:before="162" w:line="219" w:lineRule="auto"/>
              <w:ind w:left="15"/>
            </w:pPr>
            <w:r>
              <w:t>电石综合能源消耗总量</w:t>
            </w:r>
          </w:p>
        </w:tc>
        <w:tc>
          <w:tcPr>
            <w:tcW w:w="1670" w:type="dxa"/>
            <w:vAlign w:val="top"/>
          </w:tcPr>
          <w:p w14:paraId="2E063043">
            <w:pPr>
              <w:pStyle w:val="6"/>
              <w:spacing w:before="72" w:line="215" w:lineRule="auto"/>
              <w:ind w:left="15" w:right="32"/>
            </w:pPr>
            <w:r>
              <w:rPr>
                <w:spacing w:val="-1"/>
              </w:rPr>
              <w:t>碳化钙(电石，折300</w:t>
            </w:r>
            <w:r>
              <w:rPr>
                <w:spacing w:val="2"/>
              </w:rPr>
              <w:t xml:space="preserve"> </w:t>
            </w:r>
            <w:r>
              <w:rPr>
                <w:spacing w:val="-2"/>
              </w:rPr>
              <w:t>升/千克)产量</w:t>
            </w:r>
          </w:p>
        </w:tc>
        <w:tc>
          <w:tcPr>
            <w:tcW w:w="730" w:type="dxa"/>
            <w:tcBorders>
              <w:right w:val="nil"/>
            </w:tcBorders>
            <w:vAlign w:val="top"/>
          </w:tcPr>
          <w:p w14:paraId="453F6F81">
            <w:pPr>
              <w:pStyle w:val="6"/>
              <w:spacing w:before="207" w:line="184" w:lineRule="auto"/>
              <w:ind w:right="15"/>
              <w:jc w:val="right"/>
            </w:pPr>
            <w:r>
              <w:rPr>
                <w:spacing w:val="-4"/>
              </w:rPr>
              <w:t>1000</w:t>
            </w:r>
          </w:p>
        </w:tc>
      </w:tr>
      <w:tr w14:paraId="73884C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510" w:type="dxa"/>
            <w:tcBorders>
              <w:left w:val="nil"/>
            </w:tcBorders>
            <w:vAlign w:val="top"/>
          </w:tcPr>
          <w:p w14:paraId="64E0CE94">
            <w:pPr>
              <w:pStyle w:val="6"/>
              <w:spacing w:before="276" w:line="183" w:lineRule="auto"/>
              <w:ind w:left="70"/>
            </w:pPr>
            <w:r>
              <w:rPr>
                <w:spacing w:val="-2"/>
              </w:rPr>
              <w:t>2620</w:t>
            </w:r>
          </w:p>
        </w:tc>
        <w:tc>
          <w:tcPr>
            <w:tcW w:w="2270" w:type="dxa"/>
            <w:vAlign w:val="top"/>
          </w:tcPr>
          <w:p w14:paraId="4DF228D0">
            <w:pPr>
              <w:pStyle w:val="6"/>
              <w:spacing w:before="160" w:line="219" w:lineRule="auto"/>
              <w:ind w:left="25"/>
            </w:pPr>
            <w:r>
              <w:rPr>
                <w:spacing w:val="-1"/>
              </w:rPr>
              <w:t>单位电石生产电力消耗</w:t>
            </w:r>
          </w:p>
        </w:tc>
        <w:tc>
          <w:tcPr>
            <w:tcW w:w="1300" w:type="dxa"/>
            <w:vAlign w:val="top"/>
          </w:tcPr>
          <w:p w14:paraId="74EDDC51">
            <w:pPr>
              <w:pStyle w:val="6"/>
              <w:spacing w:before="161" w:line="221" w:lineRule="auto"/>
              <w:ind w:left="35"/>
            </w:pPr>
            <w:r>
              <w:rPr>
                <w:spacing w:val="-2"/>
              </w:rPr>
              <w:t>千瓦时/吨</w:t>
            </w:r>
          </w:p>
        </w:tc>
        <w:tc>
          <w:tcPr>
            <w:tcW w:w="510" w:type="dxa"/>
            <w:vAlign w:val="top"/>
          </w:tcPr>
          <w:p w14:paraId="1FA16965">
            <w:pPr>
              <w:pStyle w:val="6"/>
              <w:spacing w:before="80" w:line="209" w:lineRule="auto"/>
              <w:ind w:left="65" w:right="64"/>
            </w:pPr>
            <w:r>
              <w:rPr>
                <w:spacing w:val="-6"/>
              </w:rPr>
              <w:t>万千</w:t>
            </w:r>
            <w:r>
              <w:t xml:space="preserve"> </w:t>
            </w:r>
            <w:r>
              <w:rPr>
                <w:spacing w:val="5"/>
              </w:rPr>
              <w:t>瓦时</w:t>
            </w:r>
          </w:p>
        </w:tc>
        <w:tc>
          <w:tcPr>
            <w:tcW w:w="540" w:type="dxa"/>
            <w:vAlign w:val="top"/>
          </w:tcPr>
          <w:p w14:paraId="2441CBB1">
            <w:pPr>
              <w:pStyle w:val="6"/>
              <w:spacing w:before="169" w:line="229" w:lineRule="auto"/>
              <w:ind w:left="175"/>
            </w:pPr>
            <w:r>
              <w:t>吨</w:t>
            </w:r>
          </w:p>
        </w:tc>
        <w:tc>
          <w:tcPr>
            <w:tcW w:w="1900" w:type="dxa"/>
            <w:vAlign w:val="top"/>
          </w:tcPr>
          <w:p w14:paraId="2C86F398">
            <w:pPr>
              <w:pStyle w:val="6"/>
              <w:spacing w:before="160" w:line="219" w:lineRule="auto"/>
              <w:ind w:left="15"/>
            </w:pPr>
            <w:r>
              <w:t>电石生产耗电总量</w:t>
            </w:r>
          </w:p>
        </w:tc>
        <w:tc>
          <w:tcPr>
            <w:tcW w:w="1670" w:type="dxa"/>
            <w:vAlign w:val="top"/>
          </w:tcPr>
          <w:p w14:paraId="2BB3297F">
            <w:pPr>
              <w:pStyle w:val="6"/>
              <w:spacing w:before="90" w:line="204" w:lineRule="auto"/>
              <w:ind w:left="15" w:right="32"/>
            </w:pPr>
            <w:r>
              <w:rPr>
                <w:spacing w:val="-1"/>
              </w:rPr>
              <w:t>碳化钙(电石，折300</w:t>
            </w:r>
            <w:r>
              <w:rPr>
                <w:spacing w:val="2"/>
              </w:rPr>
              <w:t xml:space="preserve"> </w:t>
            </w:r>
            <w:r>
              <w:rPr>
                <w:spacing w:val="-2"/>
              </w:rPr>
              <w:t>升/千克)产量</w:t>
            </w:r>
          </w:p>
        </w:tc>
        <w:tc>
          <w:tcPr>
            <w:tcW w:w="730" w:type="dxa"/>
            <w:tcBorders>
              <w:right w:val="nil"/>
            </w:tcBorders>
            <w:vAlign w:val="top"/>
          </w:tcPr>
          <w:p w14:paraId="16E2F75A">
            <w:pPr>
              <w:pStyle w:val="6"/>
              <w:spacing w:before="285" w:line="184" w:lineRule="auto"/>
              <w:ind w:right="16"/>
              <w:jc w:val="right"/>
            </w:pPr>
            <w:r>
              <w:rPr>
                <w:spacing w:val="-4"/>
              </w:rPr>
              <w:t>10000</w:t>
            </w:r>
          </w:p>
        </w:tc>
      </w:tr>
      <w:tr w14:paraId="4596B0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 w:hRule="atLeast"/>
        </w:trPr>
        <w:tc>
          <w:tcPr>
            <w:tcW w:w="510" w:type="dxa"/>
            <w:tcBorders>
              <w:left w:val="nil"/>
            </w:tcBorders>
            <w:vAlign w:val="top"/>
          </w:tcPr>
          <w:p w14:paraId="087FB0D7">
            <w:pPr>
              <w:pStyle w:val="6"/>
              <w:spacing w:before="277" w:line="184" w:lineRule="auto"/>
              <w:ind w:left="70"/>
            </w:pPr>
            <w:r>
              <w:rPr>
                <w:spacing w:val="-2"/>
              </w:rPr>
              <w:t>2671</w:t>
            </w:r>
          </w:p>
        </w:tc>
        <w:tc>
          <w:tcPr>
            <w:tcW w:w="2270" w:type="dxa"/>
            <w:vAlign w:val="top"/>
          </w:tcPr>
          <w:p w14:paraId="3AD4FD60">
            <w:pPr>
              <w:pStyle w:val="6"/>
              <w:spacing w:before="212" w:line="219" w:lineRule="auto"/>
              <w:ind w:left="25"/>
            </w:pPr>
            <w:r>
              <w:rPr>
                <w:spacing w:val="-1"/>
              </w:rPr>
              <w:t>单位黄磷生产综合能耗</w:t>
            </w:r>
          </w:p>
        </w:tc>
        <w:tc>
          <w:tcPr>
            <w:tcW w:w="1300" w:type="dxa"/>
            <w:vAlign w:val="top"/>
          </w:tcPr>
          <w:p w14:paraId="1193A0A8">
            <w:pPr>
              <w:pStyle w:val="6"/>
              <w:spacing w:before="162" w:line="219" w:lineRule="auto"/>
              <w:ind w:left="35"/>
            </w:pPr>
            <w:r>
              <w:rPr>
                <w:spacing w:val="-1"/>
              </w:rPr>
              <w:t>千克标准煤/吨</w:t>
            </w:r>
          </w:p>
        </w:tc>
        <w:tc>
          <w:tcPr>
            <w:tcW w:w="510" w:type="dxa"/>
            <w:vAlign w:val="top"/>
          </w:tcPr>
          <w:p w14:paraId="130275E5">
            <w:pPr>
              <w:pStyle w:val="6"/>
              <w:spacing w:before="73" w:line="212" w:lineRule="auto"/>
              <w:ind w:left="65" w:right="67"/>
            </w:pPr>
            <w:r>
              <w:rPr>
                <w:spacing w:val="3"/>
              </w:rPr>
              <w:t>吨标</w:t>
            </w:r>
            <w:r>
              <w:t xml:space="preserve"> </w:t>
            </w:r>
            <w:r>
              <w:rPr>
                <w:spacing w:val="-3"/>
              </w:rPr>
              <w:t>准煤</w:t>
            </w:r>
          </w:p>
        </w:tc>
        <w:tc>
          <w:tcPr>
            <w:tcW w:w="540" w:type="dxa"/>
            <w:vAlign w:val="top"/>
          </w:tcPr>
          <w:p w14:paraId="16002524">
            <w:pPr>
              <w:pStyle w:val="6"/>
              <w:spacing w:before="171" w:line="229" w:lineRule="auto"/>
              <w:ind w:left="175"/>
            </w:pPr>
            <w:r>
              <w:t>吨</w:t>
            </w:r>
          </w:p>
        </w:tc>
        <w:tc>
          <w:tcPr>
            <w:tcW w:w="1900" w:type="dxa"/>
            <w:vAlign w:val="top"/>
          </w:tcPr>
          <w:p w14:paraId="36E5D306">
            <w:pPr>
              <w:pStyle w:val="6"/>
              <w:spacing w:before="212" w:line="219" w:lineRule="auto"/>
              <w:ind w:left="15"/>
            </w:pPr>
            <w:r>
              <w:rPr>
                <w:spacing w:val="-1"/>
              </w:rPr>
              <w:t>黄磷综合能源消耗总量</w:t>
            </w:r>
          </w:p>
        </w:tc>
        <w:tc>
          <w:tcPr>
            <w:tcW w:w="1670" w:type="dxa"/>
            <w:vAlign w:val="top"/>
          </w:tcPr>
          <w:p w14:paraId="7A375D7A">
            <w:pPr>
              <w:pStyle w:val="6"/>
              <w:spacing w:before="202" w:line="219" w:lineRule="auto"/>
              <w:ind w:left="15"/>
            </w:pPr>
            <w:r>
              <w:rPr>
                <w:spacing w:val="-2"/>
              </w:rPr>
              <w:t>黄磷产量</w:t>
            </w:r>
          </w:p>
        </w:tc>
        <w:tc>
          <w:tcPr>
            <w:tcW w:w="730" w:type="dxa"/>
            <w:tcBorders>
              <w:right w:val="nil"/>
            </w:tcBorders>
            <w:vAlign w:val="top"/>
          </w:tcPr>
          <w:p w14:paraId="5AEBC5C2">
            <w:pPr>
              <w:pStyle w:val="6"/>
              <w:spacing w:before="287" w:line="184" w:lineRule="auto"/>
              <w:ind w:right="15"/>
              <w:jc w:val="right"/>
            </w:pPr>
            <w:r>
              <w:rPr>
                <w:spacing w:val="-4"/>
              </w:rPr>
              <w:t>1000</w:t>
            </w:r>
          </w:p>
        </w:tc>
      </w:tr>
      <w:tr w14:paraId="5DB7C0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510" w:type="dxa"/>
            <w:tcBorders>
              <w:left w:val="nil"/>
            </w:tcBorders>
            <w:vAlign w:val="top"/>
          </w:tcPr>
          <w:p w14:paraId="745A148C">
            <w:pPr>
              <w:pStyle w:val="6"/>
              <w:spacing w:before="281" w:line="183" w:lineRule="auto"/>
              <w:ind w:left="70"/>
            </w:pPr>
            <w:r>
              <w:rPr>
                <w:spacing w:val="-2"/>
              </w:rPr>
              <w:t>2672</w:t>
            </w:r>
          </w:p>
        </w:tc>
        <w:tc>
          <w:tcPr>
            <w:tcW w:w="2270" w:type="dxa"/>
            <w:vAlign w:val="top"/>
          </w:tcPr>
          <w:p w14:paraId="797B69DA">
            <w:pPr>
              <w:pStyle w:val="6"/>
              <w:spacing w:before="215" w:line="219" w:lineRule="auto"/>
              <w:ind w:left="25"/>
            </w:pPr>
            <w:r>
              <w:rPr>
                <w:spacing w:val="-1"/>
              </w:rPr>
              <w:t>单位黄磷生产电力消耗</w:t>
            </w:r>
          </w:p>
        </w:tc>
        <w:tc>
          <w:tcPr>
            <w:tcW w:w="1300" w:type="dxa"/>
            <w:vAlign w:val="top"/>
          </w:tcPr>
          <w:p w14:paraId="6E20C5AD">
            <w:pPr>
              <w:pStyle w:val="6"/>
              <w:spacing w:before="216" w:line="221" w:lineRule="auto"/>
              <w:ind w:left="35"/>
            </w:pPr>
            <w:r>
              <w:rPr>
                <w:spacing w:val="-2"/>
              </w:rPr>
              <w:t>千瓦时/吨</w:t>
            </w:r>
          </w:p>
        </w:tc>
        <w:tc>
          <w:tcPr>
            <w:tcW w:w="510" w:type="dxa"/>
            <w:vAlign w:val="top"/>
          </w:tcPr>
          <w:p w14:paraId="36EFE6AE">
            <w:pPr>
              <w:pStyle w:val="6"/>
              <w:spacing w:before="75" w:line="209" w:lineRule="auto"/>
              <w:ind w:left="85" w:right="44" w:hanging="20"/>
            </w:pPr>
            <w:r>
              <w:rPr>
                <w:spacing w:val="-6"/>
              </w:rPr>
              <w:t>万千</w:t>
            </w:r>
            <w:r>
              <w:t xml:space="preserve"> </w:t>
            </w:r>
            <w:r>
              <w:rPr>
                <w:spacing w:val="5"/>
              </w:rPr>
              <w:t>瓦时</w:t>
            </w:r>
          </w:p>
        </w:tc>
        <w:tc>
          <w:tcPr>
            <w:tcW w:w="540" w:type="dxa"/>
            <w:vAlign w:val="top"/>
          </w:tcPr>
          <w:p w14:paraId="3D55DF72">
            <w:pPr>
              <w:pStyle w:val="6"/>
              <w:spacing w:before="224" w:line="229" w:lineRule="auto"/>
              <w:ind w:left="175"/>
            </w:pPr>
            <w:r>
              <w:t>吨</w:t>
            </w:r>
          </w:p>
        </w:tc>
        <w:tc>
          <w:tcPr>
            <w:tcW w:w="1900" w:type="dxa"/>
            <w:vAlign w:val="top"/>
          </w:tcPr>
          <w:p w14:paraId="4B1108C5">
            <w:pPr>
              <w:pStyle w:val="6"/>
              <w:spacing w:before="215" w:line="219" w:lineRule="auto"/>
              <w:ind w:left="15"/>
            </w:pPr>
            <w:r>
              <w:rPr>
                <w:spacing w:val="-1"/>
              </w:rPr>
              <w:t>黄磷生产耗电总量</w:t>
            </w:r>
          </w:p>
        </w:tc>
        <w:tc>
          <w:tcPr>
            <w:tcW w:w="1670" w:type="dxa"/>
            <w:vAlign w:val="top"/>
          </w:tcPr>
          <w:p w14:paraId="51014EC4">
            <w:pPr>
              <w:pStyle w:val="6"/>
              <w:spacing w:before="215" w:line="219" w:lineRule="auto"/>
              <w:ind w:left="15"/>
            </w:pPr>
            <w:r>
              <w:rPr>
                <w:spacing w:val="-2"/>
              </w:rPr>
              <w:t>黄磷产量</w:t>
            </w:r>
          </w:p>
        </w:tc>
        <w:tc>
          <w:tcPr>
            <w:tcW w:w="730" w:type="dxa"/>
            <w:tcBorders>
              <w:right w:val="nil"/>
            </w:tcBorders>
            <w:vAlign w:val="top"/>
          </w:tcPr>
          <w:p w14:paraId="208E2D29">
            <w:pPr>
              <w:pStyle w:val="6"/>
              <w:spacing w:before="270" w:line="184" w:lineRule="auto"/>
              <w:ind w:right="16"/>
              <w:jc w:val="right"/>
            </w:pPr>
            <w:r>
              <w:rPr>
                <w:spacing w:val="-4"/>
              </w:rPr>
              <w:t>10000</w:t>
            </w:r>
          </w:p>
        </w:tc>
      </w:tr>
    </w:tbl>
    <w:p w14:paraId="7F66A73C">
      <w:pPr>
        <w:spacing w:before="68" w:line="219" w:lineRule="auto"/>
        <w:ind w:left="30"/>
        <w:rPr>
          <w:rFonts w:ascii="宋体" w:hAnsi="宋体" w:eastAsia="宋体" w:cs="宋体"/>
          <w:sz w:val="18"/>
          <w:szCs w:val="18"/>
        </w:rPr>
      </w:pPr>
      <w:r>
        <w:rPr>
          <w:rFonts w:ascii="宋体" w:hAnsi="宋体" w:eastAsia="宋体" w:cs="宋体"/>
          <w:b/>
          <w:bCs/>
          <w:spacing w:val="1"/>
          <w:sz w:val="18"/>
          <w:szCs w:val="18"/>
        </w:rPr>
        <w:t>有机化学原料(26)</w:t>
      </w:r>
    </w:p>
    <w:p w14:paraId="6038159F">
      <w:pPr>
        <w:spacing w:line="37" w:lineRule="exact"/>
      </w:pPr>
    </w:p>
    <w:tbl>
      <w:tblPr>
        <w:tblStyle w:val="5"/>
        <w:tblW w:w="9450" w:type="dxa"/>
        <w:tblInd w:w="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4"/>
        <w:gridCol w:w="2268"/>
        <w:gridCol w:w="1299"/>
        <w:gridCol w:w="510"/>
        <w:gridCol w:w="539"/>
        <w:gridCol w:w="1898"/>
        <w:gridCol w:w="1668"/>
        <w:gridCol w:w="734"/>
      </w:tblGrid>
      <w:tr w14:paraId="4D7E94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534" w:type="dxa"/>
            <w:vAlign w:val="top"/>
          </w:tcPr>
          <w:p w14:paraId="5D2D6784">
            <w:pPr>
              <w:pStyle w:val="6"/>
              <w:spacing w:before="207" w:line="184" w:lineRule="auto"/>
              <w:ind w:left="75"/>
            </w:pPr>
            <w:r>
              <w:rPr>
                <w:spacing w:val="-2"/>
              </w:rPr>
              <w:t>2621</w:t>
            </w:r>
          </w:p>
        </w:tc>
        <w:tc>
          <w:tcPr>
            <w:tcW w:w="2268" w:type="dxa"/>
            <w:vAlign w:val="top"/>
          </w:tcPr>
          <w:p w14:paraId="0AA93A2E">
            <w:pPr>
              <w:pStyle w:val="6"/>
              <w:spacing w:before="162" w:line="219" w:lineRule="auto"/>
              <w:ind w:left="21"/>
            </w:pPr>
            <w:r>
              <w:rPr>
                <w:spacing w:val="-1"/>
              </w:rPr>
              <w:t>单位乙烯生产综合能耗</w:t>
            </w:r>
          </w:p>
        </w:tc>
        <w:tc>
          <w:tcPr>
            <w:tcW w:w="1299" w:type="dxa"/>
            <w:vAlign w:val="top"/>
          </w:tcPr>
          <w:p w14:paraId="2D3E21C2">
            <w:pPr>
              <w:pStyle w:val="6"/>
              <w:spacing w:before="162" w:line="219" w:lineRule="auto"/>
              <w:ind w:left="33"/>
            </w:pPr>
            <w:r>
              <w:rPr>
                <w:spacing w:val="-1"/>
              </w:rPr>
              <w:t>千克标准煤/吨</w:t>
            </w:r>
          </w:p>
        </w:tc>
        <w:tc>
          <w:tcPr>
            <w:tcW w:w="510" w:type="dxa"/>
            <w:vAlign w:val="top"/>
          </w:tcPr>
          <w:p w14:paraId="37E36592">
            <w:pPr>
              <w:pStyle w:val="6"/>
              <w:spacing w:before="53" w:line="224" w:lineRule="auto"/>
              <w:ind w:left="64" w:right="68"/>
            </w:pPr>
            <w:r>
              <w:rPr>
                <w:spacing w:val="3"/>
              </w:rPr>
              <w:t>吨标</w:t>
            </w:r>
            <w:r>
              <w:t xml:space="preserve"> </w:t>
            </w:r>
            <w:r>
              <w:rPr>
                <w:spacing w:val="-3"/>
              </w:rPr>
              <w:t>准煤</w:t>
            </w:r>
          </w:p>
        </w:tc>
        <w:tc>
          <w:tcPr>
            <w:tcW w:w="539" w:type="dxa"/>
            <w:vAlign w:val="top"/>
          </w:tcPr>
          <w:p w14:paraId="6B107385">
            <w:pPr>
              <w:pStyle w:val="6"/>
              <w:spacing w:before="171" w:line="229" w:lineRule="auto"/>
              <w:ind w:left="174"/>
            </w:pPr>
            <w:r>
              <w:t>吨</w:t>
            </w:r>
          </w:p>
        </w:tc>
        <w:tc>
          <w:tcPr>
            <w:tcW w:w="1898" w:type="dxa"/>
            <w:vAlign w:val="top"/>
          </w:tcPr>
          <w:p w14:paraId="2D2202FA">
            <w:pPr>
              <w:pStyle w:val="6"/>
              <w:spacing w:before="162" w:line="219" w:lineRule="auto"/>
              <w:ind w:left="15"/>
            </w:pPr>
            <w:r>
              <w:t>乙烯燃料动力消耗总量</w:t>
            </w:r>
          </w:p>
        </w:tc>
        <w:tc>
          <w:tcPr>
            <w:tcW w:w="1668" w:type="dxa"/>
            <w:vAlign w:val="top"/>
          </w:tcPr>
          <w:p w14:paraId="05C3E42B">
            <w:pPr>
              <w:pStyle w:val="6"/>
              <w:spacing w:before="162" w:line="219" w:lineRule="auto"/>
              <w:ind w:left="17"/>
            </w:pPr>
            <w:r>
              <w:rPr>
                <w:spacing w:val="1"/>
              </w:rPr>
              <w:t>乙烯产量</w:t>
            </w:r>
          </w:p>
        </w:tc>
        <w:tc>
          <w:tcPr>
            <w:tcW w:w="734" w:type="dxa"/>
            <w:vAlign w:val="top"/>
          </w:tcPr>
          <w:p w14:paraId="7ABF4A8C">
            <w:pPr>
              <w:pStyle w:val="6"/>
              <w:spacing w:before="207" w:line="184" w:lineRule="auto"/>
              <w:ind w:right="20"/>
              <w:jc w:val="right"/>
            </w:pPr>
            <w:r>
              <w:rPr>
                <w:spacing w:val="-4"/>
              </w:rPr>
              <w:t>1000</w:t>
            </w:r>
          </w:p>
        </w:tc>
      </w:tr>
      <w:tr w14:paraId="51A7DE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534" w:type="dxa"/>
            <w:vAlign w:val="top"/>
          </w:tcPr>
          <w:p w14:paraId="03A92868">
            <w:pPr>
              <w:pStyle w:val="6"/>
              <w:spacing w:before="208" w:line="183" w:lineRule="auto"/>
              <w:ind w:left="75"/>
            </w:pPr>
            <w:r>
              <w:rPr>
                <w:spacing w:val="-2"/>
              </w:rPr>
              <w:t>2622</w:t>
            </w:r>
          </w:p>
        </w:tc>
        <w:tc>
          <w:tcPr>
            <w:tcW w:w="2268" w:type="dxa"/>
            <w:vAlign w:val="top"/>
          </w:tcPr>
          <w:p w14:paraId="113780E8">
            <w:pPr>
              <w:pStyle w:val="6"/>
              <w:spacing w:before="202" w:line="219" w:lineRule="auto"/>
              <w:ind w:left="21"/>
            </w:pPr>
            <w:r>
              <w:rPr>
                <w:spacing w:val="-1"/>
              </w:rPr>
              <w:t>单位乙烯生产耗电</w:t>
            </w:r>
          </w:p>
        </w:tc>
        <w:tc>
          <w:tcPr>
            <w:tcW w:w="1299" w:type="dxa"/>
            <w:vAlign w:val="top"/>
          </w:tcPr>
          <w:p w14:paraId="366789D7">
            <w:pPr>
              <w:pStyle w:val="6"/>
              <w:spacing w:before="203" w:line="221" w:lineRule="auto"/>
              <w:ind w:left="33"/>
            </w:pPr>
            <w:r>
              <w:rPr>
                <w:spacing w:val="-2"/>
              </w:rPr>
              <w:t>千瓦时/吨</w:t>
            </w:r>
          </w:p>
        </w:tc>
        <w:tc>
          <w:tcPr>
            <w:tcW w:w="510" w:type="dxa"/>
            <w:vAlign w:val="top"/>
          </w:tcPr>
          <w:p w14:paraId="66DEB1F6">
            <w:pPr>
              <w:pStyle w:val="6"/>
              <w:spacing w:before="72" w:line="209" w:lineRule="auto"/>
              <w:ind w:left="64" w:right="65"/>
            </w:pPr>
            <w:r>
              <w:rPr>
                <w:spacing w:val="-6"/>
              </w:rPr>
              <w:t>万千</w:t>
            </w:r>
            <w:r>
              <w:t xml:space="preserve"> </w:t>
            </w:r>
            <w:r>
              <w:rPr>
                <w:spacing w:val="5"/>
              </w:rPr>
              <w:t>瓦时</w:t>
            </w:r>
          </w:p>
        </w:tc>
        <w:tc>
          <w:tcPr>
            <w:tcW w:w="539" w:type="dxa"/>
            <w:vAlign w:val="top"/>
          </w:tcPr>
          <w:p w14:paraId="29217669">
            <w:pPr>
              <w:pStyle w:val="6"/>
              <w:spacing w:before="201" w:line="229" w:lineRule="auto"/>
              <w:ind w:left="174"/>
            </w:pPr>
            <w:r>
              <w:t>吨</w:t>
            </w:r>
          </w:p>
        </w:tc>
        <w:tc>
          <w:tcPr>
            <w:tcW w:w="1898" w:type="dxa"/>
            <w:vAlign w:val="top"/>
          </w:tcPr>
          <w:p w14:paraId="50C4AE2E">
            <w:pPr>
              <w:pStyle w:val="6"/>
              <w:spacing w:before="192" w:line="219" w:lineRule="auto"/>
              <w:ind w:left="15"/>
            </w:pPr>
            <w:r>
              <w:rPr>
                <w:spacing w:val="1"/>
              </w:rPr>
              <w:t>乙烯生产耗电量</w:t>
            </w:r>
          </w:p>
        </w:tc>
        <w:tc>
          <w:tcPr>
            <w:tcW w:w="1668" w:type="dxa"/>
            <w:vAlign w:val="top"/>
          </w:tcPr>
          <w:p w14:paraId="3424C559">
            <w:pPr>
              <w:pStyle w:val="6"/>
              <w:spacing w:before="192" w:line="219" w:lineRule="auto"/>
              <w:ind w:left="17"/>
            </w:pPr>
            <w:r>
              <w:rPr>
                <w:spacing w:val="1"/>
              </w:rPr>
              <w:t>乙烯产量</w:t>
            </w:r>
          </w:p>
        </w:tc>
        <w:tc>
          <w:tcPr>
            <w:tcW w:w="734" w:type="dxa"/>
            <w:vAlign w:val="top"/>
          </w:tcPr>
          <w:p w14:paraId="77FC0CAD">
            <w:pPr>
              <w:pStyle w:val="6"/>
              <w:spacing w:before="257" w:line="184" w:lineRule="auto"/>
              <w:ind w:right="21"/>
              <w:jc w:val="right"/>
            </w:pPr>
            <w:r>
              <w:rPr>
                <w:spacing w:val="-4"/>
              </w:rPr>
              <w:t>10000</w:t>
            </w:r>
          </w:p>
        </w:tc>
      </w:tr>
    </w:tbl>
    <w:p w14:paraId="30D98308">
      <w:pPr>
        <w:spacing w:before="79" w:line="219" w:lineRule="auto"/>
        <w:ind w:left="30"/>
        <w:rPr>
          <w:rFonts w:ascii="宋体" w:hAnsi="宋体" w:eastAsia="宋体" w:cs="宋体"/>
          <w:sz w:val="18"/>
          <w:szCs w:val="18"/>
        </w:rPr>
      </w:pPr>
      <w:r>
        <w:rPr>
          <w:rFonts w:ascii="宋体" w:hAnsi="宋体" w:eastAsia="宋体" w:cs="宋体"/>
          <w:b/>
          <w:bCs/>
          <w:spacing w:val="3"/>
          <w:sz w:val="18"/>
          <w:szCs w:val="18"/>
        </w:rPr>
        <w:t>氮肥(26)</w:t>
      </w:r>
    </w:p>
    <w:p w14:paraId="6293947F">
      <w:pPr>
        <w:spacing w:line="18" w:lineRule="exact"/>
      </w:pPr>
    </w:p>
    <w:tbl>
      <w:tblPr>
        <w:tblStyle w:val="5"/>
        <w:tblW w:w="9430" w:type="dxa"/>
        <w:tblInd w:w="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4"/>
        <w:gridCol w:w="2268"/>
        <w:gridCol w:w="1299"/>
        <w:gridCol w:w="510"/>
        <w:gridCol w:w="539"/>
        <w:gridCol w:w="1898"/>
        <w:gridCol w:w="1668"/>
        <w:gridCol w:w="734"/>
      </w:tblGrid>
      <w:tr w14:paraId="2D2F7B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514" w:type="dxa"/>
            <w:vAlign w:val="top"/>
          </w:tcPr>
          <w:p w14:paraId="00DCC389">
            <w:pPr>
              <w:pStyle w:val="6"/>
              <w:spacing w:before="208" w:line="183" w:lineRule="auto"/>
              <w:ind w:left="65"/>
            </w:pPr>
            <w:r>
              <w:rPr>
                <w:spacing w:val="-2"/>
              </w:rPr>
              <w:t>2623</w:t>
            </w:r>
          </w:p>
        </w:tc>
        <w:tc>
          <w:tcPr>
            <w:tcW w:w="2268" w:type="dxa"/>
            <w:vAlign w:val="top"/>
          </w:tcPr>
          <w:p w14:paraId="087A2404">
            <w:pPr>
              <w:pStyle w:val="6"/>
              <w:spacing w:before="162" w:line="219" w:lineRule="auto"/>
              <w:ind w:left="21"/>
            </w:pPr>
            <w:r>
              <w:rPr>
                <w:spacing w:val="-1"/>
              </w:rPr>
              <w:t>单位合成氨生产综合能耗</w:t>
            </w:r>
          </w:p>
        </w:tc>
        <w:tc>
          <w:tcPr>
            <w:tcW w:w="1299" w:type="dxa"/>
            <w:vAlign w:val="top"/>
          </w:tcPr>
          <w:p w14:paraId="5EEB24DE">
            <w:pPr>
              <w:pStyle w:val="6"/>
              <w:spacing w:before="162" w:line="219" w:lineRule="auto"/>
              <w:ind w:left="33"/>
            </w:pPr>
            <w:r>
              <w:rPr>
                <w:spacing w:val="-1"/>
              </w:rPr>
              <w:t>千克标准煤/吨</w:t>
            </w:r>
          </w:p>
        </w:tc>
        <w:tc>
          <w:tcPr>
            <w:tcW w:w="510" w:type="dxa"/>
            <w:vAlign w:val="top"/>
          </w:tcPr>
          <w:p w14:paraId="5CAA4C05">
            <w:pPr>
              <w:pStyle w:val="6"/>
              <w:spacing w:before="73" w:line="210" w:lineRule="auto"/>
              <w:ind w:left="64" w:right="68"/>
            </w:pPr>
            <w:r>
              <w:rPr>
                <w:spacing w:val="3"/>
              </w:rPr>
              <w:t>吨标</w:t>
            </w:r>
            <w:r>
              <w:t xml:space="preserve"> </w:t>
            </w:r>
            <w:r>
              <w:rPr>
                <w:spacing w:val="-3"/>
              </w:rPr>
              <w:t>准煤</w:t>
            </w:r>
          </w:p>
        </w:tc>
        <w:tc>
          <w:tcPr>
            <w:tcW w:w="539" w:type="dxa"/>
            <w:vAlign w:val="top"/>
          </w:tcPr>
          <w:p w14:paraId="7496D1E6">
            <w:pPr>
              <w:pStyle w:val="6"/>
              <w:spacing w:before="171" w:line="229" w:lineRule="auto"/>
              <w:ind w:left="174"/>
            </w:pPr>
            <w:r>
              <w:t>吨</w:t>
            </w:r>
          </w:p>
        </w:tc>
        <w:tc>
          <w:tcPr>
            <w:tcW w:w="1898" w:type="dxa"/>
            <w:vAlign w:val="top"/>
          </w:tcPr>
          <w:p w14:paraId="54B8F952">
            <w:pPr>
              <w:pStyle w:val="6"/>
              <w:spacing w:before="162" w:line="219" w:lineRule="auto"/>
              <w:ind w:left="15"/>
            </w:pPr>
            <w:r>
              <w:rPr>
                <w:spacing w:val="-1"/>
              </w:rPr>
              <w:t>合成氨综合能源消耗量</w:t>
            </w:r>
          </w:p>
        </w:tc>
        <w:tc>
          <w:tcPr>
            <w:tcW w:w="1668" w:type="dxa"/>
            <w:vAlign w:val="top"/>
          </w:tcPr>
          <w:p w14:paraId="2D8B09BB">
            <w:pPr>
              <w:pStyle w:val="6"/>
              <w:spacing w:before="162" w:line="219" w:lineRule="auto"/>
              <w:ind w:left="17"/>
            </w:pPr>
            <w:r>
              <w:rPr>
                <w:spacing w:val="-1"/>
              </w:rPr>
              <w:t>合成氨(无水氨)产量</w:t>
            </w:r>
          </w:p>
        </w:tc>
        <w:tc>
          <w:tcPr>
            <w:tcW w:w="734" w:type="dxa"/>
            <w:vAlign w:val="top"/>
          </w:tcPr>
          <w:p w14:paraId="78FFCC98">
            <w:pPr>
              <w:pStyle w:val="6"/>
              <w:spacing w:before="207" w:line="184" w:lineRule="auto"/>
              <w:ind w:right="10"/>
              <w:jc w:val="right"/>
            </w:pPr>
            <w:r>
              <w:rPr>
                <w:spacing w:val="-4"/>
              </w:rPr>
              <w:t>1000</w:t>
            </w:r>
          </w:p>
        </w:tc>
      </w:tr>
      <w:tr w14:paraId="246417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514" w:type="dxa"/>
            <w:vAlign w:val="top"/>
          </w:tcPr>
          <w:p w14:paraId="21869E9D">
            <w:pPr>
              <w:pStyle w:val="6"/>
              <w:spacing w:before="265" w:line="183" w:lineRule="auto"/>
              <w:ind w:left="65"/>
            </w:pPr>
            <w:r>
              <w:rPr>
                <w:spacing w:val="-2"/>
              </w:rPr>
              <w:t>2625</w:t>
            </w:r>
          </w:p>
        </w:tc>
        <w:tc>
          <w:tcPr>
            <w:tcW w:w="2268" w:type="dxa"/>
            <w:vAlign w:val="top"/>
          </w:tcPr>
          <w:p w14:paraId="12B15ECF">
            <w:pPr>
              <w:pStyle w:val="6"/>
              <w:spacing w:before="209" w:line="219" w:lineRule="auto"/>
              <w:ind w:left="21"/>
            </w:pPr>
            <w:r>
              <w:rPr>
                <w:spacing w:val="-2"/>
              </w:rPr>
              <w:t>单位合成氨耗电</w:t>
            </w:r>
          </w:p>
        </w:tc>
        <w:tc>
          <w:tcPr>
            <w:tcW w:w="1299" w:type="dxa"/>
            <w:vAlign w:val="top"/>
          </w:tcPr>
          <w:p w14:paraId="47840160">
            <w:pPr>
              <w:pStyle w:val="6"/>
              <w:spacing w:before="160" w:line="221" w:lineRule="auto"/>
              <w:ind w:left="33"/>
            </w:pPr>
            <w:r>
              <w:rPr>
                <w:spacing w:val="-2"/>
              </w:rPr>
              <w:t>千瓦时/吨</w:t>
            </w:r>
          </w:p>
        </w:tc>
        <w:tc>
          <w:tcPr>
            <w:tcW w:w="510" w:type="dxa"/>
            <w:vAlign w:val="top"/>
          </w:tcPr>
          <w:p w14:paraId="2015033D">
            <w:pPr>
              <w:pStyle w:val="6"/>
              <w:spacing w:before="70" w:line="214" w:lineRule="auto"/>
              <w:ind w:left="64" w:right="65"/>
            </w:pPr>
            <w:r>
              <w:rPr>
                <w:spacing w:val="-6"/>
              </w:rPr>
              <w:t>万千</w:t>
            </w:r>
            <w:r>
              <w:t xml:space="preserve"> </w:t>
            </w:r>
            <w:r>
              <w:rPr>
                <w:spacing w:val="5"/>
              </w:rPr>
              <w:t>瓦时</w:t>
            </w:r>
          </w:p>
        </w:tc>
        <w:tc>
          <w:tcPr>
            <w:tcW w:w="539" w:type="dxa"/>
            <w:vAlign w:val="top"/>
          </w:tcPr>
          <w:p w14:paraId="2A9738ED">
            <w:pPr>
              <w:pStyle w:val="6"/>
              <w:spacing w:before="218" w:line="229" w:lineRule="auto"/>
              <w:ind w:left="174"/>
            </w:pPr>
            <w:r>
              <w:t>吨</w:t>
            </w:r>
          </w:p>
        </w:tc>
        <w:tc>
          <w:tcPr>
            <w:tcW w:w="1898" w:type="dxa"/>
            <w:vAlign w:val="top"/>
          </w:tcPr>
          <w:p w14:paraId="46018D55">
            <w:pPr>
              <w:pStyle w:val="6"/>
              <w:spacing w:before="159" w:line="219" w:lineRule="auto"/>
              <w:ind w:left="15"/>
            </w:pPr>
            <w:r>
              <w:rPr>
                <w:spacing w:val="-1"/>
              </w:rPr>
              <w:t>合成氨耗电总量</w:t>
            </w:r>
          </w:p>
        </w:tc>
        <w:tc>
          <w:tcPr>
            <w:tcW w:w="1668" w:type="dxa"/>
            <w:vAlign w:val="top"/>
          </w:tcPr>
          <w:p w14:paraId="4D0C8CEE">
            <w:pPr>
              <w:pStyle w:val="6"/>
              <w:spacing w:before="209" w:line="219" w:lineRule="auto"/>
              <w:ind w:left="17"/>
            </w:pPr>
            <w:r>
              <w:rPr>
                <w:spacing w:val="-1"/>
              </w:rPr>
              <w:t>合成氨(无水氨)产量</w:t>
            </w:r>
          </w:p>
        </w:tc>
        <w:tc>
          <w:tcPr>
            <w:tcW w:w="734" w:type="dxa"/>
            <w:vAlign w:val="top"/>
          </w:tcPr>
          <w:p w14:paraId="4F2A9C7A">
            <w:pPr>
              <w:pStyle w:val="6"/>
              <w:spacing w:before="244" w:line="184" w:lineRule="auto"/>
              <w:ind w:right="11"/>
              <w:jc w:val="right"/>
            </w:pPr>
            <w:r>
              <w:rPr>
                <w:spacing w:val="-4"/>
              </w:rPr>
              <w:t>10000</w:t>
            </w:r>
          </w:p>
        </w:tc>
      </w:tr>
      <w:tr w14:paraId="42249A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514" w:type="dxa"/>
            <w:vAlign w:val="top"/>
          </w:tcPr>
          <w:p w14:paraId="569CFCCC">
            <w:pPr>
              <w:pStyle w:val="6"/>
              <w:spacing w:before="267" w:line="183" w:lineRule="auto"/>
              <w:ind w:left="65"/>
            </w:pPr>
            <w:r>
              <w:rPr>
                <w:spacing w:val="-2"/>
              </w:rPr>
              <w:t>2626</w:t>
            </w:r>
          </w:p>
        </w:tc>
        <w:tc>
          <w:tcPr>
            <w:tcW w:w="2268" w:type="dxa"/>
            <w:vAlign w:val="top"/>
          </w:tcPr>
          <w:p w14:paraId="32EA787E">
            <w:pPr>
              <w:pStyle w:val="6"/>
              <w:spacing w:before="211" w:line="219" w:lineRule="auto"/>
              <w:ind w:left="21"/>
            </w:pPr>
            <w:r>
              <w:rPr>
                <w:spacing w:val="-1"/>
              </w:rPr>
              <w:t>单位合成氨耗原料煤</w:t>
            </w:r>
          </w:p>
        </w:tc>
        <w:tc>
          <w:tcPr>
            <w:tcW w:w="1299" w:type="dxa"/>
            <w:vAlign w:val="top"/>
          </w:tcPr>
          <w:p w14:paraId="113BE6F3">
            <w:pPr>
              <w:pStyle w:val="6"/>
              <w:spacing w:before="201" w:line="219" w:lineRule="auto"/>
              <w:ind w:left="33"/>
            </w:pPr>
            <w:r>
              <w:rPr>
                <w:spacing w:val="-1"/>
              </w:rPr>
              <w:t>千克标准煤/吨</w:t>
            </w:r>
          </w:p>
        </w:tc>
        <w:tc>
          <w:tcPr>
            <w:tcW w:w="510" w:type="dxa"/>
            <w:vAlign w:val="top"/>
          </w:tcPr>
          <w:p w14:paraId="4DD3EC71">
            <w:pPr>
              <w:pStyle w:val="6"/>
              <w:spacing w:before="92" w:line="203" w:lineRule="auto"/>
              <w:ind w:left="64" w:right="68"/>
            </w:pPr>
            <w:r>
              <w:rPr>
                <w:spacing w:val="3"/>
              </w:rPr>
              <w:t>吨标</w:t>
            </w:r>
            <w:r>
              <w:t xml:space="preserve"> </w:t>
            </w:r>
            <w:r>
              <w:rPr>
                <w:spacing w:val="-3"/>
              </w:rPr>
              <w:t>准煤</w:t>
            </w:r>
          </w:p>
        </w:tc>
        <w:tc>
          <w:tcPr>
            <w:tcW w:w="539" w:type="dxa"/>
            <w:vAlign w:val="top"/>
          </w:tcPr>
          <w:p w14:paraId="2A390EA0">
            <w:pPr>
              <w:pStyle w:val="6"/>
              <w:spacing w:before="210" w:line="229" w:lineRule="auto"/>
              <w:ind w:left="174"/>
            </w:pPr>
            <w:r>
              <w:t>吨</w:t>
            </w:r>
          </w:p>
        </w:tc>
        <w:tc>
          <w:tcPr>
            <w:tcW w:w="1898" w:type="dxa"/>
            <w:vAlign w:val="top"/>
          </w:tcPr>
          <w:p w14:paraId="2775C208">
            <w:pPr>
              <w:pStyle w:val="6"/>
              <w:spacing w:before="201" w:line="219" w:lineRule="auto"/>
              <w:ind w:left="15"/>
            </w:pPr>
            <w:r>
              <w:rPr>
                <w:spacing w:val="-1"/>
              </w:rPr>
              <w:t>合成氨原料煤耗折标煤</w:t>
            </w:r>
          </w:p>
        </w:tc>
        <w:tc>
          <w:tcPr>
            <w:tcW w:w="1668" w:type="dxa"/>
            <w:vAlign w:val="top"/>
          </w:tcPr>
          <w:p w14:paraId="74229A09">
            <w:pPr>
              <w:pStyle w:val="6"/>
              <w:spacing w:before="201" w:line="219" w:lineRule="auto"/>
              <w:ind w:left="17"/>
            </w:pPr>
            <w:r>
              <w:rPr>
                <w:spacing w:val="-1"/>
              </w:rPr>
              <w:t>合成氨(无水氨)产量</w:t>
            </w:r>
          </w:p>
        </w:tc>
        <w:tc>
          <w:tcPr>
            <w:tcW w:w="734" w:type="dxa"/>
            <w:vAlign w:val="top"/>
          </w:tcPr>
          <w:p w14:paraId="6A7E6440">
            <w:pPr>
              <w:pStyle w:val="6"/>
              <w:spacing w:before="266" w:line="184" w:lineRule="auto"/>
              <w:ind w:right="10"/>
              <w:jc w:val="right"/>
            </w:pPr>
            <w:r>
              <w:rPr>
                <w:spacing w:val="-4"/>
              </w:rPr>
              <w:t>1000</w:t>
            </w:r>
          </w:p>
        </w:tc>
      </w:tr>
      <w:tr w14:paraId="76A8FD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8" w:hRule="atLeast"/>
        </w:trPr>
        <w:tc>
          <w:tcPr>
            <w:tcW w:w="514" w:type="dxa"/>
            <w:vAlign w:val="top"/>
          </w:tcPr>
          <w:p w14:paraId="084D11AB">
            <w:pPr>
              <w:pStyle w:val="6"/>
              <w:spacing w:before="229" w:line="183" w:lineRule="auto"/>
              <w:ind w:left="65"/>
            </w:pPr>
            <w:r>
              <w:rPr>
                <w:spacing w:val="-2"/>
              </w:rPr>
              <w:t>2627</w:t>
            </w:r>
          </w:p>
        </w:tc>
        <w:tc>
          <w:tcPr>
            <w:tcW w:w="2268" w:type="dxa"/>
            <w:vAlign w:val="top"/>
          </w:tcPr>
          <w:p w14:paraId="1B462B3F">
            <w:pPr>
              <w:pStyle w:val="6"/>
              <w:spacing w:before="183" w:line="219" w:lineRule="auto"/>
              <w:ind w:left="21"/>
            </w:pPr>
            <w:r>
              <w:rPr>
                <w:spacing w:val="-1"/>
              </w:rPr>
              <w:t>单位合成氨耗标准燃料煤</w:t>
            </w:r>
          </w:p>
        </w:tc>
        <w:tc>
          <w:tcPr>
            <w:tcW w:w="1299" w:type="dxa"/>
            <w:vAlign w:val="top"/>
          </w:tcPr>
          <w:p w14:paraId="60281EC7">
            <w:pPr>
              <w:pStyle w:val="6"/>
              <w:spacing w:before="183" w:line="219" w:lineRule="auto"/>
              <w:ind w:left="33"/>
            </w:pPr>
            <w:r>
              <w:rPr>
                <w:spacing w:val="-1"/>
              </w:rPr>
              <w:t>千克标准煤/吨</w:t>
            </w:r>
          </w:p>
        </w:tc>
        <w:tc>
          <w:tcPr>
            <w:tcW w:w="510" w:type="dxa"/>
            <w:vAlign w:val="top"/>
          </w:tcPr>
          <w:p w14:paraId="0EDF83D7">
            <w:pPr>
              <w:pStyle w:val="6"/>
              <w:spacing w:before="94" w:line="217" w:lineRule="auto"/>
              <w:ind w:left="64" w:right="68"/>
            </w:pPr>
            <w:r>
              <w:rPr>
                <w:spacing w:val="3"/>
              </w:rPr>
              <w:t>吨标</w:t>
            </w:r>
            <w:r>
              <w:t xml:space="preserve"> </w:t>
            </w:r>
            <w:r>
              <w:rPr>
                <w:spacing w:val="-3"/>
              </w:rPr>
              <w:t>准煤</w:t>
            </w:r>
          </w:p>
        </w:tc>
        <w:tc>
          <w:tcPr>
            <w:tcW w:w="539" w:type="dxa"/>
            <w:vAlign w:val="top"/>
          </w:tcPr>
          <w:p w14:paraId="1C3EC8A5">
            <w:pPr>
              <w:pStyle w:val="6"/>
              <w:spacing w:before="192" w:line="229" w:lineRule="auto"/>
              <w:ind w:left="174"/>
            </w:pPr>
            <w:r>
              <w:t>吨</w:t>
            </w:r>
          </w:p>
        </w:tc>
        <w:tc>
          <w:tcPr>
            <w:tcW w:w="1898" w:type="dxa"/>
            <w:vAlign w:val="top"/>
          </w:tcPr>
          <w:p w14:paraId="4B128055">
            <w:pPr>
              <w:pStyle w:val="6"/>
              <w:spacing w:before="112" w:line="208" w:lineRule="auto"/>
              <w:ind w:left="15" w:right="57"/>
            </w:pPr>
            <w:r>
              <w:rPr>
                <w:spacing w:val="1"/>
              </w:rPr>
              <w:t>合成氨耗标准燃料煤总</w:t>
            </w:r>
            <w:r>
              <w:rPr>
                <w:spacing w:val="4"/>
              </w:rPr>
              <w:t xml:space="preserve"> </w:t>
            </w:r>
            <w:r>
              <w:t>量</w:t>
            </w:r>
          </w:p>
        </w:tc>
        <w:tc>
          <w:tcPr>
            <w:tcW w:w="1668" w:type="dxa"/>
            <w:vAlign w:val="top"/>
          </w:tcPr>
          <w:p w14:paraId="07F44DA7">
            <w:pPr>
              <w:pStyle w:val="6"/>
              <w:spacing w:before="183" w:line="219" w:lineRule="auto"/>
              <w:ind w:left="17"/>
            </w:pPr>
            <w:r>
              <w:rPr>
                <w:spacing w:val="-1"/>
              </w:rPr>
              <w:t>合成氨(无水氨)产量</w:t>
            </w:r>
          </w:p>
        </w:tc>
        <w:tc>
          <w:tcPr>
            <w:tcW w:w="734" w:type="dxa"/>
            <w:vAlign w:val="top"/>
          </w:tcPr>
          <w:p w14:paraId="0A723185">
            <w:pPr>
              <w:pStyle w:val="6"/>
              <w:spacing w:before="228" w:line="184" w:lineRule="auto"/>
              <w:ind w:right="10"/>
              <w:jc w:val="right"/>
            </w:pPr>
            <w:r>
              <w:rPr>
                <w:spacing w:val="-4"/>
              </w:rPr>
              <w:t>1000</w:t>
            </w:r>
          </w:p>
        </w:tc>
      </w:tr>
      <w:tr w14:paraId="6A76E3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514" w:type="dxa"/>
            <w:vAlign w:val="top"/>
          </w:tcPr>
          <w:p w14:paraId="54326767">
            <w:pPr>
              <w:spacing w:line="261" w:lineRule="auto"/>
              <w:rPr>
                <w:rFonts w:ascii="Arial"/>
                <w:sz w:val="21"/>
              </w:rPr>
            </w:pPr>
          </w:p>
          <w:p w14:paraId="4A233495">
            <w:pPr>
              <w:pStyle w:val="6"/>
              <w:spacing w:before="59" w:line="183" w:lineRule="auto"/>
              <w:ind w:left="65"/>
            </w:pPr>
            <w:r>
              <w:rPr>
                <w:spacing w:val="-2"/>
              </w:rPr>
              <w:t>2624</w:t>
            </w:r>
          </w:p>
        </w:tc>
        <w:tc>
          <w:tcPr>
            <w:tcW w:w="2268" w:type="dxa"/>
            <w:vAlign w:val="top"/>
          </w:tcPr>
          <w:p w14:paraId="5A5D6A59">
            <w:pPr>
              <w:pStyle w:val="6"/>
              <w:spacing w:before="275" w:line="219" w:lineRule="auto"/>
              <w:ind w:left="21"/>
            </w:pPr>
            <w:r>
              <w:rPr>
                <w:spacing w:val="1"/>
              </w:rPr>
              <w:t>单位合成氨耗天然气</w:t>
            </w:r>
          </w:p>
        </w:tc>
        <w:tc>
          <w:tcPr>
            <w:tcW w:w="1299" w:type="dxa"/>
            <w:vAlign w:val="top"/>
          </w:tcPr>
          <w:p w14:paraId="4E24B450">
            <w:pPr>
              <w:pStyle w:val="6"/>
              <w:spacing w:before="275" w:line="219" w:lineRule="auto"/>
              <w:ind w:left="33"/>
            </w:pPr>
            <w:r>
              <w:rPr>
                <w:spacing w:val="-1"/>
              </w:rPr>
              <w:t>标准立方米/吨</w:t>
            </w:r>
          </w:p>
        </w:tc>
        <w:tc>
          <w:tcPr>
            <w:tcW w:w="510" w:type="dxa"/>
            <w:vAlign w:val="top"/>
          </w:tcPr>
          <w:p w14:paraId="78BEC1E9">
            <w:pPr>
              <w:pStyle w:val="6"/>
              <w:spacing w:before="75" w:line="218" w:lineRule="auto"/>
              <w:ind w:left="64" w:right="83"/>
              <w:jc w:val="both"/>
            </w:pPr>
            <w:r>
              <w:rPr>
                <w:spacing w:val="-6"/>
              </w:rPr>
              <w:t>万标</w:t>
            </w:r>
            <w:r>
              <w:t xml:space="preserve"> </w:t>
            </w:r>
            <w:r>
              <w:rPr>
                <w:spacing w:val="-5"/>
              </w:rPr>
              <w:t>准立</w:t>
            </w:r>
            <w:r>
              <w:t xml:space="preserve"> </w:t>
            </w:r>
            <w:r>
              <w:rPr>
                <w:spacing w:val="-4"/>
              </w:rPr>
              <w:t>方米</w:t>
            </w:r>
          </w:p>
        </w:tc>
        <w:tc>
          <w:tcPr>
            <w:tcW w:w="539" w:type="dxa"/>
            <w:vAlign w:val="top"/>
          </w:tcPr>
          <w:p w14:paraId="12719285">
            <w:pPr>
              <w:pStyle w:val="6"/>
              <w:spacing w:before="284" w:line="229" w:lineRule="auto"/>
              <w:ind w:left="174"/>
            </w:pPr>
            <w:r>
              <w:t>吨</w:t>
            </w:r>
          </w:p>
        </w:tc>
        <w:tc>
          <w:tcPr>
            <w:tcW w:w="1898" w:type="dxa"/>
            <w:vAlign w:val="top"/>
          </w:tcPr>
          <w:p w14:paraId="256277E9">
            <w:pPr>
              <w:pStyle w:val="6"/>
              <w:spacing w:before="275" w:line="219" w:lineRule="auto"/>
              <w:ind w:left="15"/>
            </w:pPr>
            <w:r>
              <w:rPr>
                <w:spacing w:val="-1"/>
              </w:rPr>
              <w:t>合成氨耗天然气</w:t>
            </w:r>
          </w:p>
        </w:tc>
        <w:tc>
          <w:tcPr>
            <w:tcW w:w="1668" w:type="dxa"/>
            <w:vAlign w:val="top"/>
          </w:tcPr>
          <w:p w14:paraId="0A96A115">
            <w:pPr>
              <w:pStyle w:val="6"/>
              <w:spacing w:before="275" w:line="219" w:lineRule="auto"/>
              <w:ind w:left="17"/>
            </w:pPr>
            <w:r>
              <w:rPr>
                <w:spacing w:val="-1"/>
              </w:rPr>
              <w:t>合成氨(无水氨)产量</w:t>
            </w:r>
          </w:p>
        </w:tc>
        <w:tc>
          <w:tcPr>
            <w:tcW w:w="734" w:type="dxa"/>
            <w:vAlign w:val="top"/>
          </w:tcPr>
          <w:p w14:paraId="10964777">
            <w:pPr>
              <w:spacing w:line="260" w:lineRule="auto"/>
              <w:rPr>
                <w:rFonts w:ascii="Arial"/>
                <w:sz w:val="21"/>
              </w:rPr>
            </w:pPr>
          </w:p>
          <w:p w14:paraId="4D92F60E">
            <w:pPr>
              <w:pStyle w:val="6"/>
              <w:spacing w:before="59" w:line="184" w:lineRule="auto"/>
              <w:ind w:right="11"/>
              <w:jc w:val="right"/>
            </w:pPr>
            <w:r>
              <w:rPr>
                <w:spacing w:val="-4"/>
              </w:rPr>
              <w:t>10000</w:t>
            </w:r>
          </w:p>
        </w:tc>
      </w:tr>
    </w:tbl>
    <w:p w14:paraId="263B8A3A">
      <w:pPr>
        <w:spacing w:before="80" w:line="219" w:lineRule="auto"/>
        <w:ind w:left="30"/>
        <w:rPr>
          <w:rFonts w:ascii="宋体" w:hAnsi="宋体" w:eastAsia="宋体" w:cs="宋体"/>
          <w:sz w:val="18"/>
          <w:szCs w:val="18"/>
        </w:rPr>
      </w:pPr>
      <w:r>
        <w:rPr>
          <w:rFonts w:ascii="宋体" w:hAnsi="宋体" w:eastAsia="宋体" w:cs="宋体"/>
          <w:b/>
          <w:bCs/>
          <w:spacing w:val="3"/>
          <w:sz w:val="18"/>
          <w:szCs w:val="18"/>
        </w:rPr>
        <w:t>水泥(30)</w:t>
      </w:r>
    </w:p>
    <w:p w14:paraId="201AF40E">
      <w:pPr>
        <w:spacing w:line="68" w:lineRule="auto"/>
        <w:rPr>
          <w:rFonts w:ascii="Arial"/>
          <w:sz w:val="2"/>
        </w:rPr>
      </w:pPr>
    </w:p>
    <w:tbl>
      <w:tblPr>
        <w:tblStyle w:val="5"/>
        <w:tblW w:w="9450" w:type="dxa"/>
        <w:tblInd w:w="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4"/>
        <w:gridCol w:w="2268"/>
        <w:gridCol w:w="1299"/>
        <w:gridCol w:w="510"/>
        <w:gridCol w:w="539"/>
        <w:gridCol w:w="1898"/>
        <w:gridCol w:w="1668"/>
        <w:gridCol w:w="734"/>
      </w:tblGrid>
      <w:tr w14:paraId="69673B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atLeast"/>
        </w:trPr>
        <w:tc>
          <w:tcPr>
            <w:tcW w:w="534" w:type="dxa"/>
            <w:vAlign w:val="top"/>
          </w:tcPr>
          <w:p w14:paraId="235F37EF">
            <w:pPr>
              <w:pStyle w:val="6"/>
              <w:spacing w:before="207" w:line="184" w:lineRule="auto"/>
              <w:ind w:left="75"/>
            </w:pPr>
            <w:r>
              <w:rPr>
                <w:spacing w:val="-2"/>
              </w:rPr>
              <w:t>3001</w:t>
            </w:r>
          </w:p>
        </w:tc>
        <w:tc>
          <w:tcPr>
            <w:tcW w:w="2268" w:type="dxa"/>
            <w:vAlign w:val="top"/>
          </w:tcPr>
          <w:p w14:paraId="43E04E3A">
            <w:pPr>
              <w:pStyle w:val="6"/>
              <w:spacing w:before="162" w:line="219" w:lineRule="auto"/>
              <w:ind w:left="21"/>
            </w:pPr>
            <w:r>
              <w:t>吨水泥熟料综合能耗</w:t>
            </w:r>
          </w:p>
        </w:tc>
        <w:tc>
          <w:tcPr>
            <w:tcW w:w="1299" w:type="dxa"/>
            <w:vAlign w:val="top"/>
          </w:tcPr>
          <w:p w14:paraId="6DE72D75">
            <w:pPr>
              <w:pStyle w:val="6"/>
              <w:spacing w:before="162" w:line="219" w:lineRule="auto"/>
              <w:ind w:left="33"/>
            </w:pPr>
            <w:r>
              <w:rPr>
                <w:spacing w:val="-1"/>
              </w:rPr>
              <w:t>千克标准煤/吨</w:t>
            </w:r>
          </w:p>
        </w:tc>
        <w:tc>
          <w:tcPr>
            <w:tcW w:w="510" w:type="dxa"/>
            <w:vAlign w:val="top"/>
          </w:tcPr>
          <w:p w14:paraId="2C088003">
            <w:pPr>
              <w:pStyle w:val="6"/>
              <w:spacing w:before="62" w:line="221" w:lineRule="auto"/>
              <w:ind w:left="64" w:right="68"/>
            </w:pPr>
            <w:r>
              <w:rPr>
                <w:spacing w:val="3"/>
              </w:rPr>
              <w:t>吨标</w:t>
            </w:r>
            <w:r>
              <w:t xml:space="preserve"> </w:t>
            </w:r>
            <w:r>
              <w:rPr>
                <w:spacing w:val="-3"/>
              </w:rPr>
              <w:t>准煤</w:t>
            </w:r>
          </w:p>
        </w:tc>
        <w:tc>
          <w:tcPr>
            <w:tcW w:w="539" w:type="dxa"/>
            <w:vAlign w:val="top"/>
          </w:tcPr>
          <w:p w14:paraId="2F01D662">
            <w:pPr>
              <w:pStyle w:val="6"/>
              <w:spacing w:before="171" w:line="229" w:lineRule="auto"/>
              <w:ind w:left="174"/>
            </w:pPr>
            <w:r>
              <w:t>吨</w:t>
            </w:r>
          </w:p>
        </w:tc>
        <w:tc>
          <w:tcPr>
            <w:tcW w:w="1898" w:type="dxa"/>
            <w:vAlign w:val="top"/>
          </w:tcPr>
          <w:p w14:paraId="5193FAFB">
            <w:pPr>
              <w:pStyle w:val="6"/>
              <w:spacing w:before="62" w:line="221" w:lineRule="auto"/>
              <w:ind w:left="15" w:right="79"/>
            </w:pPr>
            <w:r>
              <w:rPr>
                <w:spacing w:val="-1"/>
              </w:rPr>
              <w:t>硅酸盐水泥熟料综合能</w:t>
            </w:r>
            <w:r>
              <w:rPr>
                <w:spacing w:val="2"/>
              </w:rPr>
              <w:t xml:space="preserve"> </w:t>
            </w:r>
            <w:r>
              <w:rPr>
                <w:spacing w:val="-2"/>
              </w:rPr>
              <w:t>源消费量</w:t>
            </w:r>
          </w:p>
        </w:tc>
        <w:tc>
          <w:tcPr>
            <w:tcW w:w="1668" w:type="dxa"/>
            <w:vAlign w:val="top"/>
          </w:tcPr>
          <w:p w14:paraId="58173D76">
            <w:pPr>
              <w:pStyle w:val="6"/>
              <w:spacing w:before="162" w:line="219" w:lineRule="auto"/>
              <w:ind w:left="17"/>
            </w:pPr>
            <w:r>
              <w:rPr>
                <w:spacing w:val="-1"/>
              </w:rPr>
              <w:t>硅酸盐水泥熟料产量</w:t>
            </w:r>
          </w:p>
        </w:tc>
        <w:tc>
          <w:tcPr>
            <w:tcW w:w="734" w:type="dxa"/>
            <w:vAlign w:val="top"/>
          </w:tcPr>
          <w:p w14:paraId="0B9DCF09">
            <w:pPr>
              <w:pStyle w:val="6"/>
              <w:spacing w:before="207" w:line="184" w:lineRule="auto"/>
              <w:ind w:right="10"/>
              <w:jc w:val="right"/>
            </w:pPr>
            <w:r>
              <w:rPr>
                <w:spacing w:val="-4"/>
              </w:rPr>
              <w:t>1000</w:t>
            </w:r>
          </w:p>
        </w:tc>
      </w:tr>
      <w:tr w14:paraId="46D9CB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trPr>
        <w:tc>
          <w:tcPr>
            <w:tcW w:w="534" w:type="dxa"/>
            <w:vAlign w:val="top"/>
          </w:tcPr>
          <w:p w14:paraId="7D632FB5">
            <w:pPr>
              <w:pStyle w:val="6"/>
              <w:spacing w:before="275" w:line="183" w:lineRule="auto"/>
              <w:ind w:left="75"/>
            </w:pPr>
            <w:r>
              <w:rPr>
                <w:spacing w:val="-2"/>
              </w:rPr>
              <w:t>3004</w:t>
            </w:r>
          </w:p>
        </w:tc>
        <w:tc>
          <w:tcPr>
            <w:tcW w:w="2268" w:type="dxa"/>
            <w:vAlign w:val="top"/>
          </w:tcPr>
          <w:p w14:paraId="62E266C0">
            <w:pPr>
              <w:pStyle w:val="6"/>
              <w:spacing w:before="209" w:line="219" w:lineRule="auto"/>
              <w:ind w:left="21"/>
            </w:pPr>
            <w:r>
              <w:t>吨水泥熟料综合电耗</w:t>
            </w:r>
          </w:p>
        </w:tc>
        <w:tc>
          <w:tcPr>
            <w:tcW w:w="1299" w:type="dxa"/>
            <w:vAlign w:val="top"/>
          </w:tcPr>
          <w:p w14:paraId="43D63948">
            <w:pPr>
              <w:pStyle w:val="6"/>
              <w:spacing w:before="210" w:line="221" w:lineRule="auto"/>
              <w:ind w:left="33"/>
            </w:pPr>
            <w:r>
              <w:rPr>
                <w:spacing w:val="-2"/>
              </w:rPr>
              <w:t>千瓦时/吨</w:t>
            </w:r>
          </w:p>
        </w:tc>
        <w:tc>
          <w:tcPr>
            <w:tcW w:w="510" w:type="dxa"/>
            <w:vAlign w:val="top"/>
          </w:tcPr>
          <w:p w14:paraId="55C51BE5">
            <w:pPr>
              <w:pStyle w:val="6"/>
              <w:spacing w:before="90" w:line="214" w:lineRule="auto"/>
              <w:ind w:left="64" w:right="65"/>
            </w:pPr>
            <w:r>
              <w:rPr>
                <w:spacing w:val="-6"/>
              </w:rPr>
              <w:t>万千</w:t>
            </w:r>
            <w:r>
              <w:t xml:space="preserve"> </w:t>
            </w:r>
            <w:r>
              <w:rPr>
                <w:spacing w:val="5"/>
              </w:rPr>
              <w:t>瓦时</w:t>
            </w:r>
          </w:p>
        </w:tc>
        <w:tc>
          <w:tcPr>
            <w:tcW w:w="539" w:type="dxa"/>
            <w:vAlign w:val="top"/>
          </w:tcPr>
          <w:p w14:paraId="459AA76C">
            <w:pPr>
              <w:pStyle w:val="6"/>
              <w:spacing w:before="218" w:line="229" w:lineRule="auto"/>
              <w:ind w:left="174"/>
            </w:pPr>
            <w:r>
              <w:t>吨</w:t>
            </w:r>
          </w:p>
        </w:tc>
        <w:tc>
          <w:tcPr>
            <w:tcW w:w="1898" w:type="dxa"/>
            <w:vAlign w:val="top"/>
          </w:tcPr>
          <w:p w14:paraId="75FC1314">
            <w:pPr>
              <w:pStyle w:val="6"/>
              <w:spacing w:before="78" w:line="220" w:lineRule="auto"/>
              <w:ind w:left="15" w:right="79"/>
            </w:pPr>
            <w:r>
              <w:rPr>
                <w:spacing w:val="-1"/>
              </w:rPr>
              <w:t>硅酸盐水泥熟料生产综</w:t>
            </w:r>
            <w:r>
              <w:rPr>
                <w:spacing w:val="2"/>
              </w:rPr>
              <w:t xml:space="preserve"> </w:t>
            </w:r>
            <w:r>
              <w:rPr>
                <w:spacing w:val="-2"/>
              </w:rPr>
              <w:t>合电力消费量</w:t>
            </w:r>
          </w:p>
        </w:tc>
        <w:tc>
          <w:tcPr>
            <w:tcW w:w="1668" w:type="dxa"/>
            <w:vAlign w:val="top"/>
          </w:tcPr>
          <w:p w14:paraId="58C8D81B">
            <w:pPr>
              <w:pStyle w:val="6"/>
              <w:spacing w:before="209" w:line="219" w:lineRule="auto"/>
              <w:ind w:left="17"/>
            </w:pPr>
            <w:r>
              <w:rPr>
                <w:spacing w:val="-1"/>
              </w:rPr>
              <w:t>硅酸盐水泥熟料产量</w:t>
            </w:r>
          </w:p>
        </w:tc>
        <w:tc>
          <w:tcPr>
            <w:tcW w:w="734" w:type="dxa"/>
            <w:vAlign w:val="top"/>
          </w:tcPr>
          <w:p w14:paraId="2A3F817A">
            <w:pPr>
              <w:pStyle w:val="6"/>
              <w:spacing w:before="214" w:line="184" w:lineRule="auto"/>
              <w:ind w:right="11"/>
              <w:jc w:val="right"/>
            </w:pPr>
            <w:r>
              <w:rPr>
                <w:spacing w:val="-4"/>
              </w:rPr>
              <w:t>10000</w:t>
            </w:r>
          </w:p>
        </w:tc>
      </w:tr>
      <w:tr w14:paraId="3EAEAF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534" w:type="dxa"/>
            <w:vAlign w:val="top"/>
          </w:tcPr>
          <w:p w14:paraId="5BB9A478">
            <w:pPr>
              <w:pStyle w:val="6"/>
              <w:spacing w:before="267" w:line="183" w:lineRule="auto"/>
              <w:ind w:left="75"/>
            </w:pPr>
            <w:r>
              <w:rPr>
                <w:spacing w:val="-2"/>
              </w:rPr>
              <w:t>3003</w:t>
            </w:r>
          </w:p>
        </w:tc>
        <w:tc>
          <w:tcPr>
            <w:tcW w:w="2268" w:type="dxa"/>
            <w:vAlign w:val="top"/>
          </w:tcPr>
          <w:p w14:paraId="008F0AFB">
            <w:pPr>
              <w:pStyle w:val="6"/>
              <w:spacing w:before="160" w:line="219" w:lineRule="auto"/>
              <w:ind w:left="21"/>
            </w:pPr>
            <w:r>
              <w:t>吨水泥熟料烧成标准煤耗</w:t>
            </w:r>
          </w:p>
        </w:tc>
        <w:tc>
          <w:tcPr>
            <w:tcW w:w="1299" w:type="dxa"/>
            <w:vAlign w:val="top"/>
          </w:tcPr>
          <w:p w14:paraId="455DF3D9">
            <w:pPr>
              <w:pStyle w:val="6"/>
              <w:spacing w:before="161" w:line="219" w:lineRule="auto"/>
              <w:ind w:left="33"/>
            </w:pPr>
            <w:r>
              <w:rPr>
                <w:spacing w:val="-1"/>
              </w:rPr>
              <w:t>千克标准煤/吨</w:t>
            </w:r>
          </w:p>
        </w:tc>
        <w:tc>
          <w:tcPr>
            <w:tcW w:w="510" w:type="dxa"/>
            <w:vAlign w:val="top"/>
          </w:tcPr>
          <w:p w14:paraId="32BF1E51">
            <w:pPr>
              <w:pStyle w:val="6"/>
              <w:spacing w:before="71" w:line="214" w:lineRule="auto"/>
              <w:ind w:left="64" w:right="68"/>
            </w:pPr>
            <w:r>
              <w:rPr>
                <w:spacing w:val="3"/>
              </w:rPr>
              <w:t>吨标</w:t>
            </w:r>
            <w:r>
              <w:t xml:space="preserve"> </w:t>
            </w:r>
            <w:r>
              <w:rPr>
                <w:spacing w:val="-3"/>
              </w:rPr>
              <w:t>准煤</w:t>
            </w:r>
          </w:p>
        </w:tc>
        <w:tc>
          <w:tcPr>
            <w:tcW w:w="539" w:type="dxa"/>
            <w:vAlign w:val="top"/>
          </w:tcPr>
          <w:p w14:paraId="25DDD601">
            <w:pPr>
              <w:pStyle w:val="6"/>
              <w:spacing w:before="210" w:line="229" w:lineRule="auto"/>
              <w:ind w:left="174"/>
            </w:pPr>
            <w:r>
              <w:t>吨</w:t>
            </w:r>
          </w:p>
        </w:tc>
        <w:tc>
          <w:tcPr>
            <w:tcW w:w="1898" w:type="dxa"/>
            <w:vAlign w:val="top"/>
          </w:tcPr>
          <w:p w14:paraId="5A1787A8">
            <w:pPr>
              <w:pStyle w:val="6"/>
              <w:spacing w:before="71" w:line="214" w:lineRule="auto"/>
              <w:ind w:left="15" w:right="79"/>
            </w:pPr>
            <w:r>
              <w:rPr>
                <w:spacing w:val="-1"/>
              </w:rPr>
              <w:t>硅酸盐水泥熟料标准煤</w:t>
            </w:r>
            <w:r>
              <w:rPr>
                <w:spacing w:val="2"/>
              </w:rPr>
              <w:t xml:space="preserve"> </w:t>
            </w:r>
            <w:r>
              <w:rPr>
                <w:spacing w:val="-3"/>
              </w:rPr>
              <w:t>消费量</w:t>
            </w:r>
          </w:p>
        </w:tc>
        <w:tc>
          <w:tcPr>
            <w:tcW w:w="1668" w:type="dxa"/>
            <w:vAlign w:val="top"/>
          </w:tcPr>
          <w:p w14:paraId="1AC07CB0">
            <w:pPr>
              <w:pStyle w:val="6"/>
              <w:spacing w:before="211" w:line="219" w:lineRule="auto"/>
              <w:ind w:left="17"/>
            </w:pPr>
            <w:r>
              <w:rPr>
                <w:spacing w:val="-1"/>
              </w:rPr>
              <w:t>硅酸盐水泥熟料产量</w:t>
            </w:r>
          </w:p>
        </w:tc>
        <w:tc>
          <w:tcPr>
            <w:tcW w:w="734" w:type="dxa"/>
            <w:vAlign w:val="top"/>
          </w:tcPr>
          <w:p w14:paraId="4E261A8B">
            <w:pPr>
              <w:pStyle w:val="6"/>
              <w:spacing w:before="206" w:line="184" w:lineRule="auto"/>
              <w:ind w:right="10"/>
              <w:jc w:val="right"/>
            </w:pPr>
            <w:r>
              <w:rPr>
                <w:spacing w:val="-4"/>
              </w:rPr>
              <w:t>1000</w:t>
            </w:r>
          </w:p>
        </w:tc>
      </w:tr>
      <w:tr w14:paraId="777746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8" w:hRule="atLeast"/>
        </w:trPr>
        <w:tc>
          <w:tcPr>
            <w:tcW w:w="534" w:type="dxa"/>
            <w:vAlign w:val="top"/>
          </w:tcPr>
          <w:p w14:paraId="73937C67">
            <w:pPr>
              <w:pStyle w:val="6"/>
              <w:spacing w:before="228" w:line="183" w:lineRule="auto"/>
              <w:ind w:left="75"/>
            </w:pPr>
            <w:r>
              <w:rPr>
                <w:spacing w:val="-2"/>
              </w:rPr>
              <w:t>3005</w:t>
            </w:r>
          </w:p>
        </w:tc>
        <w:tc>
          <w:tcPr>
            <w:tcW w:w="2268" w:type="dxa"/>
            <w:vAlign w:val="top"/>
          </w:tcPr>
          <w:p w14:paraId="0264E8F0">
            <w:pPr>
              <w:pStyle w:val="6"/>
              <w:spacing w:before="182" w:line="219" w:lineRule="auto"/>
              <w:ind w:left="21"/>
            </w:pPr>
            <w:r>
              <w:rPr>
                <w:spacing w:val="1"/>
              </w:rPr>
              <w:t>吨水泥综合能耗</w:t>
            </w:r>
          </w:p>
        </w:tc>
        <w:tc>
          <w:tcPr>
            <w:tcW w:w="1299" w:type="dxa"/>
            <w:vAlign w:val="top"/>
          </w:tcPr>
          <w:p w14:paraId="026D0C14">
            <w:pPr>
              <w:pStyle w:val="6"/>
              <w:spacing w:before="182" w:line="219" w:lineRule="auto"/>
              <w:ind w:left="33"/>
            </w:pPr>
            <w:r>
              <w:rPr>
                <w:spacing w:val="-1"/>
              </w:rPr>
              <w:t>千克标准煤/吨</w:t>
            </w:r>
          </w:p>
        </w:tc>
        <w:tc>
          <w:tcPr>
            <w:tcW w:w="510" w:type="dxa"/>
            <w:vAlign w:val="top"/>
          </w:tcPr>
          <w:p w14:paraId="68153131">
            <w:pPr>
              <w:pStyle w:val="6"/>
              <w:spacing w:before="83" w:line="223" w:lineRule="auto"/>
              <w:ind w:left="64" w:right="68"/>
            </w:pPr>
            <w:r>
              <w:rPr>
                <w:spacing w:val="3"/>
              </w:rPr>
              <w:t>吨标</w:t>
            </w:r>
            <w:r>
              <w:t xml:space="preserve"> </w:t>
            </w:r>
            <w:r>
              <w:rPr>
                <w:spacing w:val="-3"/>
              </w:rPr>
              <w:t>准煤</w:t>
            </w:r>
          </w:p>
        </w:tc>
        <w:tc>
          <w:tcPr>
            <w:tcW w:w="539" w:type="dxa"/>
            <w:vAlign w:val="top"/>
          </w:tcPr>
          <w:p w14:paraId="7E91146A">
            <w:pPr>
              <w:pStyle w:val="6"/>
              <w:spacing w:before="191" w:line="229" w:lineRule="auto"/>
              <w:ind w:left="174"/>
            </w:pPr>
            <w:r>
              <w:t>吨</w:t>
            </w:r>
          </w:p>
        </w:tc>
        <w:tc>
          <w:tcPr>
            <w:tcW w:w="1898" w:type="dxa"/>
            <w:vAlign w:val="top"/>
          </w:tcPr>
          <w:p w14:paraId="1A3199EF">
            <w:pPr>
              <w:pStyle w:val="6"/>
              <w:spacing w:before="182" w:line="220" w:lineRule="auto"/>
              <w:ind w:left="15"/>
            </w:pPr>
            <w:r>
              <w:rPr>
                <w:spacing w:val="-2"/>
              </w:rPr>
              <w:t>综合能源消费量</w:t>
            </w:r>
          </w:p>
        </w:tc>
        <w:tc>
          <w:tcPr>
            <w:tcW w:w="1668" w:type="dxa"/>
            <w:vAlign w:val="top"/>
          </w:tcPr>
          <w:p w14:paraId="0291D947">
            <w:pPr>
              <w:pStyle w:val="6"/>
              <w:spacing w:before="182" w:line="219" w:lineRule="auto"/>
              <w:ind w:left="17"/>
            </w:pPr>
            <w:r>
              <w:rPr>
                <w:spacing w:val="-2"/>
              </w:rPr>
              <w:t>水泥产量</w:t>
            </w:r>
          </w:p>
        </w:tc>
        <w:tc>
          <w:tcPr>
            <w:tcW w:w="734" w:type="dxa"/>
            <w:vAlign w:val="top"/>
          </w:tcPr>
          <w:p w14:paraId="39ED053A">
            <w:pPr>
              <w:pStyle w:val="6"/>
              <w:spacing w:before="227" w:line="184" w:lineRule="auto"/>
              <w:ind w:right="10"/>
              <w:jc w:val="right"/>
            </w:pPr>
            <w:r>
              <w:rPr>
                <w:spacing w:val="-4"/>
              </w:rPr>
              <w:t>1000</w:t>
            </w:r>
          </w:p>
        </w:tc>
      </w:tr>
      <w:tr w14:paraId="47E237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534" w:type="dxa"/>
            <w:vAlign w:val="top"/>
          </w:tcPr>
          <w:p w14:paraId="4B7EE274">
            <w:pPr>
              <w:pStyle w:val="6"/>
              <w:spacing w:before="210" w:line="183" w:lineRule="auto"/>
              <w:ind w:left="75"/>
            </w:pPr>
            <w:r>
              <w:rPr>
                <w:spacing w:val="-2"/>
              </w:rPr>
              <w:t>3007</w:t>
            </w:r>
          </w:p>
        </w:tc>
        <w:tc>
          <w:tcPr>
            <w:tcW w:w="2268" w:type="dxa"/>
            <w:vAlign w:val="top"/>
          </w:tcPr>
          <w:p w14:paraId="56B8242D">
            <w:pPr>
              <w:pStyle w:val="6"/>
              <w:spacing w:before="164" w:line="219" w:lineRule="auto"/>
              <w:ind w:left="21"/>
            </w:pPr>
            <w:r>
              <w:rPr>
                <w:spacing w:val="1"/>
              </w:rPr>
              <w:t>吨水泥综合电耗</w:t>
            </w:r>
          </w:p>
        </w:tc>
        <w:tc>
          <w:tcPr>
            <w:tcW w:w="1299" w:type="dxa"/>
            <w:vAlign w:val="top"/>
          </w:tcPr>
          <w:p w14:paraId="505F0092">
            <w:pPr>
              <w:pStyle w:val="6"/>
              <w:spacing w:before="165" w:line="221" w:lineRule="auto"/>
              <w:ind w:left="33"/>
            </w:pPr>
            <w:r>
              <w:rPr>
                <w:spacing w:val="-2"/>
              </w:rPr>
              <w:t>千瓦时/吨</w:t>
            </w:r>
          </w:p>
        </w:tc>
        <w:tc>
          <w:tcPr>
            <w:tcW w:w="510" w:type="dxa"/>
            <w:vAlign w:val="top"/>
          </w:tcPr>
          <w:p w14:paraId="12026334">
            <w:pPr>
              <w:pStyle w:val="6"/>
              <w:spacing w:before="64" w:line="217" w:lineRule="auto"/>
              <w:ind w:left="64" w:right="65"/>
            </w:pPr>
            <w:r>
              <w:rPr>
                <w:spacing w:val="-6"/>
              </w:rPr>
              <w:t>万千</w:t>
            </w:r>
            <w:r>
              <w:t xml:space="preserve"> </w:t>
            </w:r>
            <w:r>
              <w:rPr>
                <w:spacing w:val="5"/>
              </w:rPr>
              <w:t>瓦时</w:t>
            </w:r>
          </w:p>
        </w:tc>
        <w:tc>
          <w:tcPr>
            <w:tcW w:w="539" w:type="dxa"/>
            <w:vAlign w:val="top"/>
          </w:tcPr>
          <w:p w14:paraId="57B8AE17">
            <w:pPr>
              <w:pStyle w:val="6"/>
              <w:spacing w:before="173" w:line="229" w:lineRule="auto"/>
              <w:ind w:left="174"/>
            </w:pPr>
            <w:r>
              <w:t>吨</w:t>
            </w:r>
          </w:p>
        </w:tc>
        <w:tc>
          <w:tcPr>
            <w:tcW w:w="1898" w:type="dxa"/>
            <w:vAlign w:val="top"/>
          </w:tcPr>
          <w:p w14:paraId="342913D5">
            <w:pPr>
              <w:pStyle w:val="6"/>
              <w:spacing w:before="164" w:line="219" w:lineRule="auto"/>
              <w:jc w:val="right"/>
            </w:pPr>
            <w:r>
              <w:rPr>
                <w:spacing w:val="-11"/>
              </w:rPr>
              <w:t>水泥</w:t>
            </w:r>
            <w:r>
              <w:rPr>
                <w:spacing w:val="-10"/>
              </w:rPr>
              <w:t>生产综合电力消费</w:t>
            </w:r>
            <w:r>
              <w:rPr>
                <w:spacing w:val="-8"/>
              </w:rPr>
              <w:t>量</w:t>
            </w:r>
          </w:p>
        </w:tc>
        <w:tc>
          <w:tcPr>
            <w:tcW w:w="1668" w:type="dxa"/>
            <w:vAlign w:val="top"/>
          </w:tcPr>
          <w:p w14:paraId="03417B31">
            <w:pPr>
              <w:pStyle w:val="6"/>
              <w:spacing w:before="164" w:line="219" w:lineRule="auto"/>
              <w:ind w:left="17"/>
            </w:pPr>
            <w:r>
              <w:rPr>
                <w:spacing w:val="-2"/>
              </w:rPr>
              <w:t>水泥产量</w:t>
            </w:r>
          </w:p>
        </w:tc>
        <w:tc>
          <w:tcPr>
            <w:tcW w:w="734" w:type="dxa"/>
            <w:vAlign w:val="top"/>
          </w:tcPr>
          <w:p w14:paraId="68B0CD83">
            <w:pPr>
              <w:pStyle w:val="6"/>
              <w:spacing w:before="209" w:line="184" w:lineRule="auto"/>
              <w:ind w:right="11"/>
              <w:jc w:val="right"/>
            </w:pPr>
            <w:r>
              <w:rPr>
                <w:spacing w:val="-4"/>
              </w:rPr>
              <w:t>10000</w:t>
            </w:r>
          </w:p>
        </w:tc>
      </w:tr>
      <w:tr w14:paraId="167D49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 w:hRule="atLeast"/>
        </w:trPr>
        <w:tc>
          <w:tcPr>
            <w:tcW w:w="534" w:type="dxa"/>
            <w:vAlign w:val="top"/>
          </w:tcPr>
          <w:p w14:paraId="747C2AB7">
            <w:pPr>
              <w:pStyle w:val="6"/>
              <w:spacing w:before="282" w:line="183" w:lineRule="auto"/>
              <w:ind w:left="75"/>
            </w:pPr>
            <w:r>
              <w:rPr>
                <w:spacing w:val="-2"/>
              </w:rPr>
              <w:t>3020</w:t>
            </w:r>
          </w:p>
        </w:tc>
        <w:tc>
          <w:tcPr>
            <w:tcW w:w="2268" w:type="dxa"/>
            <w:vAlign w:val="top"/>
          </w:tcPr>
          <w:p w14:paraId="700BEBDF">
            <w:pPr>
              <w:pStyle w:val="6"/>
              <w:spacing w:before="206" w:line="219" w:lineRule="auto"/>
              <w:ind w:left="21"/>
            </w:pPr>
            <w:r>
              <w:rPr>
                <w:spacing w:val="1"/>
              </w:rPr>
              <w:t>吨水泥标准煤耗</w:t>
            </w:r>
          </w:p>
        </w:tc>
        <w:tc>
          <w:tcPr>
            <w:tcW w:w="1299" w:type="dxa"/>
            <w:vAlign w:val="top"/>
          </w:tcPr>
          <w:p w14:paraId="1DCFE36B">
            <w:pPr>
              <w:pStyle w:val="6"/>
              <w:spacing w:before="206" w:line="219" w:lineRule="auto"/>
              <w:ind w:left="33"/>
            </w:pPr>
            <w:r>
              <w:rPr>
                <w:spacing w:val="-1"/>
              </w:rPr>
              <w:t>千克标准煤/吨</w:t>
            </w:r>
          </w:p>
        </w:tc>
        <w:tc>
          <w:tcPr>
            <w:tcW w:w="510" w:type="dxa"/>
            <w:vAlign w:val="top"/>
          </w:tcPr>
          <w:p w14:paraId="3E22F9BC">
            <w:pPr>
              <w:pStyle w:val="6"/>
              <w:spacing w:before="86" w:line="209" w:lineRule="auto"/>
              <w:ind w:left="64" w:right="68"/>
            </w:pPr>
            <w:r>
              <w:rPr>
                <w:spacing w:val="3"/>
              </w:rPr>
              <w:t>吨标</w:t>
            </w:r>
            <w:r>
              <w:t xml:space="preserve"> </w:t>
            </w:r>
            <w:r>
              <w:rPr>
                <w:spacing w:val="-3"/>
              </w:rPr>
              <w:t>准煤</w:t>
            </w:r>
          </w:p>
        </w:tc>
        <w:tc>
          <w:tcPr>
            <w:tcW w:w="539" w:type="dxa"/>
            <w:vAlign w:val="top"/>
          </w:tcPr>
          <w:p w14:paraId="345B51B0">
            <w:pPr>
              <w:pStyle w:val="6"/>
              <w:spacing w:before="225" w:line="229" w:lineRule="auto"/>
              <w:ind w:left="174"/>
            </w:pPr>
            <w:r>
              <w:t>吨</w:t>
            </w:r>
          </w:p>
        </w:tc>
        <w:tc>
          <w:tcPr>
            <w:tcW w:w="1898" w:type="dxa"/>
            <w:vAlign w:val="top"/>
          </w:tcPr>
          <w:p w14:paraId="32D05409">
            <w:pPr>
              <w:pStyle w:val="6"/>
              <w:spacing w:before="206" w:line="219" w:lineRule="auto"/>
              <w:ind w:left="15"/>
            </w:pPr>
            <w:r>
              <w:rPr>
                <w:spacing w:val="-1"/>
              </w:rPr>
              <w:t>水泥生产标准煤消费量</w:t>
            </w:r>
          </w:p>
        </w:tc>
        <w:tc>
          <w:tcPr>
            <w:tcW w:w="1668" w:type="dxa"/>
            <w:vAlign w:val="top"/>
          </w:tcPr>
          <w:p w14:paraId="13633A57">
            <w:pPr>
              <w:pStyle w:val="6"/>
              <w:spacing w:before="206" w:line="219" w:lineRule="auto"/>
              <w:ind w:left="17"/>
            </w:pPr>
            <w:r>
              <w:rPr>
                <w:spacing w:val="-2"/>
              </w:rPr>
              <w:t>水泥产量</w:t>
            </w:r>
          </w:p>
        </w:tc>
        <w:tc>
          <w:tcPr>
            <w:tcW w:w="734" w:type="dxa"/>
            <w:vAlign w:val="top"/>
          </w:tcPr>
          <w:p w14:paraId="04F1F71A">
            <w:pPr>
              <w:pStyle w:val="6"/>
              <w:spacing w:before="211" w:line="184" w:lineRule="auto"/>
              <w:ind w:right="10"/>
              <w:jc w:val="right"/>
            </w:pPr>
            <w:r>
              <w:rPr>
                <w:spacing w:val="-4"/>
              </w:rPr>
              <w:t>1000</w:t>
            </w:r>
          </w:p>
        </w:tc>
      </w:tr>
    </w:tbl>
    <w:p w14:paraId="727C2DA1">
      <w:pPr>
        <w:spacing w:before="68" w:line="219" w:lineRule="auto"/>
        <w:ind w:left="10"/>
        <w:rPr>
          <w:rFonts w:ascii="宋体" w:hAnsi="宋体" w:eastAsia="宋体" w:cs="宋体"/>
          <w:sz w:val="18"/>
          <w:szCs w:val="18"/>
        </w:rPr>
      </w:pPr>
      <w:r>
        <w:rPr>
          <w:rFonts w:ascii="宋体" w:hAnsi="宋体" w:eastAsia="宋体" w:cs="宋体"/>
          <w:b/>
          <w:bCs/>
          <w:spacing w:val="2"/>
          <w:sz w:val="18"/>
          <w:szCs w:val="18"/>
        </w:rPr>
        <w:t>平板玻璃(30)</w:t>
      </w:r>
    </w:p>
    <w:p w14:paraId="60B0534C">
      <w:pPr>
        <w:spacing w:line="18" w:lineRule="exact"/>
      </w:pPr>
    </w:p>
    <w:tbl>
      <w:tblPr>
        <w:tblStyle w:val="5"/>
        <w:tblW w:w="9450" w:type="dxa"/>
        <w:tblInd w:w="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4"/>
        <w:gridCol w:w="2268"/>
        <w:gridCol w:w="1299"/>
        <w:gridCol w:w="510"/>
        <w:gridCol w:w="539"/>
        <w:gridCol w:w="1898"/>
        <w:gridCol w:w="1668"/>
        <w:gridCol w:w="734"/>
      </w:tblGrid>
      <w:tr w14:paraId="39A5EB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534" w:type="dxa"/>
            <w:vAlign w:val="top"/>
          </w:tcPr>
          <w:p w14:paraId="4EE75100">
            <w:pPr>
              <w:pStyle w:val="6"/>
              <w:spacing w:before="208" w:line="183" w:lineRule="auto"/>
              <w:ind w:left="75"/>
            </w:pPr>
            <w:r>
              <w:rPr>
                <w:spacing w:val="-2"/>
              </w:rPr>
              <w:t>3008</w:t>
            </w:r>
          </w:p>
        </w:tc>
        <w:tc>
          <w:tcPr>
            <w:tcW w:w="2268" w:type="dxa"/>
            <w:vAlign w:val="top"/>
          </w:tcPr>
          <w:p w14:paraId="0585C4F9">
            <w:pPr>
              <w:pStyle w:val="6"/>
              <w:spacing w:before="161" w:line="219" w:lineRule="auto"/>
              <w:ind w:left="21"/>
            </w:pPr>
            <w:r>
              <w:rPr>
                <w:spacing w:val="-1"/>
              </w:rPr>
              <w:t>每重量箱平板玻璃综合能耗</w:t>
            </w:r>
          </w:p>
        </w:tc>
        <w:tc>
          <w:tcPr>
            <w:tcW w:w="1299" w:type="dxa"/>
            <w:vAlign w:val="top"/>
          </w:tcPr>
          <w:p w14:paraId="54E4D483">
            <w:pPr>
              <w:pStyle w:val="6"/>
              <w:spacing w:before="51" w:line="219" w:lineRule="auto"/>
              <w:ind w:left="13" w:right="82" w:firstLine="30"/>
            </w:pPr>
            <w:r>
              <w:rPr>
                <w:spacing w:val="-2"/>
              </w:rPr>
              <w:t>千克标准煤/重</w:t>
            </w:r>
            <w:r>
              <w:rPr>
                <w:spacing w:val="5"/>
              </w:rPr>
              <w:t xml:space="preserve"> </w:t>
            </w:r>
            <w:r>
              <w:rPr>
                <w:spacing w:val="-2"/>
              </w:rPr>
              <w:t>量箱</w:t>
            </w:r>
          </w:p>
        </w:tc>
        <w:tc>
          <w:tcPr>
            <w:tcW w:w="510" w:type="dxa"/>
            <w:vAlign w:val="top"/>
          </w:tcPr>
          <w:p w14:paraId="2A6435CB">
            <w:pPr>
              <w:pStyle w:val="6"/>
              <w:spacing w:before="51" w:line="219" w:lineRule="auto"/>
              <w:ind w:left="64" w:right="68"/>
            </w:pPr>
            <w:r>
              <w:rPr>
                <w:spacing w:val="3"/>
              </w:rPr>
              <w:t>吨标</w:t>
            </w:r>
            <w:r>
              <w:t xml:space="preserve"> </w:t>
            </w:r>
            <w:r>
              <w:rPr>
                <w:spacing w:val="-3"/>
              </w:rPr>
              <w:t>准煤</w:t>
            </w:r>
          </w:p>
        </w:tc>
        <w:tc>
          <w:tcPr>
            <w:tcW w:w="539" w:type="dxa"/>
            <w:vAlign w:val="top"/>
          </w:tcPr>
          <w:p w14:paraId="513525C9">
            <w:pPr>
              <w:pStyle w:val="6"/>
              <w:spacing w:before="57" w:line="225" w:lineRule="auto"/>
              <w:ind w:left="84"/>
            </w:pPr>
            <w:r>
              <w:rPr>
                <w:spacing w:val="-2"/>
              </w:rPr>
              <w:t>重量</w:t>
            </w:r>
          </w:p>
          <w:p w14:paraId="297B8EE0">
            <w:pPr>
              <w:pStyle w:val="6"/>
              <w:spacing w:before="15" w:line="191" w:lineRule="auto"/>
              <w:ind w:left="174"/>
            </w:pPr>
            <w:r>
              <w:t>箱</w:t>
            </w:r>
          </w:p>
        </w:tc>
        <w:tc>
          <w:tcPr>
            <w:tcW w:w="1898" w:type="dxa"/>
            <w:vAlign w:val="top"/>
          </w:tcPr>
          <w:p w14:paraId="0119DE60">
            <w:pPr>
              <w:pStyle w:val="6"/>
              <w:spacing w:before="51" w:line="219" w:lineRule="auto"/>
              <w:ind w:left="15" w:right="79"/>
            </w:pPr>
            <w:r>
              <w:rPr>
                <w:spacing w:val="-1"/>
              </w:rPr>
              <w:t>平板玻璃综合能源消耗</w:t>
            </w:r>
            <w:r>
              <w:rPr>
                <w:spacing w:val="2"/>
              </w:rPr>
              <w:t xml:space="preserve"> </w:t>
            </w:r>
            <w:r>
              <w:t>量</w:t>
            </w:r>
          </w:p>
        </w:tc>
        <w:tc>
          <w:tcPr>
            <w:tcW w:w="1668" w:type="dxa"/>
            <w:vAlign w:val="top"/>
          </w:tcPr>
          <w:p w14:paraId="072789E0">
            <w:pPr>
              <w:pStyle w:val="6"/>
              <w:spacing w:before="161" w:line="219" w:lineRule="auto"/>
              <w:ind w:left="17"/>
            </w:pPr>
            <w:r>
              <w:rPr>
                <w:spacing w:val="-1"/>
              </w:rPr>
              <w:t>平板玻璃产量</w:t>
            </w:r>
          </w:p>
        </w:tc>
        <w:tc>
          <w:tcPr>
            <w:tcW w:w="734" w:type="dxa"/>
            <w:vAlign w:val="top"/>
          </w:tcPr>
          <w:p w14:paraId="4616A505">
            <w:pPr>
              <w:pStyle w:val="6"/>
              <w:spacing w:before="207" w:line="184" w:lineRule="auto"/>
              <w:ind w:right="20"/>
              <w:jc w:val="right"/>
            </w:pPr>
            <w:r>
              <w:rPr>
                <w:spacing w:val="-4"/>
              </w:rPr>
              <w:t>1000</w:t>
            </w:r>
          </w:p>
        </w:tc>
      </w:tr>
    </w:tbl>
    <w:p w14:paraId="1DC26422">
      <w:pPr>
        <w:pStyle w:val="2"/>
      </w:pPr>
    </w:p>
    <w:p w14:paraId="066D4FCE">
      <w:pPr>
        <w:sectPr>
          <w:headerReference r:id="rId28" w:type="default"/>
          <w:pgSz w:w="11910" w:h="16840"/>
          <w:pgMar w:top="1066" w:right="1214" w:bottom="400" w:left="1222" w:header="876" w:footer="0" w:gutter="0"/>
          <w:cols w:space="720" w:num="1"/>
        </w:sectPr>
      </w:pPr>
    </w:p>
    <w:p w14:paraId="7EFE9F95">
      <w:pPr>
        <w:spacing w:before="58"/>
      </w:pPr>
      <w:r>
        <w:pict>
          <v:rect id="_x0000_s1034" o:spid="_x0000_s1034" o:spt="1" style="position:absolute;left:0pt;margin-left:62.3pt;margin-top:52.85pt;height:0.5pt;width:18.9pt;mso-position-horizontal-relative:page;mso-position-vertical-relative:page;z-index:251701248;mso-width-relative:page;mso-height-relative:page;" fillcolor="#000000" filled="t" stroked="f" coordsize="21600,21600" o:allowincell="f">
            <v:path/>
            <v:fill on="t" focussize="0,0"/>
            <v:stroke on="f"/>
            <v:imagedata o:title=""/>
            <o:lock v:ext="edit"/>
            <v:textbox>
              <w:txbxContent>
                <w:p w14:paraId="575C04A5"/>
              </w:txbxContent>
            </v:textbox>
          </v:rect>
        </w:pict>
      </w:r>
    </w:p>
    <w:p w14:paraId="1716CAD0">
      <w:pPr>
        <w:spacing w:before="57"/>
      </w:pPr>
    </w:p>
    <w:tbl>
      <w:tblPr>
        <w:tblStyle w:val="5"/>
        <w:tblW w:w="9430" w:type="dxa"/>
        <w:tblInd w:w="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0"/>
        <w:gridCol w:w="2270"/>
        <w:gridCol w:w="1280"/>
        <w:gridCol w:w="530"/>
        <w:gridCol w:w="530"/>
        <w:gridCol w:w="1900"/>
        <w:gridCol w:w="1680"/>
        <w:gridCol w:w="710"/>
      </w:tblGrid>
      <w:tr w14:paraId="4B3F31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530" w:type="dxa"/>
            <w:vMerge w:val="restart"/>
            <w:tcBorders>
              <w:left w:val="nil"/>
              <w:bottom w:val="nil"/>
            </w:tcBorders>
            <w:vAlign w:val="top"/>
          </w:tcPr>
          <w:p w14:paraId="099CFA26">
            <w:pPr>
              <w:pStyle w:val="6"/>
              <w:spacing w:before="222" w:line="219" w:lineRule="auto"/>
              <w:ind w:left="80"/>
            </w:pPr>
            <w:r>
              <w:rPr>
                <w:spacing w:val="-2"/>
              </w:rPr>
              <w:t>代码</w:t>
            </w:r>
          </w:p>
        </w:tc>
        <w:tc>
          <w:tcPr>
            <w:tcW w:w="2270" w:type="dxa"/>
            <w:vMerge w:val="restart"/>
            <w:tcBorders>
              <w:bottom w:val="nil"/>
            </w:tcBorders>
            <w:vAlign w:val="top"/>
          </w:tcPr>
          <w:p w14:paraId="328272BF">
            <w:pPr>
              <w:pStyle w:val="6"/>
              <w:spacing w:before="222" w:line="220" w:lineRule="auto"/>
              <w:ind w:left="794"/>
            </w:pPr>
            <w:r>
              <w:rPr>
                <w:spacing w:val="-2"/>
              </w:rPr>
              <w:t>指标名称</w:t>
            </w:r>
          </w:p>
        </w:tc>
        <w:tc>
          <w:tcPr>
            <w:tcW w:w="2340" w:type="dxa"/>
            <w:gridSpan w:val="3"/>
            <w:vAlign w:val="top"/>
          </w:tcPr>
          <w:p w14:paraId="10C913BD">
            <w:pPr>
              <w:pStyle w:val="6"/>
              <w:spacing w:before="73" w:line="220" w:lineRule="auto"/>
              <w:ind w:left="825"/>
            </w:pPr>
            <w:r>
              <w:rPr>
                <w:spacing w:val="-2"/>
              </w:rPr>
              <w:t>计量单位</w:t>
            </w:r>
          </w:p>
        </w:tc>
        <w:tc>
          <w:tcPr>
            <w:tcW w:w="3580" w:type="dxa"/>
            <w:gridSpan w:val="2"/>
            <w:vAlign w:val="top"/>
          </w:tcPr>
          <w:p w14:paraId="3672BA88">
            <w:pPr>
              <w:pStyle w:val="6"/>
              <w:spacing w:before="72" w:line="219" w:lineRule="auto"/>
              <w:ind w:left="1435"/>
            </w:pPr>
            <w:r>
              <w:rPr>
                <w:spacing w:val="-2"/>
              </w:rPr>
              <w:t>计算根据</w:t>
            </w:r>
          </w:p>
        </w:tc>
        <w:tc>
          <w:tcPr>
            <w:tcW w:w="710" w:type="dxa"/>
            <w:vMerge w:val="restart"/>
            <w:tcBorders>
              <w:bottom w:val="nil"/>
              <w:right w:val="nil"/>
            </w:tcBorders>
            <w:vAlign w:val="top"/>
          </w:tcPr>
          <w:p w14:paraId="3A2DF0BF">
            <w:pPr>
              <w:pStyle w:val="6"/>
              <w:spacing w:before="123" w:line="232" w:lineRule="auto"/>
              <w:ind w:left="75" w:right="98"/>
            </w:pPr>
            <w:r>
              <w:rPr>
                <w:spacing w:val="-3"/>
              </w:rPr>
              <w:t>单位换</w:t>
            </w:r>
            <w:r>
              <w:t xml:space="preserve"> </w:t>
            </w:r>
            <w:r>
              <w:rPr>
                <w:spacing w:val="-3"/>
              </w:rPr>
              <w:t>算系数</w:t>
            </w:r>
          </w:p>
        </w:tc>
      </w:tr>
      <w:tr w14:paraId="7BAB6D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8" w:hRule="atLeast"/>
        </w:trPr>
        <w:tc>
          <w:tcPr>
            <w:tcW w:w="530" w:type="dxa"/>
            <w:vMerge w:val="continue"/>
            <w:tcBorders>
              <w:top w:val="nil"/>
              <w:left w:val="nil"/>
            </w:tcBorders>
            <w:vAlign w:val="top"/>
          </w:tcPr>
          <w:p w14:paraId="0CF8B6BC">
            <w:pPr>
              <w:rPr>
                <w:rFonts w:ascii="Arial"/>
                <w:sz w:val="21"/>
              </w:rPr>
            </w:pPr>
          </w:p>
        </w:tc>
        <w:tc>
          <w:tcPr>
            <w:tcW w:w="2270" w:type="dxa"/>
            <w:vMerge w:val="continue"/>
            <w:tcBorders>
              <w:top w:val="nil"/>
            </w:tcBorders>
            <w:vAlign w:val="top"/>
          </w:tcPr>
          <w:p w14:paraId="185E9F80">
            <w:pPr>
              <w:rPr>
                <w:rFonts w:ascii="Arial"/>
                <w:sz w:val="21"/>
              </w:rPr>
            </w:pPr>
          </w:p>
        </w:tc>
        <w:tc>
          <w:tcPr>
            <w:tcW w:w="1280" w:type="dxa"/>
            <w:vAlign w:val="top"/>
          </w:tcPr>
          <w:p w14:paraId="6CAE895F">
            <w:pPr>
              <w:pStyle w:val="6"/>
              <w:spacing w:before="60" w:line="220" w:lineRule="auto"/>
              <w:ind w:left="455"/>
            </w:pPr>
            <w:r>
              <w:rPr>
                <w:spacing w:val="-3"/>
              </w:rPr>
              <w:t>指标</w:t>
            </w:r>
          </w:p>
        </w:tc>
        <w:tc>
          <w:tcPr>
            <w:tcW w:w="530" w:type="dxa"/>
            <w:vAlign w:val="top"/>
          </w:tcPr>
          <w:p w14:paraId="79E10EEE">
            <w:pPr>
              <w:pStyle w:val="6"/>
              <w:spacing w:before="60" w:line="220" w:lineRule="auto"/>
              <w:ind w:left="75"/>
            </w:pPr>
            <w:r>
              <w:rPr>
                <w:spacing w:val="-2"/>
              </w:rPr>
              <w:t>子项</w:t>
            </w:r>
          </w:p>
        </w:tc>
        <w:tc>
          <w:tcPr>
            <w:tcW w:w="530" w:type="dxa"/>
            <w:vAlign w:val="top"/>
          </w:tcPr>
          <w:p w14:paraId="15031D83">
            <w:pPr>
              <w:pStyle w:val="6"/>
              <w:spacing w:before="60" w:line="220" w:lineRule="auto"/>
              <w:ind w:left="75"/>
            </w:pPr>
            <w:r>
              <w:rPr>
                <w:spacing w:val="-2"/>
              </w:rPr>
              <w:t>母项</w:t>
            </w:r>
          </w:p>
        </w:tc>
        <w:tc>
          <w:tcPr>
            <w:tcW w:w="1900" w:type="dxa"/>
            <w:vAlign w:val="top"/>
          </w:tcPr>
          <w:p w14:paraId="1BB667BD">
            <w:pPr>
              <w:pStyle w:val="6"/>
              <w:spacing w:before="60" w:line="220" w:lineRule="auto"/>
              <w:ind w:left="765"/>
            </w:pPr>
            <w:r>
              <w:rPr>
                <w:spacing w:val="-2"/>
              </w:rPr>
              <w:t>子项</w:t>
            </w:r>
          </w:p>
        </w:tc>
        <w:tc>
          <w:tcPr>
            <w:tcW w:w="1680" w:type="dxa"/>
            <w:vAlign w:val="top"/>
          </w:tcPr>
          <w:p w14:paraId="12CB76AA">
            <w:pPr>
              <w:pStyle w:val="6"/>
              <w:spacing w:before="60" w:line="220" w:lineRule="auto"/>
              <w:ind w:left="665"/>
            </w:pPr>
            <w:r>
              <w:rPr>
                <w:spacing w:val="-2"/>
              </w:rPr>
              <w:t>母项</w:t>
            </w:r>
          </w:p>
        </w:tc>
        <w:tc>
          <w:tcPr>
            <w:tcW w:w="710" w:type="dxa"/>
            <w:vMerge w:val="continue"/>
            <w:tcBorders>
              <w:top w:val="nil"/>
              <w:right w:val="nil"/>
            </w:tcBorders>
            <w:vAlign w:val="top"/>
          </w:tcPr>
          <w:p w14:paraId="3AB65193">
            <w:pPr>
              <w:rPr>
                <w:rFonts w:ascii="Arial"/>
                <w:sz w:val="21"/>
              </w:rPr>
            </w:pPr>
          </w:p>
        </w:tc>
      </w:tr>
      <w:tr w14:paraId="5865E8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trPr>
        <w:tc>
          <w:tcPr>
            <w:tcW w:w="530" w:type="dxa"/>
            <w:tcBorders>
              <w:left w:val="nil"/>
            </w:tcBorders>
            <w:vAlign w:val="top"/>
          </w:tcPr>
          <w:p w14:paraId="209C809B">
            <w:pPr>
              <w:pStyle w:val="6"/>
              <w:spacing w:before="206" w:line="184" w:lineRule="auto"/>
              <w:ind w:left="80"/>
            </w:pPr>
            <w:r>
              <w:rPr>
                <w:spacing w:val="-2"/>
              </w:rPr>
              <w:t>3010</w:t>
            </w:r>
          </w:p>
        </w:tc>
        <w:tc>
          <w:tcPr>
            <w:tcW w:w="2270" w:type="dxa"/>
            <w:vAlign w:val="top"/>
          </w:tcPr>
          <w:p w14:paraId="678F751D">
            <w:pPr>
              <w:pStyle w:val="6"/>
              <w:spacing w:before="160" w:line="219" w:lineRule="auto"/>
              <w:ind w:left="15"/>
            </w:pPr>
            <w:r>
              <w:rPr>
                <w:spacing w:val="-1"/>
              </w:rPr>
              <w:t>每重量箱平板玻璃耗电</w:t>
            </w:r>
          </w:p>
        </w:tc>
        <w:tc>
          <w:tcPr>
            <w:tcW w:w="1280" w:type="dxa"/>
            <w:vAlign w:val="top"/>
          </w:tcPr>
          <w:p w14:paraId="322C320D">
            <w:pPr>
              <w:pStyle w:val="6"/>
              <w:spacing w:before="161" w:line="220" w:lineRule="auto"/>
              <w:ind w:left="25"/>
            </w:pPr>
            <w:r>
              <w:rPr>
                <w:spacing w:val="-1"/>
              </w:rPr>
              <w:t>千瓦时/重量箱</w:t>
            </w:r>
          </w:p>
        </w:tc>
        <w:tc>
          <w:tcPr>
            <w:tcW w:w="530" w:type="dxa"/>
            <w:vAlign w:val="top"/>
          </w:tcPr>
          <w:p w14:paraId="6311BB5B">
            <w:pPr>
              <w:pStyle w:val="6"/>
              <w:spacing w:before="71" w:line="208" w:lineRule="auto"/>
              <w:ind w:left="75" w:right="74"/>
            </w:pPr>
            <w:r>
              <w:rPr>
                <w:spacing w:val="-6"/>
              </w:rPr>
              <w:t>万千</w:t>
            </w:r>
            <w:r>
              <w:t xml:space="preserve"> </w:t>
            </w:r>
            <w:r>
              <w:rPr>
                <w:spacing w:val="5"/>
              </w:rPr>
              <w:t>瓦时</w:t>
            </w:r>
          </w:p>
        </w:tc>
        <w:tc>
          <w:tcPr>
            <w:tcW w:w="530" w:type="dxa"/>
            <w:vAlign w:val="top"/>
          </w:tcPr>
          <w:p w14:paraId="6E903452">
            <w:pPr>
              <w:pStyle w:val="6"/>
              <w:spacing w:before="77" w:line="220" w:lineRule="auto"/>
              <w:ind w:left="75"/>
            </w:pPr>
            <w:r>
              <w:rPr>
                <w:spacing w:val="-2"/>
              </w:rPr>
              <w:t>重量</w:t>
            </w:r>
          </w:p>
          <w:p w14:paraId="3E92BFEA">
            <w:pPr>
              <w:pStyle w:val="6"/>
              <w:spacing w:line="189" w:lineRule="auto"/>
              <w:ind w:left="165"/>
            </w:pPr>
            <w:r>
              <w:t>箱</w:t>
            </w:r>
          </w:p>
        </w:tc>
        <w:tc>
          <w:tcPr>
            <w:tcW w:w="1900" w:type="dxa"/>
            <w:vAlign w:val="top"/>
          </w:tcPr>
          <w:p w14:paraId="4F183CE2">
            <w:pPr>
              <w:pStyle w:val="6"/>
              <w:spacing w:before="160" w:line="219" w:lineRule="auto"/>
              <w:ind w:left="15"/>
            </w:pPr>
            <w:r>
              <w:rPr>
                <w:spacing w:val="-1"/>
              </w:rPr>
              <w:t>平板玻璃电力消耗</w:t>
            </w:r>
          </w:p>
        </w:tc>
        <w:tc>
          <w:tcPr>
            <w:tcW w:w="1680" w:type="dxa"/>
            <w:vAlign w:val="top"/>
          </w:tcPr>
          <w:p w14:paraId="696AE401">
            <w:pPr>
              <w:pStyle w:val="6"/>
              <w:spacing w:before="160" w:line="219" w:lineRule="auto"/>
              <w:ind w:left="15"/>
            </w:pPr>
            <w:r>
              <w:rPr>
                <w:spacing w:val="-1"/>
              </w:rPr>
              <w:t>平板玻璃产量</w:t>
            </w:r>
          </w:p>
        </w:tc>
        <w:tc>
          <w:tcPr>
            <w:tcW w:w="710" w:type="dxa"/>
            <w:tcBorders>
              <w:right w:val="nil"/>
            </w:tcBorders>
            <w:vAlign w:val="top"/>
          </w:tcPr>
          <w:p w14:paraId="227DBDD3">
            <w:pPr>
              <w:pStyle w:val="6"/>
              <w:spacing w:before="206" w:line="184" w:lineRule="auto"/>
              <w:ind w:right="16"/>
              <w:jc w:val="right"/>
            </w:pPr>
            <w:r>
              <w:rPr>
                <w:spacing w:val="-4"/>
              </w:rPr>
              <w:t>10000</w:t>
            </w:r>
          </w:p>
        </w:tc>
      </w:tr>
      <w:tr w14:paraId="2E4C57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530" w:type="dxa"/>
            <w:tcBorders>
              <w:left w:val="nil"/>
            </w:tcBorders>
            <w:vAlign w:val="top"/>
          </w:tcPr>
          <w:p w14:paraId="047D27B3">
            <w:pPr>
              <w:pStyle w:val="6"/>
              <w:spacing w:before="290" w:line="183" w:lineRule="auto"/>
              <w:ind w:left="80"/>
            </w:pPr>
            <w:r>
              <w:rPr>
                <w:spacing w:val="-2"/>
              </w:rPr>
              <w:t>3009</w:t>
            </w:r>
          </w:p>
        </w:tc>
        <w:tc>
          <w:tcPr>
            <w:tcW w:w="2270" w:type="dxa"/>
            <w:vAlign w:val="top"/>
          </w:tcPr>
          <w:p w14:paraId="195F6721">
            <w:pPr>
              <w:pStyle w:val="6"/>
              <w:spacing w:before="173" w:line="219" w:lineRule="auto"/>
              <w:ind w:left="15"/>
            </w:pPr>
            <w:r>
              <w:rPr>
                <w:spacing w:val="1"/>
              </w:rPr>
              <w:t>每重量箱平板玻璃耗燃油</w:t>
            </w:r>
          </w:p>
        </w:tc>
        <w:tc>
          <w:tcPr>
            <w:tcW w:w="1280" w:type="dxa"/>
            <w:vAlign w:val="top"/>
          </w:tcPr>
          <w:p w14:paraId="3FF62BF8">
            <w:pPr>
              <w:pStyle w:val="6"/>
              <w:spacing w:before="214" w:line="219" w:lineRule="auto"/>
              <w:ind w:left="25"/>
            </w:pPr>
            <w:r>
              <w:rPr>
                <w:spacing w:val="-1"/>
              </w:rPr>
              <w:t>千克/重量箱</w:t>
            </w:r>
          </w:p>
        </w:tc>
        <w:tc>
          <w:tcPr>
            <w:tcW w:w="530" w:type="dxa"/>
            <w:vAlign w:val="top"/>
          </w:tcPr>
          <w:p w14:paraId="3B703D13">
            <w:pPr>
              <w:pStyle w:val="6"/>
              <w:spacing w:before="223" w:line="229" w:lineRule="auto"/>
              <w:ind w:left="165"/>
            </w:pPr>
            <w:r>
              <w:t>吨</w:t>
            </w:r>
          </w:p>
        </w:tc>
        <w:tc>
          <w:tcPr>
            <w:tcW w:w="530" w:type="dxa"/>
            <w:vAlign w:val="top"/>
          </w:tcPr>
          <w:p w14:paraId="522F366B">
            <w:pPr>
              <w:pStyle w:val="6"/>
              <w:spacing w:before="90" w:line="225" w:lineRule="auto"/>
              <w:ind w:left="75"/>
            </w:pPr>
            <w:r>
              <w:rPr>
                <w:spacing w:val="-2"/>
              </w:rPr>
              <w:t>重量</w:t>
            </w:r>
          </w:p>
          <w:p w14:paraId="7EBA8DF3">
            <w:pPr>
              <w:pStyle w:val="6"/>
              <w:spacing w:before="15" w:line="192" w:lineRule="auto"/>
              <w:ind w:left="165"/>
            </w:pPr>
            <w:r>
              <w:t>箱</w:t>
            </w:r>
          </w:p>
        </w:tc>
        <w:tc>
          <w:tcPr>
            <w:tcW w:w="1900" w:type="dxa"/>
            <w:vAlign w:val="top"/>
          </w:tcPr>
          <w:p w14:paraId="7F3A01EC">
            <w:pPr>
              <w:pStyle w:val="6"/>
              <w:spacing w:before="213" w:line="219" w:lineRule="auto"/>
              <w:ind w:left="15"/>
            </w:pPr>
            <w:r>
              <w:rPr>
                <w:spacing w:val="-1"/>
              </w:rPr>
              <w:t>平板玻璃燃油消耗</w:t>
            </w:r>
          </w:p>
        </w:tc>
        <w:tc>
          <w:tcPr>
            <w:tcW w:w="1680" w:type="dxa"/>
            <w:vAlign w:val="top"/>
          </w:tcPr>
          <w:p w14:paraId="46B23314">
            <w:pPr>
              <w:pStyle w:val="6"/>
              <w:spacing w:before="213" w:line="219" w:lineRule="auto"/>
              <w:ind w:left="15"/>
            </w:pPr>
            <w:r>
              <w:rPr>
                <w:spacing w:val="-1"/>
              </w:rPr>
              <w:t>平板玻璃产量</w:t>
            </w:r>
          </w:p>
        </w:tc>
        <w:tc>
          <w:tcPr>
            <w:tcW w:w="710" w:type="dxa"/>
            <w:tcBorders>
              <w:right w:val="nil"/>
            </w:tcBorders>
            <w:vAlign w:val="top"/>
          </w:tcPr>
          <w:p w14:paraId="453EE06F">
            <w:pPr>
              <w:pStyle w:val="6"/>
              <w:spacing w:before="219" w:line="184" w:lineRule="auto"/>
              <w:ind w:right="15"/>
              <w:jc w:val="right"/>
            </w:pPr>
            <w:r>
              <w:rPr>
                <w:spacing w:val="-4"/>
              </w:rPr>
              <w:t>1000</w:t>
            </w:r>
          </w:p>
        </w:tc>
      </w:tr>
    </w:tbl>
    <w:p w14:paraId="651DF28C">
      <w:pPr>
        <w:spacing w:before="60" w:line="221" w:lineRule="auto"/>
        <w:ind w:left="20"/>
        <w:rPr>
          <w:rFonts w:ascii="宋体" w:hAnsi="宋体" w:eastAsia="宋体" w:cs="宋体"/>
          <w:sz w:val="17"/>
          <w:szCs w:val="17"/>
        </w:rPr>
      </w:pPr>
      <w:r>
        <w:rPr>
          <w:rFonts w:ascii="宋体" w:hAnsi="宋体" w:eastAsia="宋体" w:cs="宋体"/>
          <w:b/>
          <w:bCs/>
          <w:spacing w:val="2"/>
          <w:sz w:val="17"/>
          <w:szCs w:val="17"/>
        </w:rPr>
        <w:t>黑色金属(31)</w:t>
      </w:r>
    </w:p>
    <w:p w14:paraId="51DE01ED">
      <w:pPr>
        <w:spacing w:line="26" w:lineRule="exact"/>
      </w:pPr>
    </w:p>
    <w:tbl>
      <w:tblPr>
        <w:tblStyle w:val="5"/>
        <w:tblW w:w="9440" w:type="dxa"/>
        <w:tblInd w:w="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0"/>
        <w:gridCol w:w="2270"/>
        <w:gridCol w:w="1280"/>
        <w:gridCol w:w="530"/>
        <w:gridCol w:w="530"/>
        <w:gridCol w:w="1900"/>
        <w:gridCol w:w="1680"/>
        <w:gridCol w:w="720"/>
      </w:tblGrid>
      <w:tr w14:paraId="2E6CB6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530" w:type="dxa"/>
            <w:tcBorders>
              <w:left w:val="nil"/>
            </w:tcBorders>
            <w:vAlign w:val="top"/>
          </w:tcPr>
          <w:p w14:paraId="1143DEF4">
            <w:pPr>
              <w:pStyle w:val="6"/>
              <w:spacing w:before="217" w:line="184" w:lineRule="auto"/>
              <w:ind w:left="80"/>
            </w:pPr>
            <w:r>
              <w:rPr>
                <w:spacing w:val="-2"/>
              </w:rPr>
              <w:t>3101</w:t>
            </w:r>
          </w:p>
        </w:tc>
        <w:tc>
          <w:tcPr>
            <w:tcW w:w="2270" w:type="dxa"/>
            <w:vAlign w:val="top"/>
          </w:tcPr>
          <w:p w14:paraId="34306820">
            <w:pPr>
              <w:pStyle w:val="6"/>
              <w:spacing w:before="172" w:line="219" w:lineRule="auto"/>
              <w:ind w:left="15"/>
            </w:pPr>
            <w:r>
              <w:rPr>
                <w:spacing w:val="1"/>
              </w:rPr>
              <w:t>吨钢综合能耗</w:t>
            </w:r>
          </w:p>
        </w:tc>
        <w:tc>
          <w:tcPr>
            <w:tcW w:w="1280" w:type="dxa"/>
            <w:vAlign w:val="top"/>
          </w:tcPr>
          <w:p w14:paraId="7F1D41B0">
            <w:pPr>
              <w:pStyle w:val="6"/>
              <w:spacing w:before="172" w:line="219" w:lineRule="auto"/>
              <w:ind w:left="25"/>
            </w:pPr>
            <w:r>
              <w:rPr>
                <w:spacing w:val="-1"/>
              </w:rPr>
              <w:t>千克标准煤/吨</w:t>
            </w:r>
          </w:p>
        </w:tc>
        <w:tc>
          <w:tcPr>
            <w:tcW w:w="530" w:type="dxa"/>
            <w:vAlign w:val="top"/>
          </w:tcPr>
          <w:p w14:paraId="555C4166">
            <w:pPr>
              <w:pStyle w:val="6"/>
              <w:spacing w:before="53" w:line="231" w:lineRule="auto"/>
              <w:ind w:left="75" w:right="77"/>
            </w:pPr>
            <w:r>
              <w:rPr>
                <w:spacing w:val="3"/>
              </w:rPr>
              <w:t>吨标</w:t>
            </w:r>
            <w:r>
              <w:t xml:space="preserve"> </w:t>
            </w:r>
            <w:r>
              <w:rPr>
                <w:spacing w:val="-3"/>
              </w:rPr>
              <w:t>准煤</w:t>
            </w:r>
          </w:p>
        </w:tc>
        <w:tc>
          <w:tcPr>
            <w:tcW w:w="530" w:type="dxa"/>
            <w:vAlign w:val="top"/>
          </w:tcPr>
          <w:p w14:paraId="41F0D23C">
            <w:pPr>
              <w:pStyle w:val="6"/>
              <w:spacing w:before="181" w:line="229" w:lineRule="auto"/>
              <w:ind w:left="165"/>
            </w:pPr>
            <w:r>
              <w:t>吨</w:t>
            </w:r>
          </w:p>
        </w:tc>
        <w:tc>
          <w:tcPr>
            <w:tcW w:w="1900" w:type="dxa"/>
            <w:vAlign w:val="top"/>
          </w:tcPr>
          <w:p w14:paraId="692676FE">
            <w:pPr>
              <w:pStyle w:val="6"/>
              <w:spacing w:before="172" w:line="219" w:lineRule="auto"/>
              <w:ind w:left="25"/>
            </w:pPr>
            <w:r>
              <w:rPr>
                <w:spacing w:val="-2"/>
              </w:rPr>
              <w:t>企业自耗能源量</w:t>
            </w:r>
          </w:p>
        </w:tc>
        <w:tc>
          <w:tcPr>
            <w:tcW w:w="1680" w:type="dxa"/>
            <w:vAlign w:val="top"/>
          </w:tcPr>
          <w:p w14:paraId="0F6C4C7B">
            <w:pPr>
              <w:pStyle w:val="6"/>
              <w:spacing w:before="172" w:line="219" w:lineRule="auto"/>
              <w:ind w:left="35"/>
            </w:pPr>
            <w:r>
              <w:rPr>
                <w:spacing w:val="-1"/>
              </w:rPr>
              <w:t>粗钢合格产出量</w:t>
            </w:r>
          </w:p>
        </w:tc>
        <w:tc>
          <w:tcPr>
            <w:tcW w:w="720" w:type="dxa"/>
            <w:tcBorders>
              <w:right w:val="nil"/>
            </w:tcBorders>
            <w:vAlign w:val="top"/>
          </w:tcPr>
          <w:p w14:paraId="0519F618">
            <w:pPr>
              <w:pStyle w:val="6"/>
              <w:spacing w:before="217" w:line="184" w:lineRule="auto"/>
              <w:ind w:right="15"/>
              <w:jc w:val="right"/>
            </w:pPr>
            <w:r>
              <w:rPr>
                <w:spacing w:val="-4"/>
              </w:rPr>
              <w:t>1000</w:t>
            </w:r>
          </w:p>
        </w:tc>
      </w:tr>
      <w:tr w14:paraId="5F9A08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530" w:type="dxa"/>
            <w:tcBorders>
              <w:left w:val="nil"/>
            </w:tcBorders>
            <w:vAlign w:val="top"/>
          </w:tcPr>
          <w:p w14:paraId="60FBC9A0">
            <w:pPr>
              <w:pStyle w:val="6"/>
              <w:spacing w:before="203" w:line="184" w:lineRule="auto"/>
              <w:ind w:left="80"/>
            </w:pPr>
            <w:r>
              <w:rPr>
                <w:spacing w:val="-2"/>
              </w:rPr>
              <w:t>3102</w:t>
            </w:r>
          </w:p>
        </w:tc>
        <w:tc>
          <w:tcPr>
            <w:tcW w:w="2270" w:type="dxa"/>
            <w:vAlign w:val="top"/>
          </w:tcPr>
          <w:p w14:paraId="559FEB8D">
            <w:pPr>
              <w:pStyle w:val="6"/>
              <w:spacing w:before="158" w:line="219" w:lineRule="auto"/>
              <w:ind w:left="15"/>
            </w:pPr>
            <w:r>
              <w:rPr>
                <w:spacing w:val="2"/>
              </w:rPr>
              <w:t>吨钢耗电</w:t>
            </w:r>
          </w:p>
        </w:tc>
        <w:tc>
          <w:tcPr>
            <w:tcW w:w="1280" w:type="dxa"/>
            <w:vAlign w:val="top"/>
          </w:tcPr>
          <w:p w14:paraId="34BEB917">
            <w:pPr>
              <w:pStyle w:val="6"/>
              <w:spacing w:before="159" w:line="221" w:lineRule="auto"/>
              <w:ind w:left="25"/>
            </w:pPr>
            <w:r>
              <w:rPr>
                <w:spacing w:val="-2"/>
              </w:rPr>
              <w:t>千瓦时/吨</w:t>
            </w:r>
          </w:p>
        </w:tc>
        <w:tc>
          <w:tcPr>
            <w:tcW w:w="530" w:type="dxa"/>
            <w:vAlign w:val="top"/>
          </w:tcPr>
          <w:p w14:paraId="777783D9">
            <w:pPr>
              <w:pStyle w:val="6"/>
              <w:spacing w:before="58" w:line="221" w:lineRule="auto"/>
              <w:ind w:left="75" w:right="74"/>
            </w:pPr>
            <w:r>
              <w:rPr>
                <w:spacing w:val="-6"/>
              </w:rPr>
              <w:t>万千</w:t>
            </w:r>
            <w:r>
              <w:t xml:space="preserve"> </w:t>
            </w:r>
            <w:r>
              <w:rPr>
                <w:spacing w:val="5"/>
              </w:rPr>
              <w:t>瓦时</w:t>
            </w:r>
          </w:p>
        </w:tc>
        <w:tc>
          <w:tcPr>
            <w:tcW w:w="530" w:type="dxa"/>
            <w:vAlign w:val="top"/>
          </w:tcPr>
          <w:p w14:paraId="1A868777">
            <w:pPr>
              <w:pStyle w:val="6"/>
              <w:spacing w:before="167" w:line="229" w:lineRule="auto"/>
              <w:ind w:left="165"/>
            </w:pPr>
            <w:r>
              <w:t>吨</w:t>
            </w:r>
          </w:p>
        </w:tc>
        <w:tc>
          <w:tcPr>
            <w:tcW w:w="1900" w:type="dxa"/>
            <w:vAlign w:val="top"/>
          </w:tcPr>
          <w:p w14:paraId="7A6C47FD">
            <w:pPr>
              <w:pStyle w:val="6"/>
              <w:spacing w:before="158" w:line="219" w:lineRule="auto"/>
              <w:ind w:left="25"/>
            </w:pPr>
            <w:r>
              <w:rPr>
                <w:spacing w:val="-1"/>
              </w:rPr>
              <w:t>钢铁生产自耗电量</w:t>
            </w:r>
          </w:p>
        </w:tc>
        <w:tc>
          <w:tcPr>
            <w:tcW w:w="1680" w:type="dxa"/>
            <w:vAlign w:val="top"/>
          </w:tcPr>
          <w:p w14:paraId="198FF0A8">
            <w:pPr>
              <w:pStyle w:val="6"/>
              <w:spacing w:before="158" w:line="219" w:lineRule="auto"/>
              <w:ind w:left="35"/>
            </w:pPr>
            <w:r>
              <w:rPr>
                <w:spacing w:val="-1"/>
              </w:rPr>
              <w:t>粗钢合格产出量</w:t>
            </w:r>
          </w:p>
        </w:tc>
        <w:tc>
          <w:tcPr>
            <w:tcW w:w="720" w:type="dxa"/>
            <w:tcBorders>
              <w:right w:val="nil"/>
            </w:tcBorders>
            <w:vAlign w:val="top"/>
          </w:tcPr>
          <w:p w14:paraId="18347366">
            <w:pPr>
              <w:pStyle w:val="6"/>
              <w:spacing w:before="203" w:line="184" w:lineRule="auto"/>
              <w:ind w:right="16"/>
              <w:jc w:val="right"/>
            </w:pPr>
            <w:r>
              <w:rPr>
                <w:spacing w:val="-4"/>
              </w:rPr>
              <w:t>10000</w:t>
            </w:r>
          </w:p>
        </w:tc>
      </w:tr>
      <w:tr w14:paraId="35552A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30" w:type="dxa"/>
            <w:tcBorders>
              <w:left w:val="nil"/>
            </w:tcBorders>
            <w:vAlign w:val="top"/>
          </w:tcPr>
          <w:p w14:paraId="0FB26DC9">
            <w:pPr>
              <w:spacing w:line="244" w:lineRule="auto"/>
              <w:rPr>
                <w:rFonts w:ascii="Arial"/>
                <w:sz w:val="21"/>
              </w:rPr>
            </w:pPr>
          </w:p>
          <w:p w14:paraId="64375797">
            <w:pPr>
              <w:pStyle w:val="6"/>
              <w:spacing w:before="59" w:line="184" w:lineRule="auto"/>
              <w:ind w:left="80"/>
            </w:pPr>
            <w:r>
              <w:rPr>
                <w:spacing w:val="-2"/>
              </w:rPr>
              <w:t>3103</w:t>
            </w:r>
          </w:p>
        </w:tc>
        <w:tc>
          <w:tcPr>
            <w:tcW w:w="2270" w:type="dxa"/>
            <w:vAlign w:val="top"/>
          </w:tcPr>
          <w:p w14:paraId="7F14FCC4">
            <w:pPr>
              <w:pStyle w:val="6"/>
              <w:spacing w:before="249" w:line="219" w:lineRule="auto"/>
              <w:ind w:left="15"/>
            </w:pPr>
            <w:r>
              <w:rPr>
                <w:spacing w:val="1"/>
              </w:rPr>
              <w:t>吨钢可比能耗</w:t>
            </w:r>
          </w:p>
        </w:tc>
        <w:tc>
          <w:tcPr>
            <w:tcW w:w="1280" w:type="dxa"/>
            <w:vAlign w:val="top"/>
          </w:tcPr>
          <w:p w14:paraId="3C0355A5">
            <w:pPr>
              <w:pStyle w:val="6"/>
              <w:spacing w:before="199" w:line="219" w:lineRule="auto"/>
              <w:ind w:left="25"/>
            </w:pPr>
            <w:r>
              <w:rPr>
                <w:spacing w:val="-1"/>
              </w:rPr>
              <w:t>千克标准煤/吨</w:t>
            </w:r>
          </w:p>
        </w:tc>
        <w:tc>
          <w:tcPr>
            <w:tcW w:w="530" w:type="dxa"/>
            <w:vAlign w:val="top"/>
          </w:tcPr>
          <w:p w14:paraId="367EE357">
            <w:pPr>
              <w:pStyle w:val="6"/>
              <w:spacing w:before="119" w:line="226" w:lineRule="auto"/>
              <w:ind w:left="75" w:right="77"/>
            </w:pPr>
            <w:r>
              <w:rPr>
                <w:spacing w:val="3"/>
              </w:rPr>
              <w:t>吨标</w:t>
            </w:r>
            <w:r>
              <w:t xml:space="preserve"> </w:t>
            </w:r>
            <w:r>
              <w:rPr>
                <w:spacing w:val="-3"/>
              </w:rPr>
              <w:t>准煤</w:t>
            </w:r>
          </w:p>
        </w:tc>
        <w:tc>
          <w:tcPr>
            <w:tcW w:w="530" w:type="dxa"/>
            <w:vAlign w:val="top"/>
          </w:tcPr>
          <w:p w14:paraId="706BC98A">
            <w:pPr>
              <w:pStyle w:val="6"/>
              <w:spacing w:before="258" w:line="229" w:lineRule="auto"/>
              <w:ind w:left="165"/>
            </w:pPr>
            <w:r>
              <w:t>吨</w:t>
            </w:r>
          </w:p>
        </w:tc>
        <w:tc>
          <w:tcPr>
            <w:tcW w:w="1900" w:type="dxa"/>
            <w:vAlign w:val="top"/>
          </w:tcPr>
          <w:p w14:paraId="5DB1FA29">
            <w:pPr>
              <w:pStyle w:val="6"/>
              <w:spacing w:before="249" w:line="219" w:lineRule="auto"/>
              <w:jc w:val="right"/>
            </w:pPr>
            <w:r>
              <w:rPr>
                <w:spacing w:val="-12"/>
              </w:rPr>
              <w:t>由大</w:t>
            </w:r>
            <w:r>
              <w:rPr>
                <w:spacing w:val="-11"/>
              </w:rPr>
              <w:t>型钢铁联合企业填</w:t>
            </w:r>
            <w:r>
              <w:rPr>
                <w:spacing w:val="-9"/>
              </w:rPr>
              <w:t>报</w:t>
            </w:r>
          </w:p>
        </w:tc>
        <w:tc>
          <w:tcPr>
            <w:tcW w:w="1680" w:type="dxa"/>
            <w:vAlign w:val="top"/>
          </w:tcPr>
          <w:p w14:paraId="7ED73E81">
            <w:pPr>
              <w:pStyle w:val="6"/>
              <w:spacing w:before="249" w:line="219" w:lineRule="auto"/>
              <w:ind w:left="35"/>
            </w:pPr>
            <w:r>
              <w:rPr>
                <w:spacing w:val="-1"/>
              </w:rPr>
              <w:t>粗钢合格产出量</w:t>
            </w:r>
          </w:p>
        </w:tc>
        <w:tc>
          <w:tcPr>
            <w:tcW w:w="720" w:type="dxa"/>
            <w:tcBorders>
              <w:right w:val="nil"/>
            </w:tcBorders>
            <w:vAlign w:val="top"/>
          </w:tcPr>
          <w:p w14:paraId="46E05134">
            <w:pPr>
              <w:spacing w:line="254" w:lineRule="auto"/>
              <w:rPr>
                <w:rFonts w:ascii="Arial"/>
                <w:sz w:val="21"/>
              </w:rPr>
            </w:pPr>
          </w:p>
          <w:p w14:paraId="190BFEC8">
            <w:pPr>
              <w:pStyle w:val="6"/>
              <w:spacing w:before="59" w:line="184" w:lineRule="auto"/>
              <w:ind w:right="15"/>
              <w:jc w:val="right"/>
            </w:pPr>
            <w:r>
              <w:rPr>
                <w:spacing w:val="-4"/>
              </w:rPr>
              <w:t>1000</w:t>
            </w:r>
          </w:p>
        </w:tc>
      </w:tr>
      <w:tr w14:paraId="27931B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530" w:type="dxa"/>
            <w:tcBorders>
              <w:left w:val="nil"/>
            </w:tcBorders>
            <w:vAlign w:val="top"/>
          </w:tcPr>
          <w:p w14:paraId="56989838">
            <w:pPr>
              <w:pStyle w:val="6"/>
              <w:spacing w:before="284" w:line="184" w:lineRule="auto"/>
              <w:ind w:left="80"/>
            </w:pPr>
            <w:r>
              <w:rPr>
                <w:spacing w:val="-2"/>
              </w:rPr>
              <w:t>3104</w:t>
            </w:r>
          </w:p>
        </w:tc>
        <w:tc>
          <w:tcPr>
            <w:tcW w:w="2270" w:type="dxa"/>
            <w:vAlign w:val="top"/>
          </w:tcPr>
          <w:p w14:paraId="69C90C8E">
            <w:pPr>
              <w:pStyle w:val="6"/>
              <w:spacing w:before="169" w:line="219" w:lineRule="auto"/>
              <w:ind w:left="15"/>
            </w:pPr>
            <w:r>
              <w:rPr>
                <w:spacing w:val="-1"/>
              </w:rPr>
              <w:t>炼铁工序单位能耗</w:t>
            </w:r>
          </w:p>
        </w:tc>
        <w:tc>
          <w:tcPr>
            <w:tcW w:w="1280" w:type="dxa"/>
            <w:vAlign w:val="top"/>
          </w:tcPr>
          <w:p w14:paraId="2722235B">
            <w:pPr>
              <w:pStyle w:val="6"/>
              <w:spacing w:before="169" w:line="219" w:lineRule="auto"/>
              <w:ind w:left="25"/>
            </w:pPr>
            <w:r>
              <w:rPr>
                <w:spacing w:val="-1"/>
              </w:rPr>
              <w:t>千克标准煤/吨</w:t>
            </w:r>
          </w:p>
        </w:tc>
        <w:tc>
          <w:tcPr>
            <w:tcW w:w="530" w:type="dxa"/>
            <w:vAlign w:val="top"/>
          </w:tcPr>
          <w:p w14:paraId="10EB15CF">
            <w:pPr>
              <w:pStyle w:val="6"/>
              <w:spacing w:before="89" w:line="215" w:lineRule="auto"/>
              <w:ind w:left="75" w:right="77"/>
            </w:pPr>
            <w:r>
              <w:rPr>
                <w:spacing w:val="3"/>
              </w:rPr>
              <w:t>吨标</w:t>
            </w:r>
            <w:r>
              <w:t xml:space="preserve"> </w:t>
            </w:r>
            <w:r>
              <w:rPr>
                <w:spacing w:val="-3"/>
              </w:rPr>
              <w:t>准煤</w:t>
            </w:r>
          </w:p>
        </w:tc>
        <w:tc>
          <w:tcPr>
            <w:tcW w:w="530" w:type="dxa"/>
            <w:vAlign w:val="top"/>
          </w:tcPr>
          <w:p w14:paraId="7615635F">
            <w:pPr>
              <w:pStyle w:val="6"/>
              <w:spacing w:before="178" w:line="229" w:lineRule="auto"/>
              <w:ind w:left="165"/>
            </w:pPr>
            <w:r>
              <w:t>吨</w:t>
            </w:r>
          </w:p>
        </w:tc>
        <w:tc>
          <w:tcPr>
            <w:tcW w:w="1900" w:type="dxa"/>
            <w:vAlign w:val="top"/>
          </w:tcPr>
          <w:p w14:paraId="6FFBAEB3">
            <w:pPr>
              <w:pStyle w:val="6"/>
              <w:spacing w:before="229" w:line="219" w:lineRule="auto"/>
              <w:ind w:left="25"/>
            </w:pPr>
            <w:r>
              <w:rPr>
                <w:spacing w:val="-1"/>
              </w:rPr>
              <w:t>炼铁工序净耗能量</w:t>
            </w:r>
          </w:p>
        </w:tc>
        <w:tc>
          <w:tcPr>
            <w:tcW w:w="1680" w:type="dxa"/>
            <w:vAlign w:val="top"/>
          </w:tcPr>
          <w:p w14:paraId="61E38E72">
            <w:pPr>
              <w:pStyle w:val="6"/>
              <w:spacing w:before="169" w:line="219" w:lineRule="auto"/>
              <w:ind w:left="35"/>
            </w:pPr>
            <w:r>
              <w:rPr>
                <w:spacing w:val="-2"/>
              </w:rPr>
              <w:t>生铁合格产出量</w:t>
            </w:r>
          </w:p>
        </w:tc>
        <w:tc>
          <w:tcPr>
            <w:tcW w:w="720" w:type="dxa"/>
            <w:tcBorders>
              <w:right w:val="nil"/>
            </w:tcBorders>
            <w:vAlign w:val="top"/>
          </w:tcPr>
          <w:p w14:paraId="009AC38A">
            <w:pPr>
              <w:pStyle w:val="6"/>
              <w:spacing w:before="284" w:line="184" w:lineRule="auto"/>
              <w:ind w:right="15"/>
              <w:jc w:val="right"/>
            </w:pPr>
            <w:r>
              <w:rPr>
                <w:spacing w:val="-4"/>
              </w:rPr>
              <w:t>1000</w:t>
            </w:r>
          </w:p>
        </w:tc>
      </w:tr>
      <w:tr w14:paraId="26B528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530" w:type="dxa"/>
            <w:tcBorders>
              <w:left w:val="nil"/>
            </w:tcBorders>
            <w:vAlign w:val="top"/>
          </w:tcPr>
          <w:p w14:paraId="262CCC92">
            <w:pPr>
              <w:spacing w:line="245" w:lineRule="auto"/>
              <w:rPr>
                <w:rFonts w:ascii="Arial"/>
                <w:sz w:val="21"/>
              </w:rPr>
            </w:pPr>
          </w:p>
          <w:p w14:paraId="1FE7A86B">
            <w:pPr>
              <w:pStyle w:val="6"/>
              <w:spacing w:before="59" w:line="184" w:lineRule="auto"/>
              <w:ind w:left="80"/>
            </w:pPr>
            <w:r>
              <w:rPr>
                <w:spacing w:val="-2"/>
              </w:rPr>
              <w:t>3120</w:t>
            </w:r>
          </w:p>
        </w:tc>
        <w:tc>
          <w:tcPr>
            <w:tcW w:w="2270" w:type="dxa"/>
            <w:vAlign w:val="top"/>
          </w:tcPr>
          <w:p w14:paraId="5F24A223">
            <w:pPr>
              <w:pStyle w:val="6"/>
              <w:spacing w:before="199" w:line="219" w:lineRule="auto"/>
              <w:ind w:left="15"/>
            </w:pPr>
            <w:r>
              <w:rPr>
                <w:spacing w:val="-1"/>
              </w:rPr>
              <w:t>铁矿烧结工序单位能耗</w:t>
            </w:r>
          </w:p>
        </w:tc>
        <w:tc>
          <w:tcPr>
            <w:tcW w:w="1280" w:type="dxa"/>
            <w:vAlign w:val="top"/>
          </w:tcPr>
          <w:p w14:paraId="71155AF4">
            <w:pPr>
              <w:pStyle w:val="6"/>
              <w:spacing w:before="200" w:line="219" w:lineRule="auto"/>
              <w:ind w:left="25"/>
            </w:pPr>
            <w:r>
              <w:rPr>
                <w:spacing w:val="-1"/>
              </w:rPr>
              <w:t>千克标准煤/吨</w:t>
            </w:r>
          </w:p>
        </w:tc>
        <w:tc>
          <w:tcPr>
            <w:tcW w:w="530" w:type="dxa"/>
            <w:vAlign w:val="top"/>
          </w:tcPr>
          <w:p w14:paraId="3C25E9E0">
            <w:pPr>
              <w:pStyle w:val="6"/>
              <w:spacing w:before="101" w:line="233" w:lineRule="auto"/>
              <w:ind w:left="75" w:right="77"/>
            </w:pPr>
            <w:r>
              <w:rPr>
                <w:spacing w:val="3"/>
              </w:rPr>
              <w:t>吨标</w:t>
            </w:r>
            <w:r>
              <w:t xml:space="preserve"> </w:t>
            </w:r>
            <w:r>
              <w:rPr>
                <w:spacing w:val="-3"/>
              </w:rPr>
              <w:t>准煤</w:t>
            </w:r>
          </w:p>
        </w:tc>
        <w:tc>
          <w:tcPr>
            <w:tcW w:w="530" w:type="dxa"/>
            <w:vAlign w:val="top"/>
          </w:tcPr>
          <w:p w14:paraId="3709AD43">
            <w:pPr>
              <w:pStyle w:val="6"/>
              <w:spacing w:before="209" w:line="229" w:lineRule="auto"/>
              <w:ind w:left="165"/>
            </w:pPr>
            <w:r>
              <w:t>吨</w:t>
            </w:r>
          </w:p>
        </w:tc>
        <w:tc>
          <w:tcPr>
            <w:tcW w:w="1900" w:type="dxa"/>
            <w:vAlign w:val="top"/>
          </w:tcPr>
          <w:p w14:paraId="3C4DF557">
            <w:pPr>
              <w:pStyle w:val="6"/>
              <w:spacing w:before="199" w:line="219" w:lineRule="auto"/>
              <w:ind w:left="25"/>
            </w:pPr>
            <w:r>
              <w:rPr>
                <w:spacing w:val="-1"/>
              </w:rPr>
              <w:t>铁矿烧结工序净耗能量</w:t>
            </w:r>
          </w:p>
        </w:tc>
        <w:tc>
          <w:tcPr>
            <w:tcW w:w="1680" w:type="dxa"/>
            <w:vAlign w:val="top"/>
          </w:tcPr>
          <w:p w14:paraId="52F5390A">
            <w:pPr>
              <w:pStyle w:val="6"/>
              <w:spacing w:before="118" w:line="229" w:lineRule="auto"/>
              <w:ind w:left="35" w:right="13" w:hanging="20"/>
            </w:pPr>
            <w:r>
              <w:rPr>
                <w:spacing w:val="2"/>
              </w:rPr>
              <w:t xml:space="preserve">铁矿烧结矿合格产出 </w:t>
            </w:r>
            <w:r>
              <w:t>量</w:t>
            </w:r>
          </w:p>
        </w:tc>
        <w:tc>
          <w:tcPr>
            <w:tcW w:w="720" w:type="dxa"/>
            <w:tcBorders>
              <w:right w:val="nil"/>
            </w:tcBorders>
            <w:vAlign w:val="top"/>
          </w:tcPr>
          <w:p w14:paraId="53FD66C3">
            <w:pPr>
              <w:spacing w:line="255" w:lineRule="auto"/>
              <w:rPr>
                <w:rFonts w:ascii="Arial"/>
                <w:sz w:val="21"/>
              </w:rPr>
            </w:pPr>
          </w:p>
          <w:p w14:paraId="41FD179B">
            <w:pPr>
              <w:pStyle w:val="6"/>
              <w:spacing w:before="59" w:line="184" w:lineRule="auto"/>
              <w:ind w:right="15"/>
              <w:jc w:val="right"/>
            </w:pPr>
            <w:r>
              <w:rPr>
                <w:spacing w:val="-4"/>
              </w:rPr>
              <w:t>1000</w:t>
            </w:r>
          </w:p>
        </w:tc>
      </w:tr>
      <w:tr w14:paraId="2BDB60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530" w:type="dxa"/>
            <w:tcBorders>
              <w:left w:val="nil"/>
            </w:tcBorders>
            <w:vAlign w:val="top"/>
          </w:tcPr>
          <w:p w14:paraId="4A26AD24">
            <w:pPr>
              <w:pStyle w:val="6"/>
              <w:spacing w:before="266" w:line="184" w:lineRule="auto"/>
              <w:ind w:left="80"/>
            </w:pPr>
            <w:r>
              <w:rPr>
                <w:spacing w:val="-2"/>
              </w:rPr>
              <w:t>3106</w:t>
            </w:r>
          </w:p>
        </w:tc>
        <w:tc>
          <w:tcPr>
            <w:tcW w:w="2270" w:type="dxa"/>
            <w:vAlign w:val="top"/>
          </w:tcPr>
          <w:p w14:paraId="664D884D">
            <w:pPr>
              <w:pStyle w:val="6"/>
              <w:spacing w:before="161" w:line="219" w:lineRule="auto"/>
              <w:ind w:left="15"/>
            </w:pPr>
            <w:r>
              <w:rPr>
                <w:spacing w:val="-1"/>
              </w:rPr>
              <w:t>转炉炼钢综合工序单位能耗</w:t>
            </w:r>
          </w:p>
        </w:tc>
        <w:tc>
          <w:tcPr>
            <w:tcW w:w="1280" w:type="dxa"/>
            <w:vAlign w:val="top"/>
          </w:tcPr>
          <w:p w14:paraId="3CFAB1E3">
            <w:pPr>
              <w:pStyle w:val="6"/>
              <w:spacing w:before="161" w:line="219" w:lineRule="auto"/>
              <w:ind w:left="25"/>
            </w:pPr>
            <w:r>
              <w:rPr>
                <w:spacing w:val="-1"/>
              </w:rPr>
              <w:t>千克标准煤/吨</w:t>
            </w:r>
          </w:p>
        </w:tc>
        <w:tc>
          <w:tcPr>
            <w:tcW w:w="530" w:type="dxa"/>
            <w:vAlign w:val="top"/>
          </w:tcPr>
          <w:p w14:paraId="4A8B9DE8">
            <w:pPr>
              <w:pStyle w:val="6"/>
              <w:spacing w:before="72" w:line="209" w:lineRule="auto"/>
              <w:ind w:left="75" w:right="77"/>
            </w:pPr>
            <w:r>
              <w:rPr>
                <w:spacing w:val="3"/>
              </w:rPr>
              <w:t>吨标</w:t>
            </w:r>
            <w:r>
              <w:t xml:space="preserve"> </w:t>
            </w:r>
            <w:r>
              <w:rPr>
                <w:spacing w:val="-3"/>
              </w:rPr>
              <w:t>准煤</w:t>
            </w:r>
          </w:p>
        </w:tc>
        <w:tc>
          <w:tcPr>
            <w:tcW w:w="530" w:type="dxa"/>
            <w:vAlign w:val="top"/>
          </w:tcPr>
          <w:p w14:paraId="6600D038">
            <w:pPr>
              <w:pStyle w:val="6"/>
              <w:spacing w:before="170" w:line="229" w:lineRule="auto"/>
              <w:ind w:left="165"/>
            </w:pPr>
            <w:r>
              <w:t>吨</w:t>
            </w:r>
          </w:p>
        </w:tc>
        <w:tc>
          <w:tcPr>
            <w:tcW w:w="1900" w:type="dxa"/>
            <w:vAlign w:val="top"/>
          </w:tcPr>
          <w:p w14:paraId="7283B128">
            <w:pPr>
              <w:pStyle w:val="6"/>
              <w:spacing w:before="70" w:line="210" w:lineRule="auto"/>
              <w:ind w:left="25" w:right="82" w:hanging="10"/>
            </w:pPr>
            <w:r>
              <w:rPr>
                <w:spacing w:val="-1"/>
              </w:rPr>
              <w:t>转炉炼钢综合工序净耗</w:t>
            </w:r>
            <w:r>
              <w:rPr>
                <w:spacing w:val="1"/>
              </w:rPr>
              <w:t xml:space="preserve"> </w:t>
            </w:r>
            <w:r>
              <w:rPr>
                <w:spacing w:val="3"/>
              </w:rPr>
              <w:t>能量</w:t>
            </w:r>
          </w:p>
        </w:tc>
        <w:tc>
          <w:tcPr>
            <w:tcW w:w="1680" w:type="dxa"/>
            <w:vAlign w:val="top"/>
          </w:tcPr>
          <w:p w14:paraId="70A102EA">
            <w:pPr>
              <w:pStyle w:val="6"/>
              <w:spacing w:before="161" w:line="219" w:lineRule="auto"/>
              <w:ind w:left="35"/>
            </w:pPr>
            <w:r>
              <w:rPr>
                <w:spacing w:val="-1"/>
              </w:rPr>
              <w:t>转炉钢合格产出量</w:t>
            </w:r>
          </w:p>
        </w:tc>
        <w:tc>
          <w:tcPr>
            <w:tcW w:w="720" w:type="dxa"/>
            <w:tcBorders>
              <w:right w:val="nil"/>
            </w:tcBorders>
            <w:vAlign w:val="top"/>
          </w:tcPr>
          <w:p w14:paraId="53AE0578">
            <w:pPr>
              <w:pStyle w:val="6"/>
              <w:spacing w:before="266" w:line="184" w:lineRule="auto"/>
              <w:ind w:right="15"/>
              <w:jc w:val="right"/>
            </w:pPr>
            <w:r>
              <w:rPr>
                <w:spacing w:val="-4"/>
              </w:rPr>
              <w:t>1000</w:t>
            </w:r>
          </w:p>
        </w:tc>
      </w:tr>
      <w:tr w14:paraId="01AD05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530" w:type="dxa"/>
            <w:tcBorders>
              <w:left w:val="nil"/>
            </w:tcBorders>
            <w:vAlign w:val="top"/>
          </w:tcPr>
          <w:p w14:paraId="335948AD">
            <w:pPr>
              <w:pStyle w:val="6"/>
              <w:spacing w:before="286" w:line="184" w:lineRule="auto"/>
              <w:ind w:left="80"/>
            </w:pPr>
            <w:r>
              <w:rPr>
                <w:spacing w:val="-2"/>
              </w:rPr>
              <w:t>3107</w:t>
            </w:r>
          </w:p>
        </w:tc>
        <w:tc>
          <w:tcPr>
            <w:tcW w:w="2270" w:type="dxa"/>
            <w:vAlign w:val="top"/>
          </w:tcPr>
          <w:p w14:paraId="68EA104D">
            <w:pPr>
              <w:pStyle w:val="6"/>
              <w:spacing w:before="221" w:line="219" w:lineRule="auto"/>
              <w:ind w:left="15"/>
            </w:pPr>
            <w:r>
              <w:t>电炉炼钢综合工序单位能耗</w:t>
            </w:r>
          </w:p>
        </w:tc>
        <w:tc>
          <w:tcPr>
            <w:tcW w:w="1280" w:type="dxa"/>
            <w:vAlign w:val="top"/>
          </w:tcPr>
          <w:p w14:paraId="4A5AFE18">
            <w:pPr>
              <w:pStyle w:val="6"/>
              <w:spacing w:before="211" w:line="219" w:lineRule="auto"/>
              <w:ind w:left="25"/>
            </w:pPr>
            <w:r>
              <w:rPr>
                <w:spacing w:val="-1"/>
              </w:rPr>
              <w:t>千克标准煤/吨</w:t>
            </w:r>
          </w:p>
        </w:tc>
        <w:tc>
          <w:tcPr>
            <w:tcW w:w="530" w:type="dxa"/>
            <w:vAlign w:val="top"/>
          </w:tcPr>
          <w:p w14:paraId="37DE42A0">
            <w:pPr>
              <w:pStyle w:val="6"/>
              <w:spacing w:before="81" w:line="219" w:lineRule="auto"/>
              <w:ind w:left="75" w:right="77"/>
            </w:pPr>
            <w:r>
              <w:rPr>
                <w:spacing w:val="3"/>
              </w:rPr>
              <w:t>吨标</w:t>
            </w:r>
            <w:r>
              <w:t xml:space="preserve"> </w:t>
            </w:r>
            <w:r>
              <w:rPr>
                <w:spacing w:val="-3"/>
              </w:rPr>
              <w:t>准煤</w:t>
            </w:r>
          </w:p>
        </w:tc>
        <w:tc>
          <w:tcPr>
            <w:tcW w:w="530" w:type="dxa"/>
            <w:vAlign w:val="top"/>
          </w:tcPr>
          <w:p w14:paraId="182DF82B">
            <w:pPr>
              <w:pStyle w:val="6"/>
              <w:spacing w:before="220" w:line="229" w:lineRule="auto"/>
              <w:ind w:left="165"/>
            </w:pPr>
            <w:r>
              <w:t>吨</w:t>
            </w:r>
          </w:p>
        </w:tc>
        <w:tc>
          <w:tcPr>
            <w:tcW w:w="1900" w:type="dxa"/>
            <w:vAlign w:val="top"/>
          </w:tcPr>
          <w:p w14:paraId="4EA8ED47">
            <w:pPr>
              <w:pStyle w:val="6"/>
              <w:spacing w:before="91" w:line="214" w:lineRule="auto"/>
              <w:ind w:left="25" w:right="67" w:hanging="10"/>
            </w:pPr>
            <w:r>
              <w:t>电炉炼钢综合工序净耗</w:t>
            </w:r>
            <w:r>
              <w:rPr>
                <w:spacing w:val="6"/>
              </w:rPr>
              <w:t xml:space="preserve"> </w:t>
            </w:r>
            <w:r>
              <w:rPr>
                <w:spacing w:val="3"/>
              </w:rPr>
              <w:t>能量</w:t>
            </w:r>
          </w:p>
        </w:tc>
        <w:tc>
          <w:tcPr>
            <w:tcW w:w="1680" w:type="dxa"/>
            <w:vAlign w:val="top"/>
          </w:tcPr>
          <w:p w14:paraId="7D80DCAA">
            <w:pPr>
              <w:pStyle w:val="6"/>
              <w:spacing w:before="221" w:line="219" w:lineRule="auto"/>
              <w:ind w:left="35"/>
            </w:pPr>
            <w:r>
              <w:t>电炉钢合格产出量</w:t>
            </w:r>
          </w:p>
        </w:tc>
        <w:tc>
          <w:tcPr>
            <w:tcW w:w="720" w:type="dxa"/>
            <w:tcBorders>
              <w:right w:val="nil"/>
            </w:tcBorders>
            <w:vAlign w:val="top"/>
          </w:tcPr>
          <w:p w14:paraId="463EBD0F">
            <w:pPr>
              <w:pStyle w:val="6"/>
              <w:spacing w:before="296" w:line="184" w:lineRule="auto"/>
              <w:ind w:right="15"/>
              <w:jc w:val="right"/>
            </w:pPr>
            <w:r>
              <w:rPr>
                <w:spacing w:val="-4"/>
              </w:rPr>
              <w:t>1000</w:t>
            </w:r>
          </w:p>
        </w:tc>
      </w:tr>
      <w:tr w14:paraId="39613A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530" w:type="dxa"/>
            <w:tcBorders>
              <w:left w:val="nil"/>
            </w:tcBorders>
            <w:vAlign w:val="top"/>
          </w:tcPr>
          <w:p w14:paraId="6E074362">
            <w:pPr>
              <w:pStyle w:val="6"/>
              <w:spacing w:before="217" w:line="184" w:lineRule="auto"/>
              <w:ind w:left="80"/>
            </w:pPr>
            <w:r>
              <w:rPr>
                <w:spacing w:val="-2"/>
              </w:rPr>
              <w:t>3108</w:t>
            </w:r>
          </w:p>
        </w:tc>
        <w:tc>
          <w:tcPr>
            <w:tcW w:w="2270" w:type="dxa"/>
            <w:vAlign w:val="top"/>
          </w:tcPr>
          <w:p w14:paraId="043F0825">
            <w:pPr>
              <w:pStyle w:val="6"/>
              <w:spacing w:before="172" w:line="219" w:lineRule="auto"/>
              <w:ind w:left="15"/>
            </w:pPr>
            <w:r>
              <w:t>电炉炼钢综合电力消耗</w:t>
            </w:r>
          </w:p>
        </w:tc>
        <w:tc>
          <w:tcPr>
            <w:tcW w:w="1280" w:type="dxa"/>
            <w:vAlign w:val="top"/>
          </w:tcPr>
          <w:p w14:paraId="3C8B73D1">
            <w:pPr>
              <w:pStyle w:val="6"/>
              <w:spacing w:before="173" w:line="221" w:lineRule="auto"/>
              <w:ind w:left="25"/>
            </w:pPr>
            <w:r>
              <w:rPr>
                <w:spacing w:val="-2"/>
              </w:rPr>
              <w:t>千瓦时/吨</w:t>
            </w:r>
          </w:p>
        </w:tc>
        <w:tc>
          <w:tcPr>
            <w:tcW w:w="530" w:type="dxa"/>
            <w:vAlign w:val="top"/>
          </w:tcPr>
          <w:p w14:paraId="7AE91D26">
            <w:pPr>
              <w:pStyle w:val="6"/>
              <w:spacing w:before="72" w:line="224" w:lineRule="auto"/>
              <w:ind w:left="75" w:right="74"/>
            </w:pPr>
            <w:r>
              <w:rPr>
                <w:spacing w:val="-6"/>
              </w:rPr>
              <w:t>万千</w:t>
            </w:r>
            <w:r>
              <w:t xml:space="preserve"> </w:t>
            </w:r>
            <w:r>
              <w:rPr>
                <w:spacing w:val="5"/>
              </w:rPr>
              <w:t>瓦时</w:t>
            </w:r>
          </w:p>
        </w:tc>
        <w:tc>
          <w:tcPr>
            <w:tcW w:w="530" w:type="dxa"/>
            <w:vAlign w:val="top"/>
          </w:tcPr>
          <w:p w14:paraId="67A0BD81">
            <w:pPr>
              <w:pStyle w:val="6"/>
              <w:spacing w:before="181" w:line="229" w:lineRule="auto"/>
              <w:ind w:left="165"/>
            </w:pPr>
            <w:r>
              <w:t>吨</w:t>
            </w:r>
          </w:p>
        </w:tc>
        <w:tc>
          <w:tcPr>
            <w:tcW w:w="1900" w:type="dxa"/>
            <w:vAlign w:val="top"/>
          </w:tcPr>
          <w:p w14:paraId="60C182EE">
            <w:pPr>
              <w:pStyle w:val="6"/>
              <w:spacing w:before="172" w:line="219" w:lineRule="auto"/>
              <w:jc w:val="right"/>
            </w:pPr>
            <w:r>
              <w:rPr>
                <w:spacing w:val="-12"/>
              </w:rPr>
              <w:t>电炉炼</w:t>
            </w:r>
            <w:r>
              <w:rPr>
                <w:spacing w:val="-11"/>
              </w:rPr>
              <w:t>钢综合电力净耗</w:t>
            </w:r>
            <w:r>
              <w:rPr>
                <w:spacing w:val="-8"/>
              </w:rPr>
              <w:t>量</w:t>
            </w:r>
          </w:p>
        </w:tc>
        <w:tc>
          <w:tcPr>
            <w:tcW w:w="1680" w:type="dxa"/>
            <w:vAlign w:val="top"/>
          </w:tcPr>
          <w:p w14:paraId="3A0316CA">
            <w:pPr>
              <w:pStyle w:val="6"/>
              <w:spacing w:before="172" w:line="219" w:lineRule="auto"/>
              <w:ind w:left="35"/>
            </w:pPr>
            <w:r>
              <w:t>电炉钢合格产出量</w:t>
            </w:r>
          </w:p>
        </w:tc>
        <w:tc>
          <w:tcPr>
            <w:tcW w:w="720" w:type="dxa"/>
            <w:tcBorders>
              <w:right w:val="nil"/>
            </w:tcBorders>
            <w:vAlign w:val="top"/>
          </w:tcPr>
          <w:p w14:paraId="54223343">
            <w:pPr>
              <w:pStyle w:val="6"/>
              <w:spacing w:before="217" w:line="184" w:lineRule="auto"/>
              <w:ind w:right="16"/>
              <w:jc w:val="right"/>
            </w:pPr>
            <w:r>
              <w:rPr>
                <w:spacing w:val="-4"/>
              </w:rPr>
              <w:t>10000</w:t>
            </w:r>
          </w:p>
        </w:tc>
      </w:tr>
      <w:tr w14:paraId="2E1CEC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530" w:type="dxa"/>
            <w:tcBorders>
              <w:left w:val="nil"/>
            </w:tcBorders>
            <w:vAlign w:val="top"/>
          </w:tcPr>
          <w:p w14:paraId="13EA0C44">
            <w:pPr>
              <w:pStyle w:val="6"/>
              <w:spacing w:before="298" w:line="184" w:lineRule="auto"/>
              <w:ind w:left="80"/>
            </w:pPr>
            <w:r>
              <w:rPr>
                <w:spacing w:val="-2"/>
              </w:rPr>
              <w:t>3130</w:t>
            </w:r>
          </w:p>
        </w:tc>
        <w:tc>
          <w:tcPr>
            <w:tcW w:w="2270" w:type="dxa"/>
            <w:vAlign w:val="top"/>
          </w:tcPr>
          <w:p w14:paraId="374AA9D4">
            <w:pPr>
              <w:pStyle w:val="6"/>
              <w:spacing w:before="193" w:line="219" w:lineRule="auto"/>
              <w:ind w:left="15"/>
            </w:pPr>
            <w:r>
              <w:rPr>
                <w:spacing w:val="-1"/>
              </w:rPr>
              <w:t>硅铁工序单位能耗</w:t>
            </w:r>
          </w:p>
        </w:tc>
        <w:tc>
          <w:tcPr>
            <w:tcW w:w="1280" w:type="dxa"/>
            <w:vAlign w:val="top"/>
          </w:tcPr>
          <w:p w14:paraId="285A58FA">
            <w:pPr>
              <w:pStyle w:val="6"/>
              <w:spacing w:before="104" w:line="223" w:lineRule="auto"/>
              <w:ind w:left="25" w:right="81"/>
            </w:pPr>
            <w:r>
              <w:rPr>
                <w:spacing w:val="-2"/>
              </w:rPr>
              <w:t>千克标准煤/标</w:t>
            </w:r>
            <w:r>
              <w:rPr>
                <w:spacing w:val="5"/>
              </w:rPr>
              <w:t xml:space="preserve"> </w:t>
            </w:r>
            <w:r>
              <w:rPr>
                <w:spacing w:val="-3"/>
              </w:rPr>
              <w:t>准吨</w:t>
            </w:r>
          </w:p>
        </w:tc>
        <w:tc>
          <w:tcPr>
            <w:tcW w:w="530" w:type="dxa"/>
            <w:vAlign w:val="top"/>
          </w:tcPr>
          <w:p w14:paraId="4551980E">
            <w:pPr>
              <w:pStyle w:val="6"/>
              <w:spacing w:before="94" w:line="228" w:lineRule="auto"/>
              <w:ind w:left="75" w:right="77"/>
            </w:pPr>
            <w:r>
              <w:rPr>
                <w:spacing w:val="3"/>
              </w:rPr>
              <w:t>吨标</w:t>
            </w:r>
            <w:r>
              <w:t xml:space="preserve"> </w:t>
            </w:r>
            <w:r>
              <w:rPr>
                <w:spacing w:val="-3"/>
              </w:rPr>
              <w:t>准煤</w:t>
            </w:r>
          </w:p>
        </w:tc>
        <w:tc>
          <w:tcPr>
            <w:tcW w:w="530" w:type="dxa"/>
            <w:vAlign w:val="top"/>
          </w:tcPr>
          <w:p w14:paraId="2266DE92">
            <w:pPr>
              <w:pStyle w:val="6"/>
              <w:spacing w:before="93" w:line="220" w:lineRule="auto"/>
              <w:ind w:left="75"/>
            </w:pPr>
            <w:r>
              <w:rPr>
                <w:spacing w:val="-2"/>
              </w:rPr>
              <w:t>标准</w:t>
            </w:r>
          </w:p>
          <w:p w14:paraId="5BC73A8F">
            <w:pPr>
              <w:pStyle w:val="6"/>
              <w:spacing w:before="44" w:line="191" w:lineRule="auto"/>
              <w:ind w:left="165"/>
            </w:pPr>
            <w:r>
              <w:t>吨</w:t>
            </w:r>
          </w:p>
        </w:tc>
        <w:tc>
          <w:tcPr>
            <w:tcW w:w="1900" w:type="dxa"/>
            <w:vAlign w:val="top"/>
          </w:tcPr>
          <w:p w14:paraId="6A50BDF5">
            <w:pPr>
              <w:pStyle w:val="6"/>
              <w:spacing w:before="243" w:line="219" w:lineRule="auto"/>
              <w:ind w:left="25"/>
            </w:pPr>
            <w:r>
              <w:rPr>
                <w:spacing w:val="-1"/>
              </w:rPr>
              <w:t>硅铁工序净耗能量</w:t>
            </w:r>
          </w:p>
        </w:tc>
        <w:tc>
          <w:tcPr>
            <w:tcW w:w="1680" w:type="dxa"/>
            <w:vAlign w:val="top"/>
          </w:tcPr>
          <w:p w14:paraId="7861FBDE">
            <w:pPr>
              <w:pStyle w:val="6"/>
              <w:spacing w:before="104" w:line="223" w:lineRule="auto"/>
              <w:ind w:left="35" w:right="85" w:hanging="20"/>
            </w:pPr>
            <w:r>
              <w:rPr>
                <w:spacing w:val="3"/>
              </w:rPr>
              <w:t>硅铁(折合含硅75%)</w:t>
            </w:r>
            <w:r>
              <w:rPr>
                <w:spacing w:val="5"/>
              </w:rPr>
              <w:t xml:space="preserve"> </w:t>
            </w:r>
            <w:r>
              <w:rPr>
                <w:spacing w:val="-1"/>
              </w:rPr>
              <w:t>合格产品标准量</w:t>
            </w:r>
          </w:p>
        </w:tc>
        <w:tc>
          <w:tcPr>
            <w:tcW w:w="720" w:type="dxa"/>
            <w:tcBorders>
              <w:right w:val="nil"/>
            </w:tcBorders>
            <w:vAlign w:val="top"/>
          </w:tcPr>
          <w:p w14:paraId="7280A808">
            <w:pPr>
              <w:pStyle w:val="6"/>
              <w:spacing w:before="298" w:line="184" w:lineRule="auto"/>
              <w:ind w:right="15"/>
              <w:jc w:val="right"/>
            </w:pPr>
            <w:r>
              <w:rPr>
                <w:spacing w:val="-4"/>
              </w:rPr>
              <w:t>1000</w:t>
            </w:r>
          </w:p>
        </w:tc>
      </w:tr>
      <w:tr w14:paraId="0B21F2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530" w:type="dxa"/>
            <w:tcBorders>
              <w:left w:val="nil"/>
            </w:tcBorders>
            <w:vAlign w:val="top"/>
          </w:tcPr>
          <w:p w14:paraId="5B381992">
            <w:pPr>
              <w:pStyle w:val="6"/>
              <w:spacing w:before="249" w:line="184" w:lineRule="auto"/>
              <w:ind w:left="80"/>
            </w:pPr>
            <w:r>
              <w:rPr>
                <w:spacing w:val="-2"/>
              </w:rPr>
              <w:t>3140</w:t>
            </w:r>
          </w:p>
        </w:tc>
        <w:tc>
          <w:tcPr>
            <w:tcW w:w="2270" w:type="dxa"/>
            <w:vAlign w:val="top"/>
          </w:tcPr>
          <w:p w14:paraId="5CE1D80A">
            <w:pPr>
              <w:pStyle w:val="6"/>
              <w:spacing w:before="244" w:line="219" w:lineRule="auto"/>
              <w:ind w:left="15"/>
            </w:pPr>
            <w:r>
              <w:rPr>
                <w:spacing w:val="-1"/>
              </w:rPr>
              <w:t>锰硅合金工序单位能耗</w:t>
            </w:r>
          </w:p>
        </w:tc>
        <w:tc>
          <w:tcPr>
            <w:tcW w:w="1280" w:type="dxa"/>
            <w:vAlign w:val="top"/>
          </w:tcPr>
          <w:p w14:paraId="65F64B52">
            <w:pPr>
              <w:pStyle w:val="6"/>
              <w:spacing w:before="114" w:line="228" w:lineRule="auto"/>
              <w:ind w:left="25" w:right="81"/>
            </w:pPr>
            <w:r>
              <w:rPr>
                <w:spacing w:val="-2"/>
              </w:rPr>
              <w:t>千克标准煤/标</w:t>
            </w:r>
            <w:r>
              <w:rPr>
                <w:spacing w:val="5"/>
              </w:rPr>
              <w:t xml:space="preserve"> </w:t>
            </w:r>
            <w:r>
              <w:rPr>
                <w:spacing w:val="-3"/>
              </w:rPr>
              <w:t>准吨</w:t>
            </w:r>
          </w:p>
        </w:tc>
        <w:tc>
          <w:tcPr>
            <w:tcW w:w="530" w:type="dxa"/>
            <w:vAlign w:val="top"/>
          </w:tcPr>
          <w:p w14:paraId="148B05F0">
            <w:pPr>
              <w:pStyle w:val="6"/>
              <w:spacing w:before="104" w:line="233" w:lineRule="auto"/>
              <w:ind w:left="75" w:right="77"/>
            </w:pPr>
            <w:r>
              <w:rPr>
                <w:spacing w:val="3"/>
              </w:rPr>
              <w:t>吨标</w:t>
            </w:r>
            <w:r>
              <w:t xml:space="preserve"> </w:t>
            </w:r>
            <w:r>
              <w:rPr>
                <w:spacing w:val="-3"/>
              </w:rPr>
              <w:t>准煤</w:t>
            </w:r>
          </w:p>
        </w:tc>
        <w:tc>
          <w:tcPr>
            <w:tcW w:w="530" w:type="dxa"/>
            <w:vAlign w:val="top"/>
          </w:tcPr>
          <w:p w14:paraId="3513D74F">
            <w:pPr>
              <w:pStyle w:val="6"/>
              <w:spacing w:before="115" w:line="220" w:lineRule="auto"/>
              <w:ind w:left="75"/>
            </w:pPr>
            <w:r>
              <w:rPr>
                <w:spacing w:val="-2"/>
              </w:rPr>
              <w:t>标准</w:t>
            </w:r>
          </w:p>
          <w:p w14:paraId="0829905F">
            <w:pPr>
              <w:pStyle w:val="6"/>
              <w:spacing w:before="53" w:line="180" w:lineRule="auto"/>
              <w:ind w:left="165"/>
            </w:pPr>
            <w:r>
              <w:t>吨</w:t>
            </w:r>
          </w:p>
        </w:tc>
        <w:tc>
          <w:tcPr>
            <w:tcW w:w="1900" w:type="dxa"/>
            <w:vAlign w:val="top"/>
          </w:tcPr>
          <w:p w14:paraId="314E1D8F">
            <w:pPr>
              <w:pStyle w:val="6"/>
              <w:spacing w:before="244" w:line="219" w:lineRule="auto"/>
              <w:ind w:left="25"/>
            </w:pPr>
            <w:r>
              <w:rPr>
                <w:spacing w:val="-1"/>
              </w:rPr>
              <w:t>锰硅合金工序净耗能量</w:t>
            </w:r>
          </w:p>
        </w:tc>
        <w:tc>
          <w:tcPr>
            <w:tcW w:w="1680" w:type="dxa"/>
            <w:vAlign w:val="top"/>
          </w:tcPr>
          <w:p w14:paraId="5401A9D2">
            <w:pPr>
              <w:pStyle w:val="6"/>
              <w:spacing w:before="114" w:line="228" w:lineRule="auto"/>
              <w:ind w:left="35" w:right="42" w:hanging="20"/>
            </w:pPr>
            <w:r>
              <w:rPr>
                <w:spacing w:val="-1"/>
              </w:rPr>
              <w:t>锰硅合金合格产品标</w:t>
            </w:r>
            <w:r>
              <w:t xml:space="preserve"> </w:t>
            </w:r>
            <w:r>
              <w:rPr>
                <w:spacing w:val="-3"/>
              </w:rPr>
              <w:t>准量</w:t>
            </w:r>
          </w:p>
        </w:tc>
        <w:tc>
          <w:tcPr>
            <w:tcW w:w="720" w:type="dxa"/>
            <w:tcBorders>
              <w:right w:val="nil"/>
            </w:tcBorders>
            <w:vAlign w:val="top"/>
          </w:tcPr>
          <w:p w14:paraId="604A386D">
            <w:pPr>
              <w:spacing w:line="249" w:lineRule="auto"/>
              <w:rPr>
                <w:rFonts w:ascii="Arial"/>
                <w:sz w:val="21"/>
              </w:rPr>
            </w:pPr>
          </w:p>
          <w:p w14:paraId="73D33983">
            <w:pPr>
              <w:pStyle w:val="6"/>
              <w:spacing w:before="59" w:line="184" w:lineRule="auto"/>
              <w:ind w:right="15"/>
              <w:jc w:val="right"/>
            </w:pPr>
            <w:r>
              <w:rPr>
                <w:spacing w:val="-4"/>
              </w:rPr>
              <w:t>1000</w:t>
            </w:r>
          </w:p>
        </w:tc>
      </w:tr>
      <w:tr w14:paraId="6CF2DC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530" w:type="dxa"/>
            <w:tcBorders>
              <w:left w:val="nil"/>
            </w:tcBorders>
            <w:vAlign w:val="top"/>
          </w:tcPr>
          <w:p w14:paraId="1E46F70D">
            <w:pPr>
              <w:pStyle w:val="6"/>
              <w:spacing w:before="290" w:line="184" w:lineRule="auto"/>
              <w:ind w:left="80"/>
            </w:pPr>
            <w:r>
              <w:rPr>
                <w:spacing w:val="-2"/>
              </w:rPr>
              <w:t>3150</w:t>
            </w:r>
          </w:p>
        </w:tc>
        <w:tc>
          <w:tcPr>
            <w:tcW w:w="2270" w:type="dxa"/>
            <w:vAlign w:val="top"/>
          </w:tcPr>
          <w:p w14:paraId="5082720E">
            <w:pPr>
              <w:pStyle w:val="6"/>
              <w:spacing w:before="235" w:line="219" w:lineRule="auto"/>
              <w:ind w:left="15"/>
            </w:pPr>
            <w:r>
              <w:rPr>
                <w:spacing w:val="-1"/>
              </w:rPr>
              <w:t>硅铁单位电耗</w:t>
            </w:r>
          </w:p>
        </w:tc>
        <w:tc>
          <w:tcPr>
            <w:tcW w:w="1280" w:type="dxa"/>
            <w:vAlign w:val="top"/>
          </w:tcPr>
          <w:p w14:paraId="0ED5DC92">
            <w:pPr>
              <w:pStyle w:val="6"/>
              <w:spacing w:before="235" w:line="220" w:lineRule="auto"/>
              <w:ind w:left="25"/>
            </w:pPr>
            <w:r>
              <w:rPr>
                <w:spacing w:val="-1"/>
              </w:rPr>
              <w:t>千瓦时/标准吨</w:t>
            </w:r>
          </w:p>
        </w:tc>
        <w:tc>
          <w:tcPr>
            <w:tcW w:w="530" w:type="dxa"/>
            <w:vAlign w:val="top"/>
          </w:tcPr>
          <w:p w14:paraId="2C1245EC">
            <w:pPr>
              <w:pStyle w:val="6"/>
              <w:spacing w:before="115" w:line="217" w:lineRule="auto"/>
              <w:ind w:left="75" w:right="74"/>
            </w:pPr>
            <w:r>
              <w:rPr>
                <w:spacing w:val="-6"/>
              </w:rPr>
              <w:t>万千</w:t>
            </w:r>
            <w:r>
              <w:t xml:space="preserve"> </w:t>
            </w:r>
            <w:r>
              <w:rPr>
                <w:spacing w:val="5"/>
              </w:rPr>
              <w:t>瓦时</w:t>
            </w:r>
          </w:p>
        </w:tc>
        <w:tc>
          <w:tcPr>
            <w:tcW w:w="530" w:type="dxa"/>
            <w:vAlign w:val="top"/>
          </w:tcPr>
          <w:p w14:paraId="7DAC0F2B">
            <w:pPr>
              <w:pStyle w:val="6"/>
              <w:spacing w:before="95" w:line="220" w:lineRule="auto"/>
              <w:ind w:left="75"/>
            </w:pPr>
            <w:r>
              <w:rPr>
                <w:spacing w:val="-2"/>
              </w:rPr>
              <w:t>标准</w:t>
            </w:r>
          </w:p>
          <w:p w14:paraId="45B6F2B4">
            <w:pPr>
              <w:pStyle w:val="6"/>
              <w:spacing w:before="53" w:line="179" w:lineRule="auto"/>
              <w:ind w:left="165"/>
            </w:pPr>
            <w:r>
              <w:t>吨</w:t>
            </w:r>
          </w:p>
        </w:tc>
        <w:tc>
          <w:tcPr>
            <w:tcW w:w="1900" w:type="dxa"/>
            <w:vAlign w:val="top"/>
          </w:tcPr>
          <w:p w14:paraId="70B7D76D">
            <w:pPr>
              <w:pStyle w:val="6"/>
              <w:spacing w:before="235" w:line="219" w:lineRule="auto"/>
              <w:ind w:left="25"/>
            </w:pPr>
            <w:r>
              <w:rPr>
                <w:spacing w:val="-1"/>
              </w:rPr>
              <w:t>硅铁冶炼总耗电量</w:t>
            </w:r>
          </w:p>
        </w:tc>
        <w:tc>
          <w:tcPr>
            <w:tcW w:w="1680" w:type="dxa"/>
            <w:vAlign w:val="top"/>
          </w:tcPr>
          <w:p w14:paraId="2ABCA7A4">
            <w:pPr>
              <w:pStyle w:val="6"/>
              <w:spacing w:before="94" w:line="228" w:lineRule="auto"/>
              <w:ind w:left="35" w:right="75" w:hanging="10"/>
            </w:pPr>
            <w:r>
              <w:rPr>
                <w:spacing w:val="3"/>
              </w:rPr>
              <w:t>硅铁(折合含硅75%)</w:t>
            </w:r>
            <w:r>
              <w:rPr>
                <w:spacing w:val="5"/>
              </w:rPr>
              <w:t xml:space="preserve"> </w:t>
            </w:r>
            <w:r>
              <w:rPr>
                <w:spacing w:val="-1"/>
              </w:rPr>
              <w:t>合格产品标准量</w:t>
            </w:r>
          </w:p>
        </w:tc>
        <w:tc>
          <w:tcPr>
            <w:tcW w:w="720" w:type="dxa"/>
            <w:tcBorders>
              <w:right w:val="nil"/>
            </w:tcBorders>
            <w:vAlign w:val="top"/>
          </w:tcPr>
          <w:p w14:paraId="208FF3ED">
            <w:pPr>
              <w:spacing w:line="260" w:lineRule="auto"/>
              <w:rPr>
                <w:rFonts w:ascii="Arial"/>
                <w:sz w:val="21"/>
              </w:rPr>
            </w:pPr>
          </w:p>
          <w:p w14:paraId="4CDAD482">
            <w:pPr>
              <w:pStyle w:val="6"/>
              <w:spacing w:before="59" w:line="184" w:lineRule="auto"/>
              <w:ind w:right="16"/>
              <w:jc w:val="right"/>
            </w:pPr>
            <w:r>
              <w:rPr>
                <w:spacing w:val="-4"/>
              </w:rPr>
              <w:t>10000</w:t>
            </w:r>
          </w:p>
        </w:tc>
      </w:tr>
      <w:tr w14:paraId="024C00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530" w:type="dxa"/>
            <w:tcBorders>
              <w:left w:val="nil"/>
            </w:tcBorders>
            <w:vAlign w:val="top"/>
          </w:tcPr>
          <w:p w14:paraId="06D504DD">
            <w:pPr>
              <w:spacing w:line="261" w:lineRule="auto"/>
              <w:rPr>
                <w:rFonts w:ascii="Arial"/>
                <w:sz w:val="21"/>
              </w:rPr>
            </w:pPr>
          </w:p>
          <w:p w14:paraId="7F10C221">
            <w:pPr>
              <w:pStyle w:val="6"/>
              <w:spacing w:before="59" w:line="184" w:lineRule="auto"/>
              <w:ind w:left="80"/>
            </w:pPr>
            <w:r>
              <w:rPr>
                <w:spacing w:val="-2"/>
              </w:rPr>
              <w:t>3160</w:t>
            </w:r>
          </w:p>
        </w:tc>
        <w:tc>
          <w:tcPr>
            <w:tcW w:w="2270" w:type="dxa"/>
            <w:vAlign w:val="top"/>
          </w:tcPr>
          <w:p w14:paraId="247B293A">
            <w:pPr>
              <w:pStyle w:val="6"/>
              <w:spacing w:before="216" w:line="219" w:lineRule="auto"/>
              <w:ind w:left="15"/>
            </w:pPr>
            <w:r>
              <w:rPr>
                <w:spacing w:val="-1"/>
              </w:rPr>
              <w:t>锰硅合金单位电耗</w:t>
            </w:r>
          </w:p>
        </w:tc>
        <w:tc>
          <w:tcPr>
            <w:tcW w:w="1280" w:type="dxa"/>
            <w:vAlign w:val="top"/>
          </w:tcPr>
          <w:p w14:paraId="02B9A08B">
            <w:pPr>
              <w:pStyle w:val="6"/>
              <w:spacing w:before="216" w:line="220" w:lineRule="auto"/>
              <w:ind w:left="25"/>
            </w:pPr>
            <w:r>
              <w:rPr>
                <w:spacing w:val="-1"/>
              </w:rPr>
              <w:t>千瓦时/标准吨</w:t>
            </w:r>
          </w:p>
        </w:tc>
        <w:tc>
          <w:tcPr>
            <w:tcW w:w="530" w:type="dxa"/>
            <w:vAlign w:val="top"/>
          </w:tcPr>
          <w:p w14:paraId="2DFB3A92">
            <w:pPr>
              <w:pStyle w:val="6"/>
              <w:spacing w:before="136" w:line="232" w:lineRule="auto"/>
              <w:ind w:left="75" w:right="74"/>
            </w:pPr>
            <w:r>
              <w:rPr>
                <w:spacing w:val="-6"/>
              </w:rPr>
              <w:t>万千</w:t>
            </w:r>
            <w:r>
              <w:t xml:space="preserve"> </w:t>
            </w:r>
            <w:r>
              <w:rPr>
                <w:spacing w:val="5"/>
              </w:rPr>
              <w:t>瓦时</w:t>
            </w:r>
          </w:p>
        </w:tc>
        <w:tc>
          <w:tcPr>
            <w:tcW w:w="530" w:type="dxa"/>
            <w:vAlign w:val="top"/>
          </w:tcPr>
          <w:p w14:paraId="4642C7D4">
            <w:pPr>
              <w:pStyle w:val="6"/>
              <w:spacing w:before="127" w:line="220" w:lineRule="auto"/>
              <w:ind w:left="75"/>
            </w:pPr>
            <w:r>
              <w:rPr>
                <w:spacing w:val="-2"/>
              </w:rPr>
              <w:t>标准</w:t>
            </w:r>
          </w:p>
          <w:p w14:paraId="3926EA41">
            <w:pPr>
              <w:pStyle w:val="6"/>
              <w:spacing w:before="43" w:line="209" w:lineRule="auto"/>
              <w:ind w:left="165"/>
            </w:pPr>
            <w:r>
              <w:t>吨</w:t>
            </w:r>
          </w:p>
        </w:tc>
        <w:tc>
          <w:tcPr>
            <w:tcW w:w="1900" w:type="dxa"/>
            <w:vAlign w:val="top"/>
          </w:tcPr>
          <w:p w14:paraId="69839C7F">
            <w:pPr>
              <w:pStyle w:val="6"/>
              <w:spacing w:before="216" w:line="219" w:lineRule="auto"/>
              <w:ind w:left="25"/>
            </w:pPr>
            <w:r>
              <w:rPr>
                <w:spacing w:val="-1"/>
              </w:rPr>
              <w:t>锰硅合金冶炼总耗电量</w:t>
            </w:r>
          </w:p>
        </w:tc>
        <w:tc>
          <w:tcPr>
            <w:tcW w:w="1680" w:type="dxa"/>
            <w:vAlign w:val="top"/>
          </w:tcPr>
          <w:p w14:paraId="67B0747F">
            <w:pPr>
              <w:pStyle w:val="6"/>
              <w:spacing w:before="136" w:line="232" w:lineRule="auto"/>
              <w:ind w:left="35" w:right="42" w:hanging="20"/>
            </w:pPr>
            <w:r>
              <w:rPr>
                <w:spacing w:val="-1"/>
              </w:rPr>
              <w:t>锰硅合金合格产品标</w:t>
            </w:r>
            <w:r>
              <w:t xml:space="preserve"> </w:t>
            </w:r>
            <w:r>
              <w:rPr>
                <w:spacing w:val="-3"/>
              </w:rPr>
              <w:t>准量</w:t>
            </w:r>
          </w:p>
        </w:tc>
        <w:tc>
          <w:tcPr>
            <w:tcW w:w="720" w:type="dxa"/>
            <w:tcBorders>
              <w:right w:val="nil"/>
            </w:tcBorders>
            <w:vAlign w:val="top"/>
          </w:tcPr>
          <w:p w14:paraId="58C513C9">
            <w:pPr>
              <w:spacing w:line="251" w:lineRule="auto"/>
              <w:rPr>
                <w:rFonts w:ascii="Arial"/>
                <w:sz w:val="21"/>
              </w:rPr>
            </w:pPr>
          </w:p>
          <w:p w14:paraId="04B308CF">
            <w:pPr>
              <w:pStyle w:val="6"/>
              <w:spacing w:before="59" w:line="184" w:lineRule="auto"/>
              <w:ind w:right="16"/>
              <w:jc w:val="right"/>
            </w:pPr>
            <w:r>
              <w:rPr>
                <w:spacing w:val="-4"/>
              </w:rPr>
              <w:t>10000</w:t>
            </w:r>
          </w:p>
        </w:tc>
      </w:tr>
      <w:tr w14:paraId="5D17F9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530" w:type="dxa"/>
            <w:tcBorders>
              <w:left w:val="nil"/>
            </w:tcBorders>
            <w:vAlign w:val="top"/>
          </w:tcPr>
          <w:p w14:paraId="7A3013E6">
            <w:pPr>
              <w:pStyle w:val="6"/>
              <w:spacing w:before="282" w:line="184" w:lineRule="auto"/>
              <w:ind w:left="80"/>
            </w:pPr>
            <w:r>
              <w:rPr>
                <w:spacing w:val="-2"/>
              </w:rPr>
              <w:t>3111</w:t>
            </w:r>
          </w:p>
        </w:tc>
        <w:tc>
          <w:tcPr>
            <w:tcW w:w="2270" w:type="dxa"/>
            <w:vAlign w:val="top"/>
          </w:tcPr>
          <w:p w14:paraId="4C0D4E85">
            <w:pPr>
              <w:pStyle w:val="6"/>
              <w:spacing w:before="167" w:line="219" w:lineRule="auto"/>
              <w:ind w:left="15"/>
            </w:pPr>
            <w:r>
              <w:rPr>
                <w:spacing w:val="-2"/>
              </w:rPr>
              <w:t>轧钢工序单位能耗</w:t>
            </w:r>
          </w:p>
        </w:tc>
        <w:tc>
          <w:tcPr>
            <w:tcW w:w="1280" w:type="dxa"/>
            <w:vAlign w:val="top"/>
          </w:tcPr>
          <w:p w14:paraId="2E0D93F6">
            <w:pPr>
              <w:pStyle w:val="6"/>
              <w:spacing w:before="207" w:line="219" w:lineRule="auto"/>
              <w:ind w:left="25"/>
            </w:pPr>
            <w:r>
              <w:rPr>
                <w:spacing w:val="-1"/>
              </w:rPr>
              <w:t>千克标准煤/吨</w:t>
            </w:r>
          </w:p>
        </w:tc>
        <w:tc>
          <w:tcPr>
            <w:tcW w:w="530" w:type="dxa"/>
            <w:vAlign w:val="top"/>
          </w:tcPr>
          <w:p w14:paraId="6A5E0D66">
            <w:pPr>
              <w:pStyle w:val="6"/>
              <w:spacing w:before="78" w:line="211" w:lineRule="auto"/>
              <w:ind w:left="75" w:right="77"/>
            </w:pPr>
            <w:r>
              <w:rPr>
                <w:spacing w:val="3"/>
              </w:rPr>
              <w:t>吨标</w:t>
            </w:r>
            <w:r>
              <w:t xml:space="preserve"> </w:t>
            </w:r>
            <w:r>
              <w:rPr>
                <w:spacing w:val="-3"/>
              </w:rPr>
              <w:t>准煤</w:t>
            </w:r>
          </w:p>
        </w:tc>
        <w:tc>
          <w:tcPr>
            <w:tcW w:w="530" w:type="dxa"/>
            <w:vAlign w:val="top"/>
          </w:tcPr>
          <w:p w14:paraId="7E8FF5BB">
            <w:pPr>
              <w:pStyle w:val="6"/>
              <w:spacing w:before="216" w:line="229" w:lineRule="auto"/>
              <w:ind w:left="165"/>
            </w:pPr>
            <w:r>
              <w:t>吨</w:t>
            </w:r>
          </w:p>
        </w:tc>
        <w:tc>
          <w:tcPr>
            <w:tcW w:w="1900" w:type="dxa"/>
            <w:vAlign w:val="top"/>
          </w:tcPr>
          <w:p w14:paraId="6A5D3A86">
            <w:pPr>
              <w:pStyle w:val="6"/>
              <w:spacing w:before="207" w:line="219" w:lineRule="auto"/>
              <w:ind w:left="25"/>
            </w:pPr>
            <w:r>
              <w:rPr>
                <w:spacing w:val="-2"/>
              </w:rPr>
              <w:t>轧钢工序净耗能量</w:t>
            </w:r>
          </w:p>
        </w:tc>
        <w:tc>
          <w:tcPr>
            <w:tcW w:w="1680" w:type="dxa"/>
            <w:vAlign w:val="top"/>
          </w:tcPr>
          <w:p w14:paraId="7E51E837">
            <w:pPr>
              <w:pStyle w:val="6"/>
              <w:spacing w:before="206" w:line="219" w:lineRule="auto"/>
              <w:ind w:left="35"/>
            </w:pPr>
            <w:r>
              <w:rPr>
                <w:spacing w:val="-1"/>
              </w:rPr>
              <w:t>钢材产品合格产出量</w:t>
            </w:r>
          </w:p>
        </w:tc>
        <w:tc>
          <w:tcPr>
            <w:tcW w:w="720" w:type="dxa"/>
            <w:tcBorders>
              <w:right w:val="nil"/>
            </w:tcBorders>
            <w:vAlign w:val="top"/>
          </w:tcPr>
          <w:p w14:paraId="53F9ED8A">
            <w:pPr>
              <w:pStyle w:val="6"/>
              <w:spacing w:before="282" w:line="184" w:lineRule="auto"/>
              <w:ind w:right="15"/>
              <w:jc w:val="right"/>
            </w:pPr>
            <w:r>
              <w:rPr>
                <w:spacing w:val="-4"/>
              </w:rPr>
              <w:t>1000</w:t>
            </w:r>
          </w:p>
        </w:tc>
      </w:tr>
      <w:tr w14:paraId="384704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530" w:type="dxa"/>
            <w:tcBorders>
              <w:left w:val="nil"/>
            </w:tcBorders>
            <w:vAlign w:val="top"/>
          </w:tcPr>
          <w:p w14:paraId="139DC3C8">
            <w:pPr>
              <w:pStyle w:val="6"/>
              <w:spacing w:before="292" w:line="184" w:lineRule="auto"/>
              <w:ind w:left="80"/>
            </w:pPr>
            <w:r>
              <w:rPr>
                <w:spacing w:val="-2"/>
              </w:rPr>
              <w:t>3112</w:t>
            </w:r>
          </w:p>
        </w:tc>
        <w:tc>
          <w:tcPr>
            <w:tcW w:w="2270" w:type="dxa"/>
            <w:vAlign w:val="top"/>
          </w:tcPr>
          <w:p w14:paraId="5E2DEEDF">
            <w:pPr>
              <w:pStyle w:val="6"/>
              <w:spacing w:before="227" w:line="219" w:lineRule="auto"/>
              <w:ind w:left="15"/>
            </w:pPr>
            <w:r>
              <w:rPr>
                <w:spacing w:val="-1"/>
              </w:rPr>
              <w:t>轧钢工序单位电力消耗</w:t>
            </w:r>
          </w:p>
        </w:tc>
        <w:tc>
          <w:tcPr>
            <w:tcW w:w="1280" w:type="dxa"/>
            <w:vAlign w:val="top"/>
          </w:tcPr>
          <w:p w14:paraId="239E928C">
            <w:pPr>
              <w:pStyle w:val="6"/>
              <w:spacing w:before="218" w:line="221" w:lineRule="auto"/>
              <w:ind w:left="25"/>
            </w:pPr>
            <w:r>
              <w:rPr>
                <w:spacing w:val="-2"/>
              </w:rPr>
              <w:t>千瓦时/吨</w:t>
            </w:r>
          </w:p>
        </w:tc>
        <w:tc>
          <w:tcPr>
            <w:tcW w:w="530" w:type="dxa"/>
            <w:vAlign w:val="top"/>
          </w:tcPr>
          <w:p w14:paraId="36BF4853">
            <w:pPr>
              <w:pStyle w:val="6"/>
              <w:spacing w:before="87" w:line="216" w:lineRule="auto"/>
              <w:ind w:left="75" w:right="74"/>
            </w:pPr>
            <w:r>
              <w:rPr>
                <w:spacing w:val="-6"/>
              </w:rPr>
              <w:t>万千</w:t>
            </w:r>
            <w:r>
              <w:t xml:space="preserve"> </w:t>
            </w:r>
            <w:r>
              <w:rPr>
                <w:spacing w:val="5"/>
              </w:rPr>
              <w:t>瓦时</w:t>
            </w:r>
          </w:p>
        </w:tc>
        <w:tc>
          <w:tcPr>
            <w:tcW w:w="530" w:type="dxa"/>
            <w:vAlign w:val="top"/>
          </w:tcPr>
          <w:p w14:paraId="4B4937B5">
            <w:pPr>
              <w:pStyle w:val="6"/>
              <w:spacing w:before="186" w:line="229" w:lineRule="auto"/>
              <w:ind w:left="165"/>
            </w:pPr>
            <w:r>
              <w:t>吨</w:t>
            </w:r>
          </w:p>
        </w:tc>
        <w:tc>
          <w:tcPr>
            <w:tcW w:w="1900" w:type="dxa"/>
            <w:vAlign w:val="top"/>
          </w:tcPr>
          <w:p w14:paraId="2AE602D6">
            <w:pPr>
              <w:pStyle w:val="6"/>
              <w:spacing w:before="227" w:line="219" w:lineRule="auto"/>
              <w:ind w:left="25"/>
            </w:pPr>
            <w:r>
              <w:rPr>
                <w:spacing w:val="-1"/>
              </w:rPr>
              <w:t>轧钢工序电力净消耗量</w:t>
            </w:r>
          </w:p>
        </w:tc>
        <w:tc>
          <w:tcPr>
            <w:tcW w:w="1680" w:type="dxa"/>
            <w:vAlign w:val="top"/>
          </w:tcPr>
          <w:p w14:paraId="7489DA15">
            <w:pPr>
              <w:pStyle w:val="6"/>
              <w:spacing w:before="226" w:line="219" w:lineRule="auto"/>
              <w:ind w:left="35"/>
            </w:pPr>
            <w:r>
              <w:rPr>
                <w:spacing w:val="-1"/>
              </w:rPr>
              <w:t>钢材产品合格产出量</w:t>
            </w:r>
          </w:p>
        </w:tc>
        <w:tc>
          <w:tcPr>
            <w:tcW w:w="720" w:type="dxa"/>
            <w:tcBorders>
              <w:right w:val="nil"/>
            </w:tcBorders>
            <w:vAlign w:val="top"/>
          </w:tcPr>
          <w:p w14:paraId="10C82B66">
            <w:pPr>
              <w:pStyle w:val="6"/>
              <w:spacing w:before="282" w:line="184" w:lineRule="auto"/>
              <w:ind w:right="16"/>
              <w:jc w:val="right"/>
            </w:pPr>
            <w:r>
              <w:rPr>
                <w:spacing w:val="-4"/>
              </w:rPr>
              <w:t>10000</w:t>
            </w:r>
          </w:p>
        </w:tc>
      </w:tr>
      <w:tr w14:paraId="18855D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530" w:type="dxa"/>
            <w:tcBorders>
              <w:left w:val="nil"/>
            </w:tcBorders>
            <w:vAlign w:val="top"/>
          </w:tcPr>
          <w:p w14:paraId="17B3BF81">
            <w:pPr>
              <w:pStyle w:val="6"/>
              <w:spacing w:before="164" w:line="141" w:lineRule="exact"/>
              <w:ind w:left="80"/>
            </w:pPr>
            <w:r>
              <w:rPr>
                <w:spacing w:val="-2"/>
                <w:position w:val="-2"/>
              </w:rPr>
              <w:t>3113</w:t>
            </w:r>
          </w:p>
        </w:tc>
        <w:tc>
          <w:tcPr>
            <w:tcW w:w="2270" w:type="dxa"/>
            <w:vAlign w:val="top"/>
          </w:tcPr>
          <w:p w14:paraId="03C5B1FD">
            <w:pPr>
              <w:pStyle w:val="6"/>
              <w:spacing w:before="108" w:line="202" w:lineRule="auto"/>
              <w:ind w:left="15"/>
            </w:pPr>
            <w:r>
              <w:rPr>
                <w:spacing w:val="1"/>
              </w:rPr>
              <w:t>吨钢耗新水</w:t>
            </w:r>
          </w:p>
        </w:tc>
        <w:tc>
          <w:tcPr>
            <w:tcW w:w="1280" w:type="dxa"/>
            <w:vAlign w:val="top"/>
          </w:tcPr>
          <w:p w14:paraId="61456BCB">
            <w:pPr>
              <w:pStyle w:val="6"/>
              <w:spacing w:before="83" w:line="224" w:lineRule="auto"/>
              <w:ind w:left="25"/>
            </w:pPr>
            <w:r>
              <w:rPr>
                <w:spacing w:val="3"/>
              </w:rPr>
              <w:t>吨/吨</w:t>
            </w:r>
          </w:p>
        </w:tc>
        <w:tc>
          <w:tcPr>
            <w:tcW w:w="530" w:type="dxa"/>
            <w:vAlign w:val="top"/>
          </w:tcPr>
          <w:p w14:paraId="7E16B189">
            <w:pPr>
              <w:pStyle w:val="6"/>
              <w:spacing w:before="117" w:line="192" w:lineRule="auto"/>
              <w:ind w:left="165"/>
            </w:pPr>
            <w:r>
              <w:t>吨</w:t>
            </w:r>
          </w:p>
        </w:tc>
        <w:tc>
          <w:tcPr>
            <w:tcW w:w="530" w:type="dxa"/>
            <w:vAlign w:val="top"/>
          </w:tcPr>
          <w:p w14:paraId="74563376">
            <w:pPr>
              <w:pStyle w:val="6"/>
              <w:spacing w:before="117" w:line="192" w:lineRule="auto"/>
              <w:ind w:left="165"/>
            </w:pPr>
            <w:r>
              <w:t>吨</w:t>
            </w:r>
          </w:p>
        </w:tc>
        <w:tc>
          <w:tcPr>
            <w:tcW w:w="1900" w:type="dxa"/>
            <w:vAlign w:val="top"/>
          </w:tcPr>
          <w:p w14:paraId="043C7F92">
            <w:pPr>
              <w:pStyle w:val="6"/>
              <w:spacing w:before="108" w:line="202" w:lineRule="auto"/>
              <w:ind w:left="25"/>
            </w:pPr>
            <w:r>
              <w:rPr>
                <w:spacing w:val="-2"/>
              </w:rPr>
              <w:t>企业耗用新水量</w:t>
            </w:r>
          </w:p>
        </w:tc>
        <w:tc>
          <w:tcPr>
            <w:tcW w:w="1680" w:type="dxa"/>
            <w:vAlign w:val="top"/>
          </w:tcPr>
          <w:p w14:paraId="6A7679B2">
            <w:pPr>
              <w:pStyle w:val="6"/>
              <w:spacing w:before="78" w:line="219" w:lineRule="auto"/>
              <w:ind w:left="35"/>
            </w:pPr>
            <w:r>
              <w:rPr>
                <w:spacing w:val="-1"/>
              </w:rPr>
              <w:t>企业粗钢合格产出量</w:t>
            </w:r>
          </w:p>
        </w:tc>
        <w:tc>
          <w:tcPr>
            <w:tcW w:w="720" w:type="dxa"/>
            <w:tcBorders>
              <w:right w:val="nil"/>
            </w:tcBorders>
            <w:vAlign w:val="top"/>
          </w:tcPr>
          <w:p w14:paraId="47CDC8DF">
            <w:pPr>
              <w:rPr>
                <w:rFonts w:ascii="Arial"/>
                <w:sz w:val="21"/>
              </w:rPr>
            </w:pPr>
          </w:p>
        </w:tc>
      </w:tr>
    </w:tbl>
    <w:p w14:paraId="7843C113">
      <w:pPr>
        <w:spacing w:before="80" w:line="222" w:lineRule="auto"/>
        <w:ind w:left="189"/>
        <w:rPr>
          <w:rFonts w:ascii="宋体" w:hAnsi="宋体" w:eastAsia="宋体" w:cs="宋体"/>
          <w:sz w:val="12"/>
          <w:szCs w:val="12"/>
        </w:rPr>
      </w:pPr>
      <w:r>
        <w:rPr>
          <w:rFonts w:ascii="宋体" w:hAnsi="宋体" w:eastAsia="宋体" w:cs="宋体"/>
          <w:b/>
          <w:bCs/>
          <w:spacing w:val="-7"/>
          <w:sz w:val="12"/>
          <w:szCs w:val="12"/>
        </w:rPr>
        <w:t>(32)</w:t>
      </w:r>
    </w:p>
    <w:p w14:paraId="7124C081">
      <w:pPr>
        <w:spacing w:line="45" w:lineRule="exact"/>
      </w:pPr>
    </w:p>
    <w:tbl>
      <w:tblPr>
        <w:tblStyle w:val="5"/>
        <w:tblW w:w="9440" w:type="dxa"/>
        <w:tblInd w:w="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4"/>
        <w:gridCol w:w="2268"/>
        <w:gridCol w:w="1279"/>
        <w:gridCol w:w="529"/>
        <w:gridCol w:w="530"/>
        <w:gridCol w:w="1898"/>
        <w:gridCol w:w="1678"/>
        <w:gridCol w:w="724"/>
      </w:tblGrid>
      <w:tr w14:paraId="020F64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534" w:type="dxa"/>
            <w:vAlign w:val="top"/>
          </w:tcPr>
          <w:p w14:paraId="0553658B">
            <w:pPr>
              <w:pStyle w:val="6"/>
              <w:spacing w:before="227" w:line="184" w:lineRule="auto"/>
              <w:ind w:left="75"/>
            </w:pPr>
            <w:r>
              <w:rPr>
                <w:spacing w:val="-2"/>
              </w:rPr>
              <w:t>3201</w:t>
            </w:r>
          </w:p>
        </w:tc>
        <w:tc>
          <w:tcPr>
            <w:tcW w:w="2268" w:type="dxa"/>
            <w:vAlign w:val="top"/>
          </w:tcPr>
          <w:p w14:paraId="743C8B33">
            <w:pPr>
              <w:pStyle w:val="6"/>
              <w:spacing w:before="182" w:line="219" w:lineRule="auto"/>
              <w:ind w:left="11"/>
            </w:pPr>
            <w:r>
              <w:rPr>
                <w:spacing w:val="-1"/>
              </w:rPr>
              <w:t>单位粗铜综合能耗</w:t>
            </w:r>
          </w:p>
        </w:tc>
        <w:tc>
          <w:tcPr>
            <w:tcW w:w="1279" w:type="dxa"/>
            <w:vAlign w:val="top"/>
          </w:tcPr>
          <w:p w14:paraId="36461D7A">
            <w:pPr>
              <w:pStyle w:val="6"/>
              <w:spacing w:before="182" w:line="219" w:lineRule="auto"/>
              <w:ind w:left="23"/>
            </w:pPr>
            <w:r>
              <w:rPr>
                <w:spacing w:val="-1"/>
              </w:rPr>
              <w:t>千克标准煤/吨</w:t>
            </w:r>
          </w:p>
        </w:tc>
        <w:tc>
          <w:tcPr>
            <w:tcW w:w="529" w:type="dxa"/>
            <w:vAlign w:val="top"/>
          </w:tcPr>
          <w:p w14:paraId="5084A881">
            <w:pPr>
              <w:pStyle w:val="6"/>
              <w:spacing w:before="73" w:line="235" w:lineRule="auto"/>
              <w:ind w:left="74" w:right="77"/>
            </w:pPr>
            <w:r>
              <w:rPr>
                <w:spacing w:val="3"/>
              </w:rPr>
              <w:t>吨标</w:t>
            </w:r>
            <w:r>
              <w:t xml:space="preserve"> </w:t>
            </w:r>
            <w:r>
              <w:rPr>
                <w:spacing w:val="-3"/>
              </w:rPr>
              <w:t>准煤</w:t>
            </w:r>
          </w:p>
        </w:tc>
        <w:tc>
          <w:tcPr>
            <w:tcW w:w="530" w:type="dxa"/>
            <w:vAlign w:val="top"/>
          </w:tcPr>
          <w:p w14:paraId="36BEFFC8">
            <w:pPr>
              <w:pStyle w:val="6"/>
              <w:spacing w:before="191" w:line="229" w:lineRule="auto"/>
              <w:ind w:left="165"/>
            </w:pPr>
            <w:r>
              <w:t>吨</w:t>
            </w:r>
          </w:p>
        </w:tc>
        <w:tc>
          <w:tcPr>
            <w:tcW w:w="1898" w:type="dxa"/>
            <w:vAlign w:val="top"/>
          </w:tcPr>
          <w:p w14:paraId="55F607C6">
            <w:pPr>
              <w:pStyle w:val="6"/>
              <w:spacing w:before="183" w:line="220" w:lineRule="auto"/>
              <w:ind w:left="15"/>
            </w:pPr>
            <w:r>
              <w:rPr>
                <w:spacing w:val="-1"/>
              </w:rPr>
              <w:t>粗铜综合能源消费量</w:t>
            </w:r>
          </w:p>
        </w:tc>
        <w:tc>
          <w:tcPr>
            <w:tcW w:w="1678" w:type="dxa"/>
            <w:vAlign w:val="top"/>
          </w:tcPr>
          <w:p w14:paraId="1D0400FE">
            <w:pPr>
              <w:pStyle w:val="6"/>
              <w:spacing w:before="182" w:line="219" w:lineRule="auto"/>
              <w:ind w:left="17"/>
            </w:pPr>
            <w:r>
              <w:rPr>
                <w:spacing w:val="-1"/>
              </w:rPr>
              <w:t>矿产粗铜产量</w:t>
            </w:r>
          </w:p>
        </w:tc>
        <w:tc>
          <w:tcPr>
            <w:tcW w:w="724" w:type="dxa"/>
            <w:vAlign w:val="top"/>
          </w:tcPr>
          <w:p w14:paraId="3F2100B8">
            <w:pPr>
              <w:pStyle w:val="6"/>
              <w:spacing w:before="227" w:line="184" w:lineRule="auto"/>
              <w:ind w:right="10"/>
              <w:jc w:val="right"/>
            </w:pPr>
            <w:r>
              <w:rPr>
                <w:spacing w:val="-4"/>
              </w:rPr>
              <w:t>1000</w:t>
            </w:r>
          </w:p>
        </w:tc>
      </w:tr>
      <w:tr w14:paraId="14DA38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trPr>
        <w:tc>
          <w:tcPr>
            <w:tcW w:w="534" w:type="dxa"/>
            <w:vAlign w:val="top"/>
          </w:tcPr>
          <w:p w14:paraId="2BF25809">
            <w:pPr>
              <w:pStyle w:val="6"/>
              <w:spacing w:before="276" w:line="183" w:lineRule="auto"/>
              <w:ind w:left="75"/>
            </w:pPr>
            <w:r>
              <w:rPr>
                <w:spacing w:val="-2"/>
              </w:rPr>
              <w:t>3220</w:t>
            </w:r>
          </w:p>
        </w:tc>
        <w:tc>
          <w:tcPr>
            <w:tcW w:w="2268" w:type="dxa"/>
            <w:vAlign w:val="top"/>
          </w:tcPr>
          <w:p w14:paraId="2DBFC653">
            <w:pPr>
              <w:pStyle w:val="6"/>
              <w:spacing w:before="169" w:line="219" w:lineRule="auto"/>
              <w:ind w:left="11"/>
            </w:pPr>
            <w:r>
              <w:rPr>
                <w:spacing w:val="-1"/>
              </w:rPr>
              <w:t>单位铜精炼综合能耗</w:t>
            </w:r>
          </w:p>
        </w:tc>
        <w:tc>
          <w:tcPr>
            <w:tcW w:w="1279" w:type="dxa"/>
            <w:vAlign w:val="top"/>
          </w:tcPr>
          <w:p w14:paraId="0794104D">
            <w:pPr>
              <w:pStyle w:val="6"/>
              <w:spacing w:before="170" w:line="219" w:lineRule="auto"/>
              <w:ind w:left="23"/>
            </w:pPr>
            <w:r>
              <w:rPr>
                <w:spacing w:val="-1"/>
              </w:rPr>
              <w:t>千克标准煤/吨</w:t>
            </w:r>
          </w:p>
        </w:tc>
        <w:tc>
          <w:tcPr>
            <w:tcW w:w="529" w:type="dxa"/>
            <w:vAlign w:val="top"/>
          </w:tcPr>
          <w:p w14:paraId="0AD2308B">
            <w:pPr>
              <w:pStyle w:val="6"/>
              <w:spacing w:before="71" w:line="224" w:lineRule="auto"/>
              <w:ind w:left="74" w:right="77"/>
            </w:pPr>
            <w:r>
              <w:rPr>
                <w:spacing w:val="3"/>
              </w:rPr>
              <w:t>吨标</w:t>
            </w:r>
            <w:r>
              <w:t xml:space="preserve"> </w:t>
            </w:r>
            <w:r>
              <w:rPr>
                <w:spacing w:val="-3"/>
              </w:rPr>
              <w:t>准煤</w:t>
            </w:r>
          </w:p>
        </w:tc>
        <w:tc>
          <w:tcPr>
            <w:tcW w:w="530" w:type="dxa"/>
            <w:vAlign w:val="top"/>
          </w:tcPr>
          <w:p w14:paraId="117C3451">
            <w:pPr>
              <w:pStyle w:val="6"/>
              <w:spacing w:before="179" w:line="229" w:lineRule="auto"/>
              <w:ind w:left="165"/>
            </w:pPr>
            <w:r>
              <w:t>吨</w:t>
            </w:r>
          </w:p>
        </w:tc>
        <w:tc>
          <w:tcPr>
            <w:tcW w:w="1898" w:type="dxa"/>
            <w:vAlign w:val="top"/>
          </w:tcPr>
          <w:p w14:paraId="65344F29">
            <w:pPr>
              <w:pStyle w:val="6"/>
              <w:spacing w:before="90" w:line="214" w:lineRule="auto"/>
              <w:ind w:left="15" w:right="33"/>
            </w:pPr>
            <w:r>
              <w:rPr>
                <w:spacing w:val="3"/>
              </w:rPr>
              <w:t>粗铜到精炼铜(电解铜)</w:t>
            </w:r>
            <w:r>
              <w:rPr>
                <w:spacing w:val="5"/>
              </w:rPr>
              <w:t xml:space="preserve"> </w:t>
            </w:r>
            <w:r>
              <w:rPr>
                <w:spacing w:val="-2"/>
              </w:rPr>
              <w:t>消耗的能源总量</w:t>
            </w:r>
          </w:p>
        </w:tc>
        <w:tc>
          <w:tcPr>
            <w:tcW w:w="1678" w:type="dxa"/>
            <w:vAlign w:val="top"/>
          </w:tcPr>
          <w:p w14:paraId="4FCDB687">
            <w:pPr>
              <w:pStyle w:val="6"/>
              <w:spacing w:before="169" w:line="219" w:lineRule="auto"/>
              <w:ind w:left="17"/>
            </w:pPr>
            <w:r>
              <w:rPr>
                <w:spacing w:val="-1"/>
              </w:rPr>
              <w:t>精炼铜(电解铜)产量</w:t>
            </w:r>
          </w:p>
        </w:tc>
        <w:tc>
          <w:tcPr>
            <w:tcW w:w="724" w:type="dxa"/>
            <w:vAlign w:val="top"/>
          </w:tcPr>
          <w:p w14:paraId="658DF35D">
            <w:pPr>
              <w:pStyle w:val="6"/>
              <w:spacing w:before="275" w:line="184" w:lineRule="auto"/>
              <w:ind w:right="10"/>
              <w:jc w:val="right"/>
            </w:pPr>
            <w:r>
              <w:rPr>
                <w:spacing w:val="-4"/>
              </w:rPr>
              <w:t>1000</w:t>
            </w:r>
          </w:p>
        </w:tc>
      </w:tr>
      <w:tr w14:paraId="231565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trPr>
        <w:tc>
          <w:tcPr>
            <w:tcW w:w="534" w:type="dxa"/>
            <w:vAlign w:val="top"/>
          </w:tcPr>
          <w:p w14:paraId="697F7C8C">
            <w:pPr>
              <w:pStyle w:val="6"/>
              <w:spacing w:before="278" w:line="183" w:lineRule="auto"/>
              <w:ind w:left="75"/>
            </w:pPr>
            <w:r>
              <w:rPr>
                <w:spacing w:val="-2"/>
              </w:rPr>
              <w:t>3202</w:t>
            </w:r>
          </w:p>
        </w:tc>
        <w:tc>
          <w:tcPr>
            <w:tcW w:w="2268" w:type="dxa"/>
            <w:vAlign w:val="top"/>
          </w:tcPr>
          <w:p w14:paraId="5A65C947">
            <w:pPr>
              <w:pStyle w:val="6"/>
              <w:spacing w:before="222" w:line="219" w:lineRule="auto"/>
              <w:ind w:left="11"/>
            </w:pPr>
            <w:r>
              <w:rPr>
                <w:spacing w:val="-1"/>
              </w:rPr>
              <w:t>单位铜冶炼综合能耗</w:t>
            </w:r>
          </w:p>
        </w:tc>
        <w:tc>
          <w:tcPr>
            <w:tcW w:w="1279" w:type="dxa"/>
            <w:vAlign w:val="top"/>
          </w:tcPr>
          <w:p w14:paraId="02B30199">
            <w:pPr>
              <w:pStyle w:val="6"/>
              <w:spacing w:before="222" w:line="219" w:lineRule="auto"/>
              <w:ind w:left="23"/>
            </w:pPr>
            <w:r>
              <w:rPr>
                <w:spacing w:val="-1"/>
              </w:rPr>
              <w:t>千克标准煤/吨</w:t>
            </w:r>
          </w:p>
        </w:tc>
        <w:tc>
          <w:tcPr>
            <w:tcW w:w="529" w:type="dxa"/>
            <w:vAlign w:val="top"/>
          </w:tcPr>
          <w:p w14:paraId="64007FF8">
            <w:pPr>
              <w:pStyle w:val="6"/>
              <w:spacing w:before="82" w:line="218" w:lineRule="auto"/>
              <w:ind w:left="74" w:right="77"/>
            </w:pPr>
            <w:r>
              <w:rPr>
                <w:spacing w:val="3"/>
              </w:rPr>
              <w:t>吨标</w:t>
            </w:r>
            <w:r>
              <w:t xml:space="preserve"> </w:t>
            </w:r>
            <w:r>
              <w:rPr>
                <w:spacing w:val="-3"/>
              </w:rPr>
              <w:t>准煤</w:t>
            </w:r>
          </w:p>
        </w:tc>
        <w:tc>
          <w:tcPr>
            <w:tcW w:w="530" w:type="dxa"/>
            <w:vAlign w:val="top"/>
          </w:tcPr>
          <w:p w14:paraId="5127BD80">
            <w:pPr>
              <w:pStyle w:val="6"/>
              <w:spacing w:before="231" w:line="229" w:lineRule="auto"/>
              <w:ind w:left="165"/>
            </w:pPr>
            <w:r>
              <w:t>吨</w:t>
            </w:r>
          </w:p>
        </w:tc>
        <w:tc>
          <w:tcPr>
            <w:tcW w:w="1898" w:type="dxa"/>
            <w:vAlign w:val="top"/>
          </w:tcPr>
          <w:p w14:paraId="64CCD48F">
            <w:pPr>
              <w:pStyle w:val="6"/>
              <w:spacing w:before="82" w:line="218" w:lineRule="auto"/>
              <w:ind w:left="15" w:right="80"/>
            </w:pPr>
            <w:r>
              <w:rPr>
                <w:spacing w:val="-1"/>
              </w:rPr>
              <w:t>铜冶炼各工序综合能源</w:t>
            </w:r>
            <w:r>
              <w:rPr>
                <w:spacing w:val="1"/>
              </w:rPr>
              <w:t xml:space="preserve"> </w:t>
            </w:r>
            <w:r>
              <w:rPr>
                <w:spacing w:val="-3"/>
              </w:rPr>
              <w:t>消费量</w:t>
            </w:r>
          </w:p>
        </w:tc>
        <w:tc>
          <w:tcPr>
            <w:tcW w:w="1678" w:type="dxa"/>
            <w:vAlign w:val="top"/>
          </w:tcPr>
          <w:p w14:paraId="23E8A736">
            <w:pPr>
              <w:pStyle w:val="6"/>
              <w:spacing w:before="221" w:line="219" w:lineRule="auto"/>
              <w:ind w:left="17"/>
            </w:pPr>
            <w:r>
              <w:rPr>
                <w:spacing w:val="-1"/>
              </w:rPr>
              <w:t>精炼铜(电解铜)产量</w:t>
            </w:r>
          </w:p>
        </w:tc>
        <w:tc>
          <w:tcPr>
            <w:tcW w:w="724" w:type="dxa"/>
            <w:vAlign w:val="top"/>
          </w:tcPr>
          <w:p w14:paraId="3CA86CBA">
            <w:pPr>
              <w:pStyle w:val="6"/>
              <w:spacing w:before="277" w:line="184" w:lineRule="auto"/>
              <w:ind w:right="10"/>
              <w:jc w:val="right"/>
            </w:pPr>
            <w:r>
              <w:rPr>
                <w:spacing w:val="-4"/>
              </w:rPr>
              <w:t>1000</w:t>
            </w:r>
          </w:p>
        </w:tc>
      </w:tr>
      <w:tr w14:paraId="6137D4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534" w:type="dxa"/>
            <w:vAlign w:val="top"/>
          </w:tcPr>
          <w:p w14:paraId="096F0B75">
            <w:pPr>
              <w:spacing w:line="250" w:lineRule="auto"/>
              <w:rPr>
                <w:rFonts w:ascii="Arial"/>
                <w:sz w:val="21"/>
              </w:rPr>
            </w:pPr>
          </w:p>
          <w:p w14:paraId="0067050A">
            <w:pPr>
              <w:pStyle w:val="6"/>
              <w:spacing w:before="59" w:line="183" w:lineRule="auto"/>
              <w:ind w:left="75"/>
            </w:pPr>
            <w:r>
              <w:rPr>
                <w:spacing w:val="-2"/>
              </w:rPr>
              <w:t>3203</w:t>
            </w:r>
          </w:p>
        </w:tc>
        <w:tc>
          <w:tcPr>
            <w:tcW w:w="2268" w:type="dxa"/>
            <w:vAlign w:val="top"/>
          </w:tcPr>
          <w:p w14:paraId="382B30D2">
            <w:pPr>
              <w:pStyle w:val="6"/>
              <w:spacing w:before="194" w:line="219" w:lineRule="auto"/>
              <w:ind w:left="11"/>
            </w:pPr>
            <w:r>
              <w:rPr>
                <w:spacing w:val="-1"/>
              </w:rPr>
              <w:t>铜电解直流电单耗</w:t>
            </w:r>
          </w:p>
        </w:tc>
        <w:tc>
          <w:tcPr>
            <w:tcW w:w="1279" w:type="dxa"/>
            <w:vAlign w:val="top"/>
          </w:tcPr>
          <w:p w14:paraId="4446D82E">
            <w:pPr>
              <w:pStyle w:val="6"/>
              <w:spacing w:before="235" w:line="221" w:lineRule="auto"/>
              <w:ind w:left="23"/>
            </w:pPr>
            <w:r>
              <w:rPr>
                <w:spacing w:val="-2"/>
              </w:rPr>
              <w:t>千瓦时/吨</w:t>
            </w:r>
          </w:p>
        </w:tc>
        <w:tc>
          <w:tcPr>
            <w:tcW w:w="529" w:type="dxa"/>
            <w:vAlign w:val="top"/>
          </w:tcPr>
          <w:p w14:paraId="355C1982">
            <w:pPr>
              <w:pStyle w:val="6"/>
              <w:spacing w:before="105" w:line="224" w:lineRule="auto"/>
              <w:ind w:left="74" w:right="74"/>
            </w:pPr>
            <w:r>
              <w:rPr>
                <w:spacing w:val="-6"/>
              </w:rPr>
              <w:t>万千</w:t>
            </w:r>
            <w:r>
              <w:t xml:space="preserve"> </w:t>
            </w:r>
            <w:r>
              <w:rPr>
                <w:spacing w:val="5"/>
              </w:rPr>
              <w:t>瓦时</w:t>
            </w:r>
          </w:p>
        </w:tc>
        <w:tc>
          <w:tcPr>
            <w:tcW w:w="530" w:type="dxa"/>
            <w:vAlign w:val="top"/>
          </w:tcPr>
          <w:p w14:paraId="57FB87B6">
            <w:pPr>
              <w:pStyle w:val="6"/>
              <w:spacing w:before="243" w:line="229" w:lineRule="auto"/>
              <w:ind w:left="165"/>
            </w:pPr>
            <w:r>
              <w:t>吨</w:t>
            </w:r>
          </w:p>
        </w:tc>
        <w:tc>
          <w:tcPr>
            <w:tcW w:w="1898" w:type="dxa"/>
            <w:vAlign w:val="top"/>
          </w:tcPr>
          <w:p w14:paraId="48729DE6">
            <w:pPr>
              <w:pStyle w:val="6"/>
              <w:spacing w:before="93" w:line="230" w:lineRule="auto"/>
              <w:ind w:left="15" w:right="58"/>
            </w:pPr>
            <w:r>
              <w:rPr>
                <w:spacing w:val="1"/>
              </w:rPr>
              <w:t>精炼铜(电解铜)消耗的</w:t>
            </w:r>
            <w:r>
              <w:rPr>
                <w:spacing w:val="2"/>
              </w:rPr>
              <w:t xml:space="preserve"> </w:t>
            </w:r>
            <w:r>
              <w:rPr>
                <w:spacing w:val="-2"/>
              </w:rPr>
              <w:t>直流电量</w:t>
            </w:r>
          </w:p>
        </w:tc>
        <w:tc>
          <w:tcPr>
            <w:tcW w:w="1678" w:type="dxa"/>
            <w:vAlign w:val="top"/>
          </w:tcPr>
          <w:p w14:paraId="0C277FD3">
            <w:pPr>
              <w:pStyle w:val="6"/>
              <w:spacing w:before="233" w:line="219" w:lineRule="auto"/>
              <w:ind w:left="17"/>
            </w:pPr>
            <w:r>
              <w:rPr>
                <w:spacing w:val="-1"/>
              </w:rPr>
              <w:t>精炼铜(电解铜)产量</w:t>
            </w:r>
          </w:p>
        </w:tc>
        <w:tc>
          <w:tcPr>
            <w:tcW w:w="724" w:type="dxa"/>
            <w:vAlign w:val="top"/>
          </w:tcPr>
          <w:p w14:paraId="66F19E02">
            <w:pPr>
              <w:pStyle w:val="6"/>
              <w:spacing w:before="289" w:line="184" w:lineRule="auto"/>
              <w:ind w:right="11"/>
              <w:jc w:val="right"/>
            </w:pPr>
            <w:r>
              <w:rPr>
                <w:spacing w:val="-4"/>
              </w:rPr>
              <w:t>10000</w:t>
            </w:r>
          </w:p>
        </w:tc>
      </w:tr>
    </w:tbl>
    <w:p w14:paraId="6D1680D0">
      <w:pPr>
        <w:spacing w:before="82" w:line="204" w:lineRule="auto"/>
        <w:rPr>
          <w:rFonts w:ascii="宋体" w:hAnsi="宋体" w:eastAsia="宋体" w:cs="宋体"/>
          <w:sz w:val="17"/>
          <w:szCs w:val="17"/>
        </w:rPr>
      </w:pPr>
      <w:r>
        <w:rPr>
          <w:rFonts w:ascii="宋体" w:hAnsi="宋体" w:eastAsia="宋体" w:cs="宋体"/>
          <w:b/>
          <w:bCs/>
          <w:spacing w:val="4"/>
          <w:sz w:val="17"/>
          <w:szCs w:val="17"/>
        </w:rPr>
        <w:t>铝(32)</w:t>
      </w:r>
    </w:p>
    <w:tbl>
      <w:tblPr>
        <w:tblStyle w:val="5"/>
        <w:tblW w:w="9440" w:type="dxa"/>
        <w:tblInd w:w="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4"/>
        <w:gridCol w:w="2268"/>
        <w:gridCol w:w="1279"/>
        <w:gridCol w:w="529"/>
        <w:gridCol w:w="530"/>
        <w:gridCol w:w="1898"/>
        <w:gridCol w:w="1678"/>
        <w:gridCol w:w="724"/>
      </w:tblGrid>
      <w:tr w14:paraId="0510F5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534" w:type="dxa"/>
            <w:vAlign w:val="top"/>
          </w:tcPr>
          <w:p w14:paraId="012343AD">
            <w:pPr>
              <w:pStyle w:val="6"/>
              <w:spacing w:before="267" w:line="183" w:lineRule="auto"/>
              <w:ind w:left="77"/>
            </w:pPr>
            <w:r>
              <w:rPr>
                <w:b/>
                <w:bCs/>
                <w:spacing w:val="-4"/>
              </w:rPr>
              <w:t>3204</w:t>
            </w:r>
          </w:p>
        </w:tc>
        <w:tc>
          <w:tcPr>
            <w:tcW w:w="2268" w:type="dxa"/>
            <w:vAlign w:val="top"/>
          </w:tcPr>
          <w:p w14:paraId="42ABE807">
            <w:pPr>
              <w:pStyle w:val="6"/>
              <w:spacing w:before="211" w:line="219" w:lineRule="auto"/>
              <w:ind w:left="11"/>
            </w:pPr>
            <w:r>
              <w:rPr>
                <w:spacing w:val="-1"/>
              </w:rPr>
              <w:t>单位氧化铝综合能耗</w:t>
            </w:r>
          </w:p>
        </w:tc>
        <w:tc>
          <w:tcPr>
            <w:tcW w:w="1279" w:type="dxa"/>
            <w:vAlign w:val="top"/>
          </w:tcPr>
          <w:p w14:paraId="15847FA8">
            <w:pPr>
              <w:pStyle w:val="6"/>
              <w:spacing w:before="212" w:line="219" w:lineRule="auto"/>
              <w:ind w:left="43"/>
            </w:pPr>
            <w:r>
              <w:rPr>
                <w:spacing w:val="-1"/>
              </w:rPr>
              <w:t>千克标准煤/吨</w:t>
            </w:r>
          </w:p>
        </w:tc>
        <w:tc>
          <w:tcPr>
            <w:tcW w:w="529" w:type="dxa"/>
            <w:vAlign w:val="top"/>
          </w:tcPr>
          <w:p w14:paraId="34667836">
            <w:pPr>
              <w:pStyle w:val="6"/>
              <w:spacing w:before="72" w:line="219" w:lineRule="auto"/>
              <w:ind w:left="74" w:right="77"/>
            </w:pPr>
            <w:r>
              <w:rPr>
                <w:spacing w:val="3"/>
              </w:rPr>
              <w:t>吨标</w:t>
            </w:r>
            <w:r>
              <w:t xml:space="preserve"> </w:t>
            </w:r>
            <w:r>
              <w:rPr>
                <w:spacing w:val="-3"/>
              </w:rPr>
              <w:t>准煤</w:t>
            </w:r>
          </w:p>
        </w:tc>
        <w:tc>
          <w:tcPr>
            <w:tcW w:w="530" w:type="dxa"/>
            <w:vAlign w:val="top"/>
          </w:tcPr>
          <w:p w14:paraId="70499C9E">
            <w:pPr>
              <w:pStyle w:val="6"/>
              <w:spacing w:before="221" w:line="229" w:lineRule="auto"/>
              <w:ind w:left="165"/>
            </w:pPr>
            <w:r>
              <w:t>吨</w:t>
            </w:r>
          </w:p>
        </w:tc>
        <w:tc>
          <w:tcPr>
            <w:tcW w:w="1898" w:type="dxa"/>
            <w:vAlign w:val="top"/>
          </w:tcPr>
          <w:p w14:paraId="6C619960">
            <w:pPr>
              <w:pStyle w:val="6"/>
              <w:spacing w:before="80" w:line="215" w:lineRule="auto"/>
              <w:ind w:left="15" w:right="55"/>
            </w:pPr>
            <w:r>
              <w:rPr>
                <w:spacing w:val="1"/>
              </w:rPr>
              <w:t>氧化铝生产综合能源消</w:t>
            </w:r>
            <w:r>
              <w:rPr>
                <w:spacing w:val="6"/>
              </w:rPr>
              <w:t xml:space="preserve"> </w:t>
            </w:r>
            <w:r>
              <w:rPr>
                <w:spacing w:val="3"/>
              </w:rPr>
              <w:t>费量</w:t>
            </w:r>
          </w:p>
        </w:tc>
        <w:tc>
          <w:tcPr>
            <w:tcW w:w="1678" w:type="dxa"/>
            <w:vAlign w:val="top"/>
          </w:tcPr>
          <w:p w14:paraId="380485FC">
            <w:pPr>
              <w:pStyle w:val="6"/>
              <w:spacing w:before="211" w:line="219" w:lineRule="auto"/>
              <w:ind w:left="17"/>
            </w:pPr>
            <w:r>
              <w:rPr>
                <w:spacing w:val="-2"/>
              </w:rPr>
              <w:t>实产氧化铝产量</w:t>
            </w:r>
          </w:p>
        </w:tc>
        <w:tc>
          <w:tcPr>
            <w:tcW w:w="724" w:type="dxa"/>
            <w:vAlign w:val="top"/>
          </w:tcPr>
          <w:p w14:paraId="53F88295">
            <w:pPr>
              <w:pStyle w:val="6"/>
              <w:spacing w:before="277" w:line="184" w:lineRule="auto"/>
              <w:ind w:right="10"/>
              <w:jc w:val="right"/>
            </w:pPr>
            <w:r>
              <w:rPr>
                <w:spacing w:val="-4"/>
              </w:rPr>
              <w:t>1000</w:t>
            </w:r>
          </w:p>
        </w:tc>
      </w:tr>
      <w:tr w14:paraId="507E8B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534" w:type="dxa"/>
            <w:vAlign w:val="top"/>
          </w:tcPr>
          <w:p w14:paraId="0FE86141">
            <w:pPr>
              <w:spacing w:line="247" w:lineRule="auto"/>
              <w:rPr>
                <w:rFonts w:ascii="Arial"/>
                <w:sz w:val="21"/>
              </w:rPr>
            </w:pPr>
          </w:p>
          <w:p w14:paraId="1D4C06BA">
            <w:pPr>
              <w:pStyle w:val="6"/>
              <w:spacing w:before="59" w:line="183" w:lineRule="auto"/>
              <w:ind w:left="77"/>
            </w:pPr>
            <w:r>
              <w:rPr>
                <w:b/>
                <w:bCs/>
                <w:spacing w:val="-4"/>
              </w:rPr>
              <w:t>3205</w:t>
            </w:r>
          </w:p>
        </w:tc>
        <w:tc>
          <w:tcPr>
            <w:tcW w:w="2268" w:type="dxa"/>
            <w:vAlign w:val="top"/>
          </w:tcPr>
          <w:p w14:paraId="79D43690">
            <w:pPr>
              <w:pStyle w:val="6"/>
              <w:spacing w:before="182" w:line="219" w:lineRule="auto"/>
              <w:ind w:left="11"/>
            </w:pPr>
            <w:r>
              <w:rPr>
                <w:spacing w:val="-1"/>
              </w:rPr>
              <w:t>单位电解铝综合能耗</w:t>
            </w:r>
          </w:p>
        </w:tc>
        <w:tc>
          <w:tcPr>
            <w:tcW w:w="1279" w:type="dxa"/>
            <w:vAlign w:val="top"/>
          </w:tcPr>
          <w:p w14:paraId="3D05455D">
            <w:pPr>
              <w:pStyle w:val="6"/>
              <w:spacing w:before="182" w:line="219" w:lineRule="auto"/>
              <w:ind w:left="43"/>
            </w:pPr>
            <w:r>
              <w:rPr>
                <w:spacing w:val="-1"/>
              </w:rPr>
              <w:t>千克标准煤/吨</w:t>
            </w:r>
          </w:p>
        </w:tc>
        <w:tc>
          <w:tcPr>
            <w:tcW w:w="529" w:type="dxa"/>
            <w:vAlign w:val="top"/>
          </w:tcPr>
          <w:p w14:paraId="76B2B2EF">
            <w:pPr>
              <w:pStyle w:val="6"/>
              <w:spacing w:before="102" w:line="219" w:lineRule="auto"/>
              <w:ind w:left="74" w:right="77"/>
            </w:pPr>
            <w:r>
              <w:rPr>
                <w:spacing w:val="3"/>
              </w:rPr>
              <w:t>吨标</w:t>
            </w:r>
            <w:r>
              <w:t xml:space="preserve"> </w:t>
            </w:r>
            <w:r>
              <w:rPr>
                <w:spacing w:val="-3"/>
              </w:rPr>
              <w:t>准煤</w:t>
            </w:r>
          </w:p>
        </w:tc>
        <w:tc>
          <w:tcPr>
            <w:tcW w:w="530" w:type="dxa"/>
            <w:vAlign w:val="top"/>
          </w:tcPr>
          <w:p w14:paraId="4FB285CE">
            <w:pPr>
              <w:pStyle w:val="6"/>
              <w:spacing w:before="191" w:line="229" w:lineRule="auto"/>
              <w:ind w:left="165"/>
            </w:pPr>
            <w:r>
              <w:t>吨</w:t>
            </w:r>
          </w:p>
        </w:tc>
        <w:tc>
          <w:tcPr>
            <w:tcW w:w="1898" w:type="dxa"/>
            <w:vAlign w:val="top"/>
          </w:tcPr>
          <w:p w14:paraId="0F2AB906">
            <w:pPr>
              <w:pStyle w:val="6"/>
              <w:spacing w:before="183" w:line="220" w:lineRule="auto"/>
              <w:ind w:left="15"/>
            </w:pPr>
            <w:r>
              <w:rPr>
                <w:spacing w:val="-1"/>
              </w:rPr>
              <w:t>全厂综合能源消费量</w:t>
            </w:r>
          </w:p>
        </w:tc>
        <w:tc>
          <w:tcPr>
            <w:tcW w:w="1678" w:type="dxa"/>
            <w:vAlign w:val="top"/>
          </w:tcPr>
          <w:p w14:paraId="70EBB5C5">
            <w:pPr>
              <w:pStyle w:val="6"/>
              <w:spacing w:before="91" w:line="225" w:lineRule="auto"/>
              <w:ind w:left="17" w:right="128"/>
            </w:pPr>
            <w:r>
              <w:rPr>
                <w:spacing w:val="-1"/>
              </w:rPr>
              <w:t>合格交库原铝(电解</w:t>
            </w:r>
            <w:r>
              <w:t xml:space="preserve"> </w:t>
            </w:r>
            <w:r>
              <w:rPr>
                <w:spacing w:val="-2"/>
              </w:rPr>
              <w:t>铝)产量</w:t>
            </w:r>
          </w:p>
        </w:tc>
        <w:tc>
          <w:tcPr>
            <w:tcW w:w="724" w:type="dxa"/>
            <w:vAlign w:val="top"/>
          </w:tcPr>
          <w:p w14:paraId="6FE08C91">
            <w:pPr>
              <w:spacing w:line="247" w:lineRule="auto"/>
              <w:rPr>
                <w:rFonts w:ascii="Arial"/>
                <w:sz w:val="21"/>
              </w:rPr>
            </w:pPr>
          </w:p>
          <w:p w14:paraId="719D986E">
            <w:pPr>
              <w:pStyle w:val="6"/>
              <w:spacing w:before="59" w:line="184" w:lineRule="auto"/>
              <w:ind w:right="10"/>
              <w:jc w:val="right"/>
            </w:pPr>
            <w:r>
              <w:rPr>
                <w:spacing w:val="-4"/>
              </w:rPr>
              <w:t>1000</w:t>
            </w:r>
          </w:p>
        </w:tc>
      </w:tr>
    </w:tbl>
    <w:p w14:paraId="78C31E15">
      <w:pPr>
        <w:pStyle w:val="2"/>
      </w:pPr>
    </w:p>
    <w:p w14:paraId="6BE628AB">
      <w:pPr>
        <w:sectPr>
          <w:headerReference r:id="rId29" w:type="default"/>
          <w:pgSz w:w="11910" w:h="16840"/>
          <w:pgMar w:top="1046" w:right="1214" w:bottom="400" w:left="1232" w:header="876" w:footer="0" w:gutter="0"/>
          <w:cols w:space="720" w:num="1"/>
        </w:sectPr>
      </w:pPr>
    </w:p>
    <w:p w14:paraId="7823DAD0">
      <w:pPr>
        <w:spacing w:before="58"/>
      </w:pPr>
    </w:p>
    <w:p w14:paraId="62D0405D">
      <w:pPr>
        <w:spacing w:before="58"/>
      </w:pPr>
    </w:p>
    <w:tbl>
      <w:tblPr>
        <w:tblStyle w:val="5"/>
        <w:tblW w:w="9420" w:type="dxa"/>
        <w:tblInd w:w="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0"/>
        <w:gridCol w:w="2280"/>
        <w:gridCol w:w="1280"/>
        <w:gridCol w:w="510"/>
        <w:gridCol w:w="530"/>
        <w:gridCol w:w="1920"/>
        <w:gridCol w:w="1670"/>
        <w:gridCol w:w="700"/>
      </w:tblGrid>
      <w:tr w14:paraId="7AD0AD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530" w:type="dxa"/>
            <w:vMerge w:val="restart"/>
            <w:tcBorders>
              <w:left w:val="nil"/>
              <w:bottom w:val="nil"/>
            </w:tcBorders>
            <w:vAlign w:val="top"/>
          </w:tcPr>
          <w:p w14:paraId="0D4C6455">
            <w:pPr>
              <w:pStyle w:val="6"/>
              <w:spacing w:before="212" w:line="219" w:lineRule="auto"/>
              <w:ind w:left="80"/>
            </w:pPr>
            <w:r>
              <w:rPr>
                <w:spacing w:val="-2"/>
              </w:rPr>
              <w:t>代码</w:t>
            </w:r>
          </w:p>
        </w:tc>
        <w:tc>
          <w:tcPr>
            <w:tcW w:w="2280" w:type="dxa"/>
            <w:vMerge w:val="restart"/>
            <w:tcBorders>
              <w:bottom w:val="nil"/>
            </w:tcBorders>
            <w:vAlign w:val="top"/>
          </w:tcPr>
          <w:p w14:paraId="1A87476E">
            <w:pPr>
              <w:pStyle w:val="6"/>
              <w:spacing w:before="212" w:line="220" w:lineRule="auto"/>
              <w:ind w:left="785"/>
            </w:pPr>
            <w:r>
              <w:rPr>
                <w:spacing w:val="-2"/>
              </w:rPr>
              <w:t>指标名称</w:t>
            </w:r>
          </w:p>
        </w:tc>
        <w:tc>
          <w:tcPr>
            <w:tcW w:w="2320" w:type="dxa"/>
            <w:gridSpan w:val="3"/>
            <w:vAlign w:val="top"/>
          </w:tcPr>
          <w:p w14:paraId="299B2D5D">
            <w:pPr>
              <w:pStyle w:val="6"/>
              <w:spacing w:before="63" w:line="220" w:lineRule="auto"/>
              <w:ind w:left="805"/>
            </w:pPr>
            <w:r>
              <w:rPr>
                <w:spacing w:val="-2"/>
              </w:rPr>
              <w:t>计量单位</w:t>
            </w:r>
          </w:p>
        </w:tc>
        <w:tc>
          <w:tcPr>
            <w:tcW w:w="3590" w:type="dxa"/>
            <w:gridSpan w:val="2"/>
            <w:vAlign w:val="top"/>
          </w:tcPr>
          <w:p w14:paraId="32B7F79B">
            <w:pPr>
              <w:pStyle w:val="6"/>
              <w:spacing w:before="62" w:line="219" w:lineRule="auto"/>
              <w:ind w:left="1445"/>
            </w:pPr>
            <w:r>
              <w:rPr>
                <w:spacing w:val="-2"/>
              </w:rPr>
              <w:t>计算根据</w:t>
            </w:r>
          </w:p>
        </w:tc>
        <w:tc>
          <w:tcPr>
            <w:tcW w:w="700" w:type="dxa"/>
            <w:vMerge w:val="restart"/>
            <w:tcBorders>
              <w:bottom w:val="nil"/>
              <w:right w:val="nil"/>
            </w:tcBorders>
            <w:vAlign w:val="top"/>
          </w:tcPr>
          <w:p w14:paraId="785D572A">
            <w:pPr>
              <w:pStyle w:val="6"/>
              <w:spacing w:before="123" w:line="234" w:lineRule="auto"/>
              <w:ind w:left="75" w:right="88"/>
            </w:pPr>
            <w:r>
              <w:rPr>
                <w:spacing w:val="-3"/>
              </w:rPr>
              <w:t>单位换</w:t>
            </w:r>
            <w:r>
              <w:t xml:space="preserve"> </w:t>
            </w:r>
            <w:r>
              <w:rPr>
                <w:spacing w:val="-3"/>
              </w:rPr>
              <w:t>算系数</w:t>
            </w:r>
          </w:p>
        </w:tc>
      </w:tr>
      <w:tr w14:paraId="61BD28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530" w:type="dxa"/>
            <w:vMerge w:val="continue"/>
            <w:tcBorders>
              <w:top w:val="nil"/>
              <w:left w:val="nil"/>
            </w:tcBorders>
            <w:vAlign w:val="top"/>
          </w:tcPr>
          <w:p w14:paraId="76BB69D3">
            <w:pPr>
              <w:rPr>
                <w:rFonts w:ascii="Arial"/>
                <w:sz w:val="21"/>
              </w:rPr>
            </w:pPr>
          </w:p>
        </w:tc>
        <w:tc>
          <w:tcPr>
            <w:tcW w:w="2280" w:type="dxa"/>
            <w:vMerge w:val="continue"/>
            <w:tcBorders>
              <w:top w:val="nil"/>
            </w:tcBorders>
            <w:vAlign w:val="top"/>
          </w:tcPr>
          <w:p w14:paraId="64529978">
            <w:pPr>
              <w:rPr>
                <w:rFonts w:ascii="Arial"/>
                <w:sz w:val="21"/>
              </w:rPr>
            </w:pPr>
          </w:p>
        </w:tc>
        <w:tc>
          <w:tcPr>
            <w:tcW w:w="1280" w:type="dxa"/>
            <w:vAlign w:val="top"/>
          </w:tcPr>
          <w:p w14:paraId="2C8E717E">
            <w:pPr>
              <w:pStyle w:val="6"/>
              <w:spacing w:before="51" w:line="220" w:lineRule="auto"/>
              <w:ind w:left="445"/>
            </w:pPr>
            <w:r>
              <w:rPr>
                <w:spacing w:val="-3"/>
              </w:rPr>
              <w:t>指标</w:t>
            </w:r>
          </w:p>
        </w:tc>
        <w:tc>
          <w:tcPr>
            <w:tcW w:w="510" w:type="dxa"/>
            <w:vAlign w:val="top"/>
          </w:tcPr>
          <w:p w14:paraId="6DADD625">
            <w:pPr>
              <w:pStyle w:val="6"/>
              <w:spacing w:before="51" w:line="220" w:lineRule="auto"/>
              <w:ind w:left="65"/>
            </w:pPr>
            <w:r>
              <w:rPr>
                <w:spacing w:val="-2"/>
              </w:rPr>
              <w:t>子项</w:t>
            </w:r>
          </w:p>
        </w:tc>
        <w:tc>
          <w:tcPr>
            <w:tcW w:w="530" w:type="dxa"/>
            <w:vAlign w:val="top"/>
          </w:tcPr>
          <w:p w14:paraId="3F356197">
            <w:pPr>
              <w:pStyle w:val="6"/>
              <w:spacing w:before="51" w:line="220" w:lineRule="auto"/>
              <w:ind w:left="75"/>
            </w:pPr>
            <w:r>
              <w:rPr>
                <w:spacing w:val="-2"/>
              </w:rPr>
              <w:t>母项</w:t>
            </w:r>
          </w:p>
        </w:tc>
        <w:tc>
          <w:tcPr>
            <w:tcW w:w="1920" w:type="dxa"/>
            <w:vAlign w:val="top"/>
          </w:tcPr>
          <w:p w14:paraId="73FB7497">
            <w:pPr>
              <w:pStyle w:val="6"/>
              <w:spacing w:before="51" w:line="220" w:lineRule="auto"/>
              <w:ind w:left="765"/>
            </w:pPr>
            <w:r>
              <w:rPr>
                <w:spacing w:val="-2"/>
              </w:rPr>
              <w:t>子项</w:t>
            </w:r>
          </w:p>
        </w:tc>
        <w:tc>
          <w:tcPr>
            <w:tcW w:w="1670" w:type="dxa"/>
            <w:vAlign w:val="top"/>
          </w:tcPr>
          <w:p w14:paraId="17291836">
            <w:pPr>
              <w:pStyle w:val="6"/>
              <w:spacing w:before="51" w:line="220" w:lineRule="auto"/>
              <w:ind w:left="655"/>
            </w:pPr>
            <w:r>
              <w:rPr>
                <w:spacing w:val="-2"/>
              </w:rPr>
              <w:t>母项</w:t>
            </w:r>
          </w:p>
        </w:tc>
        <w:tc>
          <w:tcPr>
            <w:tcW w:w="700" w:type="dxa"/>
            <w:vMerge w:val="continue"/>
            <w:tcBorders>
              <w:top w:val="nil"/>
              <w:right w:val="nil"/>
            </w:tcBorders>
            <w:vAlign w:val="top"/>
          </w:tcPr>
          <w:p w14:paraId="2DB3B9D5">
            <w:pPr>
              <w:rPr>
                <w:rFonts w:ascii="Arial"/>
                <w:sz w:val="21"/>
              </w:rPr>
            </w:pPr>
          </w:p>
        </w:tc>
      </w:tr>
      <w:tr w14:paraId="5D53E1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530" w:type="dxa"/>
            <w:tcBorders>
              <w:left w:val="nil"/>
            </w:tcBorders>
            <w:vAlign w:val="top"/>
          </w:tcPr>
          <w:p w14:paraId="188E8905">
            <w:pPr>
              <w:pStyle w:val="6"/>
              <w:spacing w:before="298" w:line="183" w:lineRule="auto"/>
              <w:ind w:left="80"/>
            </w:pPr>
            <w:r>
              <w:rPr>
                <w:spacing w:val="-2"/>
              </w:rPr>
              <w:t>3206</w:t>
            </w:r>
          </w:p>
        </w:tc>
        <w:tc>
          <w:tcPr>
            <w:tcW w:w="2280" w:type="dxa"/>
            <w:vAlign w:val="top"/>
          </w:tcPr>
          <w:p w14:paraId="62F3AC29">
            <w:pPr>
              <w:pStyle w:val="6"/>
              <w:spacing w:before="182" w:line="219" w:lineRule="auto"/>
              <w:ind w:left="35"/>
            </w:pPr>
            <w:r>
              <w:rPr>
                <w:spacing w:val="-1"/>
              </w:rPr>
              <w:t>单位铝锭综合交流电耗</w:t>
            </w:r>
          </w:p>
        </w:tc>
        <w:tc>
          <w:tcPr>
            <w:tcW w:w="1280" w:type="dxa"/>
            <w:vAlign w:val="top"/>
          </w:tcPr>
          <w:p w14:paraId="73201D1A">
            <w:pPr>
              <w:pStyle w:val="6"/>
              <w:spacing w:before="183" w:line="221" w:lineRule="auto"/>
              <w:ind w:left="25"/>
            </w:pPr>
            <w:r>
              <w:rPr>
                <w:spacing w:val="-2"/>
              </w:rPr>
              <w:t>千瓦时/吨</w:t>
            </w:r>
          </w:p>
        </w:tc>
        <w:tc>
          <w:tcPr>
            <w:tcW w:w="510" w:type="dxa"/>
            <w:vAlign w:val="top"/>
          </w:tcPr>
          <w:p w14:paraId="1298A0B4">
            <w:pPr>
              <w:pStyle w:val="6"/>
              <w:spacing w:before="93" w:line="224" w:lineRule="auto"/>
              <w:ind w:left="65" w:right="64"/>
            </w:pPr>
            <w:r>
              <w:rPr>
                <w:spacing w:val="-6"/>
              </w:rPr>
              <w:t>万千</w:t>
            </w:r>
            <w:r>
              <w:t xml:space="preserve"> </w:t>
            </w:r>
            <w:r>
              <w:rPr>
                <w:spacing w:val="5"/>
              </w:rPr>
              <w:t>瓦时</w:t>
            </w:r>
          </w:p>
        </w:tc>
        <w:tc>
          <w:tcPr>
            <w:tcW w:w="530" w:type="dxa"/>
            <w:vAlign w:val="top"/>
          </w:tcPr>
          <w:p w14:paraId="307BC429">
            <w:pPr>
              <w:pStyle w:val="6"/>
              <w:spacing w:before="241" w:line="229" w:lineRule="auto"/>
              <w:ind w:left="165"/>
            </w:pPr>
            <w:r>
              <w:t>吨</w:t>
            </w:r>
          </w:p>
        </w:tc>
        <w:tc>
          <w:tcPr>
            <w:tcW w:w="1920" w:type="dxa"/>
            <w:vAlign w:val="top"/>
          </w:tcPr>
          <w:p w14:paraId="22D29EF3">
            <w:pPr>
              <w:pStyle w:val="6"/>
              <w:spacing w:before="182" w:line="219" w:lineRule="auto"/>
              <w:ind w:left="15"/>
            </w:pPr>
            <w:r>
              <w:rPr>
                <w:spacing w:val="-1"/>
              </w:rPr>
              <w:t>铝锭交流电消耗总量</w:t>
            </w:r>
          </w:p>
        </w:tc>
        <w:tc>
          <w:tcPr>
            <w:tcW w:w="1670" w:type="dxa"/>
            <w:vAlign w:val="top"/>
          </w:tcPr>
          <w:p w14:paraId="03EA3A2C">
            <w:pPr>
              <w:pStyle w:val="6"/>
              <w:spacing w:before="182" w:line="219" w:lineRule="auto"/>
              <w:ind w:left="15"/>
            </w:pPr>
            <w:r>
              <w:rPr>
                <w:spacing w:val="-1"/>
              </w:rPr>
              <w:t>合格交库铝锭产量</w:t>
            </w:r>
          </w:p>
        </w:tc>
        <w:tc>
          <w:tcPr>
            <w:tcW w:w="700" w:type="dxa"/>
            <w:tcBorders>
              <w:right w:val="nil"/>
            </w:tcBorders>
            <w:vAlign w:val="top"/>
          </w:tcPr>
          <w:p w14:paraId="5D006E07">
            <w:pPr>
              <w:pStyle w:val="6"/>
              <w:spacing w:before="287" w:line="184" w:lineRule="auto"/>
              <w:ind w:right="16"/>
              <w:jc w:val="right"/>
            </w:pPr>
            <w:r>
              <w:rPr>
                <w:spacing w:val="-4"/>
              </w:rPr>
              <w:t>10000</w:t>
            </w:r>
          </w:p>
        </w:tc>
      </w:tr>
    </w:tbl>
    <w:p w14:paraId="0CCDEED3">
      <w:pPr>
        <w:spacing w:before="110" w:line="194" w:lineRule="auto"/>
        <w:rPr>
          <w:rFonts w:ascii="宋体" w:hAnsi="宋体" w:eastAsia="宋体" w:cs="宋体"/>
          <w:sz w:val="18"/>
          <w:szCs w:val="18"/>
        </w:rPr>
      </w:pPr>
      <w:r>
        <w:rPr>
          <w:rFonts w:ascii="宋体" w:hAnsi="宋体" w:eastAsia="宋体" w:cs="宋体"/>
          <w:b/>
          <w:bCs/>
          <w:spacing w:val="3"/>
          <w:sz w:val="18"/>
          <w:szCs w:val="18"/>
        </w:rPr>
        <w:t>铅锌(32)</w:t>
      </w:r>
    </w:p>
    <w:tbl>
      <w:tblPr>
        <w:tblStyle w:val="5"/>
        <w:tblW w:w="9420" w:type="dxa"/>
        <w:tblInd w:w="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4"/>
        <w:gridCol w:w="2278"/>
        <w:gridCol w:w="1279"/>
        <w:gridCol w:w="510"/>
        <w:gridCol w:w="529"/>
        <w:gridCol w:w="1918"/>
        <w:gridCol w:w="1668"/>
        <w:gridCol w:w="704"/>
      </w:tblGrid>
      <w:tr w14:paraId="1A4E4D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3" w:hRule="atLeast"/>
        </w:trPr>
        <w:tc>
          <w:tcPr>
            <w:tcW w:w="534" w:type="dxa"/>
            <w:vAlign w:val="top"/>
          </w:tcPr>
          <w:p w14:paraId="02591EBA">
            <w:pPr>
              <w:pStyle w:val="6"/>
              <w:spacing w:before="228" w:line="183" w:lineRule="auto"/>
              <w:ind w:left="75"/>
            </w:pPr>
            <w:r>
              <w:rPr>
                <w:spacing w:val="-2"/>
              </w:rPr>
              <w:t>3207</w:t>
            </w:r>
          </w:p>
        </w:tc>
        <w:tc>
          <w:tcPr>
            <w:tcW w:w="2278" w:type="dxa"/>
            <w:vAlign w:val="top"/>
          </w:tcPr>
          <w:p w14:paraId="4DD4B27B">
            <w:pPr>
              <w:pStyle w:val="6"/>
              <w:spacing w:before="182" w:line="219" w:lineRule="auto"/>
              <w:ind w:left="21"/>
            </w:pPr>
            <w:r>
              <w:rPr>
                <w:spacing w:val="-1"/>
              </w:rPr>
              <w:t>单位粗铅综合能耗</w:t>
            </w:r>
          </w:p>
        </w:tc>
        <w:tc>
          <w:tcPr>
            <w:tcW w:w="1279" w:type="dxa"/>
            <w:vAlign w:val="top"/>
          </w:tcPr>
          <w:p w14:paraId="549FA693">
            <w:pPr>
              <w:pStyle w:val="6"/>
              <w:spacing w:before="182" w:line="219" w:lineRule="auto"/>
              <w:ind w:left="13"/>
            </w:pPr>
            <w:r>
              <w:rPr>
                <w:spacing w:val="-1"/>
              </w:rPr>
              <w:t>千克标准煤/吨</w:t>
            </w:r>
          </w:p>
        </w:tc>
        <w:tc>
          <w:tcPr>
            <w:tcW w:w="510" w:type="dxa"/>
            <w:vAlign w:val="top"/>
          </w:tcPr>
          <w:p w14:paraId="7EA83EB5">
            <w:pPr>
              <w:pStyle w:val="6"/>
              <w:spacing w:before="72" w:line="236" w:lineRule="auto"/>
              <w:ind w:left="64" w:right="68"/>
            </w:pPr>
            <w:r>
              <w:rPr>
                <w:spacing w:val="3"/>
              </w:rPr>
              <w:t>吨标</w:t>
            </w:r>
            <w:r>
              <w:t xml:space="preserve"> </w:t>
            </w:r>
            <w:r>
              <w:rPr>
                <w:spacing w:val="-3"/>
              </w:rPr>
              <w:t>准煤</w:t>
            </w:r>
          </w:p>
        </w:tc>
        <w:tc>
          <w:tcPr>
            <w:tcW w:w="529" w:type="dxa"/>
            <w:vAlign w:val="top"/>
          </w:tcPr>
          <w:p w14:paraId="7814F23C">
            <w:pPr>
              <w:pStyle w:val="6"/>
              <w:spacing w:before="191" w:line="229" w:lineRule="auto"/>
              <w:ind w:left="164"/>
            </w:pPr>
            <w:r>
              <w:t>吨</w:t>
            </w:r>
          </w:p>
        </w:tc>
        <w:tc>
          <w:tcPr>
            <w:tcW w:w="1918" w:type="dxa"/>
            <w:vAlign w:val="top"/>
          </w:tcPr>
          <w:p w14:paraId="3D4C2ABF">
            <w:pPr>
              <w:pStyle w:val="6"/>
              <w:spacing w:before="183" w:line="220" w:lineRule="auto"/>
              <w:ind w:left="15"/>
            </w:pPr>
            <w:r>
              <w:rPr>
                <w:spacing w:val="-1"/>
              </w:rPr>
              <w:t>粗铅综合能源消费量</w:t>
            </w:r>
          </w:p>
        </w:tc>
        <w:tc>
          <w:tcPr>
            <w:tcW w:w="1668" w:type="dxa"/>
            <w:vAlign w:val="top"/>
          </w:tcPr>
          <w:p w14:paraId="7B4D985E">
            <w:pPr>
              <w:pStyle w:val="6"/>
              <w:spacing w:before="182" w:line="219" w:lineRule="auto"/>
              <w:ind w:left="17"/>
            </w:pPr>
            <w:r>
              <w:rPr>
                <w:spacing w:val="-1"/>
              </w:rPr>
              <w:t>合格交库粗铅产出量</w:t>
            </w:r>
          </w:p>
        </w:tc>
        <w:tc>
          <w:tcPr>
            <w:tcW w:w="704" w:type="dxa"/>
            <w:vAlign w:val="top"/>
          </w:tcPr>
          <w:p w14:paraId="38CC7DF1">
            <w:pPr>
              <w:pStyle w:val="6"/>
              <w:spacing w:before="227" w:line="184" w:lineRule="auto"/>
              <w:ind w:right="10"/>
              <w:jc w:val="right"/>
            </w:pPr>
            <w:r>
              <w:rPr>
                <w:spacing w:val="-4"/>
              </w:rPr>
              <w:t>1000</w:t>
            </w:r>
          </w:p>
        </w:tc>
      </w:tr>
      <w:tr w14:paraId="6B390A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534" w:type="dxa"/>
            <w:vAlign w:val="top"/>
          </w:tcPr>
          <w:p w14:paraId="0F260C6E">
            <w:pPr>
              <w:pStyle w:val="6"/>
              <w:spacing w:before="215" w:line="183" w:lineRule="auto"/>
              <w:ind w:left="75"/>
            </w:pPr>
            <w:r>
              <w:rPr>
                <w:spacing w:val="-2"/>
              </w:rPr>
              <w:t>3208</w:t>
            </w:r>
          </w:p>
        </w:tc>
        <w:tc>
          <w:tcPr>
            <w:tcW w:w="2278" w:type="dxa"/>
            <w:vAlign w:val="top"/>
          </w:tcPr>
          <w:p w14:paraId="6A061216">
            <w:pPr>
              <w:pStyle w:val="6"/>
              <w:spacing w:before="169" w:line="219" w:lineRule="auto"/>
              <w:ind w:left="21"/>
            </w:pPr>
            <w:r>
              <w:rPr>
                <w:spacing w:val="-1"/>
              </w:rPr>
              <w:t>单位铅冶炼综合能耗</w:t>
            </w:r>
          </w:p>
        </w:tc>
        <w:tc>
          <w:tcPr>
            <w:tcW w:w="1279" w:type="dxa"/>
            <w:vAlign w:val="top"/>
          </w:tcPr>
          <w:p w14:paraId="1E5413B6">
            <w:pPr>
              <w:pStyle w:val="6"/>
              <w:spacing w:before="169" w:line="219" w:lineRule="auto"/>
              <w:ind w:left="13"/>
            </w:pPr>
            <w:r>
              <w:rPr>
                <w:spacing w:val="-1"/>
              </w:rPr>
              <w:t>千克标准煤/吨</w:t>
            </w:r>
          </w:p>
        </w:tc>
        <w:tc>
          <w:tcPr>
            <w:tcW w:w="510" w:type="dxa"/>
            <w:vAlign w:val="top"/>
          </w:tcPr>
          <w:p w14:paraId="716826AF">
            <w:pPr>
              <w:pStyle w:val="6"/>
              <w:spacing w:before="80" w:line="220" w:lineRule="auto"/>
              <w:ind w:left="64" w:right="68"/>
            </w:pPr>
            <w:r>
              <w:rPr>
                <w:spacing w:val="3"/>
              </w:rPr>
              <w:t>吨标</w:t>
            </w:r>
            <w:r>
              <w:t xml:space="preserve"> </w:t>
            </w:r>
            <w:r>
              <w:rPr>
                <w:spacing w:val="-3"/>
              </w:rPr>
              <w:t>准煤</w:t>
            </w:r>
          </w:p>
        </w:tc>
        <w:tc>
          <w:tcPr>
            <w:tcW w:w="529" w:type="dxa"/>
            <w:vAlign w:val="top"/>
          </w:tcPr>
          <w:p w14:paraId="15346D6E">
            <w:pPr>
              <w:pStyle w:val="6"/>
              <w:spacing w:before="178" w:line="229" w:lineRule="auto"/>
              <w:ind w:left="164"/>
            </w:pPr>
            <w:r>
              <w:t>吨</w:t>
            </w:r>
          </w:p>
        </w:tc>
        <w:tc>
          <w:tcPr>
            <w:tcW w:w="1918" w:type="dxa"/>
            <w:vAlign w:val="top"/>
          </w:tcPr>
          <w:p w14:paraId="0AA553C5">
            <w:pPr>
              <w:pStyle w:val="6"/>
              <w:spacing w:before="169" w:line="219" w:lineRule="auto"/>
              <w:ind w:left="15"/>
            </w:pPr>
            <w:r>
              <w:rPr>
                <w:spacing w:val="-1"/>
              </w:rPr>
              <w:t>铅产品能源消耗总量</w:t>
            </w:r>
          </w:p>
        </w:tc>
        <w:tc>
          <w:tcPr>
            <w:tcW w:w="1668" w:type="dxa"/>
            <w:vAlign w:val="top"/>
          </w:tcPr>
          <w:p w14:paraId="07BCEFA9">
            <w:pPr>
              <w:pStyle w:val="6"/>
              <w:spacing w:before="169" w:line="219" w:lineRule="auto"/>
              <w:ind w:left="17"/>
            </w:pPr>
            <w:r>
              <w:rPr>
                <w:spacing w:val="-1"/>
              </w:rPr>
              <w:t>合格交库铅产量</w:t>
            </w:r>
          </w:p>
        </w:tc>
        <w:tc>
          <w:tcPr>
            <w:tcW w:w="704" w:type="dxa"/>
            <w:vAlign w:val="top"/>
          </w:tcPr>
          <w:p w14:paraId="501AB89F">
            <w:pPr>
              <w:pStyle w:val="6"/>
              <w:spacing w:before="214" w:line="184" w:lineRule="auto"/>
              <w:ind w:right="10"/>
              <w:jc w:val="right"/>
            </w:pPr>
            <w:r>
              <w:rPr>
                <w:spacing w:val="-4"/>
              </w:rPr>
              <w:t>1000</w:t>
            </w:r>
          </w:p>
        </w:tc>
      </w:tr>
      <w:tr w14:paraId="12427E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8" w:hRule="atLeast"/>
        </w:trPr>
        <w:tc>
          <w:tcPr>
            <w:tcW w:w="534" w:type="dxa"/>
            <w:vAlign w:val="top"/>
          </w:tcPr>
          <w:p w14:paraId="2CEA3EF2">
            <w:pPr>
              <w:pStyle w:val="6"/>
              <w:spacing w:before="226" w:line="183" w:lineRule="auto"/>
              <w:ind w:left="75"/>
            </w:pPr>
            <w:r>
              <w:rPr>
                <w:spacing w:val="-2"/>
              </w:rPr>
              <w:t>3209</w:t>
            </w:r>
          </w:p>
        </w:tc>
        <w:tc>
          <w:tcPr>
            <w:tcW w:w="2278" w:type="dxa"/>
            <w:vAlign w:val="top"/>
          </w:tcPr>
          <w:p w14:paraId="1D3337C1">
            <w:pPr>
              <w:pStyle w:val="6"/>
              <w:spacing w:before="180" w:line="219" w:lineRule="auto"/>
              <w:ind w:left="21"/>
            </w:pPr>
            <w:r>
              <w:rPr>
                <w:spacing w:val="-1"/>
              </w:rPr>
              <w:t>析出铅直流电单耗</w:t>
            </w:r>
          </w:p>
        </w:tc>
        <w:tc>
          <w:tcPr>
            <w:tcW w:w="1279" w:type="dxa"/>
            <w:vAlign w:val="top"/>
          </w:tcPr>
          <w:p w14:paraId="727194CA">
            <w:pPr>
              <w:pStyle w:val="6"/>
              <w:spacing w:before="181" w:line="221" w:lineRule="auto"/>
              <w:ind w:left="13"/>
            </w:pPr>
            <w:r>
              <w:rPr>
                <w:spacing w:val="-2"/>
              </w:rPr>
              <w:t>千瓦时/吨</w:t>
            </w:r>
          </w:p>
        </w:tc>
        <w:tc>
          <w:tcPr>
            <w:tcW w:w="510" w:type="dxa"/>
            <w:vAlign w:val="top"/>
          </w:tcPr>
          <w:p w14:paraId="60556FEE">
            <w:pPr>
              <w:pStyle w:val="6"/>
              <w:spacing w:before="81" w:line="229" w:lineRule="auto"/>
              <w:ind w:left="64" w:right="65"/>
            </w:pPr>
            <w:r>
              <w:rPr>
                <w:spacing w:val="-6"/>
              </w:rPr>
              <w:t>万千</w:t>
            </w:r>
            <w:r>
              <w:t xml:space="preserve"> </w:t>
            </w:r>
            <w:r>
              <w:rPr>
                <w:spacing w:val="5"/>
              </w:rPr>
              <w:t>瓦时</w:t>
            </w:r>
          </w:p>
        </w:tc>
        <w:tc>
          <w:tcPr>
            <w:tcW w:w="529" w:type="dxa"/>
            <w:vAlign w:val="top"/>
          </w:tcPr>
          <w:p w14:paraId="37B139FB">
            <w:pPr>
              <w:pStyle w:val="6"/>
              <w:spacing w:before="189" w:line="229" w:lineRule="auto"/>
              <w:ind w:left="164"/>
            </w:pPr>
            <w:r>
              <w:t>吨</w:t>
            </w:r>
          </w:p>
        </w:tc>
        <w:tc>
          <w:tcPr>
            <w:tcW w:w="1918" w:type="dxa"/>
            <w:vAlign w:val="top"/>
          </w:tcPr>
          <w:p w14:paraId="0AF0F242">
            <w:pPr>
              <w:pStyle w:val="6"/>
              <w:spacing w:before="180" w:line="219" w:lineRule="auto"/>
              <w:ind w:left="15"/>
            </w:pPr>
            <w:r>
              <w:rPr>
                <w:spacing w:val="-2"/>
              </w:rPr>
              <w:t>直流电消耗总量</w:t>
            </w:r>
          </w:p>
        </w:tc>
        <w:tc>
          <w:tcPr>
            <w:tcW w:w="1668" w:type="dxa"/>
            <w:vAlign w:val="top"/>
          </w:tcPr>
          <w:p w14:paraId="6B19D258">
            <w:pPr>
              <w:pStyle w:val="6"/>
              <w:spacing w:before="180" w:line="219" w:lineRule="auto"/>
              <w:ind w:left="17"/>
            </w:pPr>
            <w:r>
              <w:rPr>
                <w:spacing w:val="-2"/>
              </w:rPr>
              <w:t>实际析出铅产量</w:t>
            </w:r>
          </w:p>
        </w:tc>
        <w:tc>
          <w:tcPr>
            <w:tcW w:w="704" w:type="dxa"/>
            <w:vAlign w:val="top"/>
          </w:tcPr>
          <w:p w14:paraId="1B21F027">
            <w:pPr>
              <w:pStyle w:val="6"/>
              <w:spacing w:before="225" w:line="184" w:lineRule="auto"/>
              <w:ind w:right="11"/>
              <w:jc w:val="right"/>
            </w:pPr>
            <w:r>
              <w:rPr>
                <w:spacing w:val="-4"/>
              </w:rPr>
              <w:t>10000</w:t>
            </w:r>
          </w:p>
        </w:tc>
      </w:tr>
      <w:tr w14:paraId="3379D4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trPr>
        <w:tc>
          <w:tcPr>
            <w:tcW w:w="534" w:type="dxa"/>
            <w:vAlign w:val="top"/>
          </w:tcPr>
          <w:p w14:paraId="33806B51">
            <w:pPr>
              <w:pStyle w:val="6"/>
              <w:spacing w:before="277" w:line="184" w:lineRule="auto"/>
              <w:ind w:left="75"/>
            </w:pPr>
            <w:r>
              <w:rPr>
                <w:spacing w:val="-2"/>
              </w:rPr>
              <w:t>3210</w:t>
            </w:r>
          </w:p>
        </w:tc>
        <w:tc>
          <w:tcPr>
            <w:tcW w:w="2278" w:type="dxa"/>
            <w:vAlign w:val="top"/>
          </w:tcPr>
          <w:p w14:paraId="5B3FBC8B">
            <w:pPr>
              <w:pStyle w:val="6"/>
              <w:spacing w:before="172" w:line="219" w:lineRule="auto"/>
              <w:ind w:left="21"/>
            </w:pPr>
            <w:r>
              <w:rPr>
                <w:spacing w:val="-1"/>
              </w:rPr>
              <w:t>蒸馏锌综合标准煤耗单耗</w:t>
            </w:r>
          </w:p>
        </w:tc>
        <w:tc>
          <w:tcPr>
            <w:tcW w:w="1279" w:type="dxa"/>
            <w:vAlign w:val="top"/>
          </w:tcPr>
          <w:p w14:paraId="16525E96">
            <w:pPr>
              <w:pStyle w:val="6"/>
              <w:spacing w:before="172" w:line="219" w:lineRule="auto"/>
              <w:ind w:left="13"/>
            </w:pPr>
            <w:r>
              <w:rPr>
                <w:spacing w:val="-1"/>
              </w:rPr>
              <w:t>千克标准煤/吨</w:t>
            </w:r>
          </w:p>
        </w:tc>
        <w:tc>
          <w:tcPr>
            <w:tcW w:w="510" w:type="dxa"/>
            <w:vAlign w:val="top"/>
          </w:tcPr>
          <w:p w14:paraId="3D78F240">
            <w:pPr>
              <w:pStyle w:val="6"/>
              <w:spacing w:before="82" w:line="218" w:lineRule="auto"/>
              <w:ind w:left="64" w:right="68"/>
            </w:pPr>
            <w:r>
              <w:rPr>
                <w:spacing w:val="3"/>
              </w:rPr>
              <w:t>吨标</w:t>
            </w:r>
            <w:r>
              <w:t xml:space="preserve"> </w:t>
            </w:r>
            <w:r>
              <w:rPr>
                <w:spacing w:val="-3"/>
              </w:rPr>
              <w:t>准煤</w:t>
            </w:r>
          </w:p>
        </w:tc>
        <w:tc>
          <w:tcPr>
            <w:tcW w:w="529" w:type="dxa"/>
            <w:vAlign w:val="top"/>
          </w:tcPr>
          <w:p w14:paraId="394CC0E1">
            <w:pPr>
              <w:pStyle w:val="6"/>
              <w:spacing w:before="181" w:line="229" w:lineRule="auto"/>
              <w:ind w:left="164"/>
            </w:pPr>
            <w:r>
              <w:t>吨</w:t>
            </w:r>
          </w:p>
        </w:tc>
        <w:tc>
          <w:tcPr>
            <w:tcW w:w="1918" w:type="dxa"/>
            <w:vAlign w:val="top"/>
          </w:tcPr>
          <w:p w14:paraId="3BE5C1D2">
            <w:pPr>
              <w:pStyle w:val="6"/>
              <w:spacing w:before="73" w:line="223" w:lineRule="auto"/>
              <w:ind w:left="15" w:right="102"/>
            </w:pPr>
            <w:r>
              <w:rPr>
                <w:spacing w:val="-1"/>
              </w:rPr>
              <w:t>蒸镭锌综合标准煤消耗</w:t>
            </w:r>
            <w:r>
              <w:t xml:space="preserve"> </w:t>
            </w:r>
            <w:r>
              <w:rPr>
                <w:spacing w:val="-3"/>
              </w:rPr>
              <w:t>总量</w:t>
            </w:r>
          </w:p>
        </w:tc>
        <w:tc>
          <w:tcPr>
            <w:tcW w:w="1668" w:type="dxa"/>
            <w:vAlign w:val="top"/>
          </w:tcPr>
          <w:p w14:paraId="020AF20D">
            <w:pPr>
              <w:pStyle w:val="6"/>
              <w:spacing w:before="172" w:line="219" w:lineRule="auto"/>
              <w:ind w:left="17"/>
            </w:pPr>
            <w:r>
              <w:rPr>
                <w:spacing w:val="-1"/>
              </w:rPr>
              <w:t>合格蒸镭锌产量</w:t>
            </w:r>
          </w:p>
        </w:tc>
        <w:tc>
          <w:tcPr>
            <w:tcW w:w="704" w:type="dxa"/>
            <w:vAlign w:val="top"/>
          </w:tcPr>
          <w:p w14:paraId="436090F7">
            <w:pPr>
              <w:pStyle w:val="6"/>
              <w:spacing w:before="277" w:line="184" w:lineRule="auto"/>
              <w:ind w:right="10"/>
              <w:jc w:val="right"/>
            </w:pPr>
            <w:r>
              <w:rPr>
                <w:spacing w:val="-4"/>
              </w:rPr>
              <w:t>1000</w:t>
            </w:r>
          </w:p>
        </w:tc>
      </w:tr>
      <w:tr w14:paraId="6D7011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8" w:hRule="atLeast"/>
        </w:trPr>
        <w:tc>
          <w:tcPr>
            <w:tcW w:w="534" w:type="dxa"/>
            <w:vAlign w:val="top"/>
          </w:tcPr>
          <w:p w14:paraId="09F5872B">
            <w:pPr>
              <w:pStyle w:val="6"/>
              <w:spacing w:before="279" w:line="184" w:lineRule="auto"/>
              <w:ind w:left="75"/>
            </w:pPr>
            <w:r>
              <w:rPr>
                <w:spacing w:val="-2"/>
              </w:rPr>
              <w:t>3211</w:t>
            </w:r>
          </w:p>
        </w:tc>
        <w:tc>
          <w:tcPr>
            <w:tcW w:w="2278" w:type="dxa"/>
            <w:vAlign w:val="top"/>
          </w:tcPr>
          <w:p w14:paraId="4853F499">
            <w:pPr>
              <w:pStyle w:val="6"/>
              <w:spacing w:before="183" w:line="219" w:lineRule="auto"/>
              <w:ind w:left="21"/>
            </w:pPr>
            <w:r>
              <w:rPr>
                <w:spacing w:val="-1"/>
              </w:rPr>
              <w:t>单位精锌(电锌)综合能耗</w:t>
            </w:r>
          </w:p>
        </w:tc>
        <w:tc>
          <w:tcPr>
            <w:tcW w:w="1279" w:type="dxa"/>
            <w:vAlign w:val="top"/>
          </w:tcPr>
          <w:p w14:paraId="36515F5A">
            <w:pPr>
              <w:pStyle w:val="6"/>
              <w:spacing w:before="184" w:line="219" w:lineRule="auto"/>
              <w:ind w:left="13"/>
            </w:pPr>
            <w:r>
              <w:rPr>
                <w:spacing w:val="-1"/>
              </w:rPr>
              <w:t>千克标准煤/吨</w:t>
            </w:r>
          </w:p>
        </w:tc>
        <w:tc>
          <w:tcPr>
            <w:tcW w:w="510" w:type="dxa"/>
            <w:vAlign w:val="top"/>
          </w:tcPr>
          <w:p w14:paraId="1906FABE">
            <w:pPr>
              <w:pStyle w:val="6"/>
              <w:spacing w:before="85" w:line="227" w:lineRule="auto"/>
              <w:ind w:left="64" w:right="68"/>
            </w:pPr>
            <w:r>
              <w:rPr>
                <w:spacing w:val="3"/>
              </w:rPr>
              <w:t>吨标</w:t>
            </w:r>
            <w:r>
              <w:t xml:space="preserve"> </w:t>
            </w:r>
            <w:r>
              <w:rPr>
                <w:spacing w:val="-3"/>
              </w:rPr>
              <w:t>准煤</w:t>
            </w:r>
          </w:p>
        </w:tc>
        <w:tc>
          <w:tcPr>
            <w:tcW w:w="529" w:type="dxa"/>
            <w:vAlign w:val="top"/>
          </w:tcPr>
          <w:p w14:paraId="05AEC448">
            <w:pPr>
              <w:pStyle w:val="6"/>
              <w:spacing w:before="193" w:line="229" w:lineRule="auto"/>
              <w:ind w:left="164"/>
            </w:pPr>
            <w:r>
              <w:t>吨</w:t>
            </w:r>
          </w:p>
        </w:tc>
        <w:tc>
          <w:tcPr>
            <w:tcW w:w="1918" w:type="dxa"/>
            <w:vAlign w:val="top"/>
          </w:tcPr>
          <w:p w14:paraId="21A35106">
            <w:pPr>
              <w:pStyle w:val="6"/>
              <w:spacing w:before="93" w:line="223" w:lineRule="auto"/>
              <w:ind w:left="15" w:right="100"/>
            </w:pPr>
            <w:r>
              <w:rPr>
                <w:spacing w:val="-1"/>
              </w:rPr>
              <w:t>精锌(电锌)品能源消耗</w:t>
            </w:r>
            <w:r>
              <w:rPr>
                <w:spacing w:val="2"/>
              </w:rPr>
              <w:t xml:space="preserve"> </w:t>
            </w:r>
            <w:r>
              <w:rPr>
                <w:spacing w:val="-3"/>
              </w:rPr>
              <w:t>总量</w:t>
            </w:r>
          </w:p>
        </w:tc>
        <w:tc>
          <w:tcPr>
            <w:tcW w:w="1668" w:type="dxa"/>
            <w:vAlign w:val="top"/>
          </w:tcPr>
          <w:p w14:paraId="7E964CF6">
            <w:pPr>
              <w:pStyle w:val="6"/>
              <w:spacing w:before="93" w:line="223" w:lineRule="auto"/>
              <w:ind w:left="17"/>
            </w:pPr>
            <w:r>
              <w:rPr>
                <w:spacing w:val="2"/>
              </w:rPr>
              <w:t>合格交库精锌(电锌)</w:t>
            </w:r>
            <w:r>
              <w:t xml:space="preserve"> </w:t>
            </w:r>
            <w:r>
              <w:rPr>
                <w:spacing w:val="-3"/>
              </w:rPr>
              <w:t>产量</w:t>
            </w:r>
          </w:p>
        </w:tc>
        <w:tc>
          <w:tcPr>
            <w:tcW w:w="704" w:type="dxa"/>
            <w:vAlign w:val="top"/>
          </w:tcPr>
          <w:p w14:paraId="22A88897">
            <w:pPr>
              <w:pStyle w:val="6"/>
              <w:spacing w:before="229" w:line="184" w:lineRule="auto"/>
              <w:ind w:right="10"/>
              <w:jc w:val="right"/>
            </w:pPr>
            <w:r>
              <w:rPr>
                <w:spacing w:val="-4"/>
              </w:rPr>
              <w:t>1000</w:t>
            </w:r>
          </w:p>
        </w:tc>
      </w:tr>
      <w:tr w14:paraId="00D043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534" w:type="dxa"/>
            <w:vAlign w:val="top"/>
          </w:tcPr>
          <w:p w14:paraId="2416971A">
            <w:pPr>
              <w:pStyle w:val="6"/>
              <w:spacing w:before="281" w:line="184" w:lineRule="auto"/>
              <w:ind w:left="75"/>
            </w:pPr>
            <w:r>
              <w:rPr>
                <w:spacing w:val="-2"/>
              </w:rPr>
              <w:t>3212</w:t>
            </w:r>
          </w:p>
        </w:tc>
        <w:tc>
          <w:tcPr>
            <w:tcW w:w="2278" w:type="dxa"/>
            <w:vAlign w:val="top"/>
          </w:tcPr>
          <w:p w14:paraId="1B59F15C">
            <w:pPr>
              <w:pStyle w:val="6"/>
              <w:spacing w:before="216" w:line="219" w:lineRule="auto"/>
              <w:ind w:left="21"/>
            </w:pPr>
            <w:r>
              <w:rPr>
                <w:spacing w:val="-1"/>
              </w:rPr>
              <w:t>析出锌(湿法)直流电单耗</w:t>
            </w:r>
          </w:p>
        </w:tc>
        <w:tc>
          <w:tcPr>
            <w:tcW w:w="1279" w:type="dxa"/>
            <w:vAlign w:val="top"/>
          </w:tcPr>
          <w:p w14:paraId="61F68DFE">
            <w:pPr>
              <w:pStyle w:val="6"/>
              <w:spacing w:before="217" w:line="221" w:lineRule="auto"/>
              <w:ind w:left="13"/>
            </w:pPr>
            <w:r>
              <w:rPr>
                <w:spacing w:val="-2"/>
              </w:rPr>
              <w:t>千瓦时/吨</w:t>
            </w:r>
          </w:p>
        </w:tc>
        <w:tc>
          <w:tcPr>
            <w:tcW w:w="510" w:type="dxa"/>
            <w:vAlign w:val="top"/>
          </w:tcPr>
          <w:p w14:paraId="1258DCC0">
            <w:pPr>
              <w:pStyle w:val="6"/>
              <w:spacing w:before="86" w:line="214" w:lineRule="auto"/>
              <w:ind w:left="64" w:right="65"/>
            </w:pPr>
            <w:r>
              <w:rPr>
                <w:spacing w:val="-6"/>
              </w:rPr>
              <w:t>万千</w:t>
            </w:r>
            <w:r>
              <w:t xml:space="preserve"> </w:t>
            </w:r>
            <w:r>
              <w:rPr>
                <w:spacing w:val="5"/>
              </w:rPr>
              <w:t>瓦时</w:t>
            </w:r>
          </w:p>
        </w:tc>
        <w:tc>
          <w:tcPr>
            <w:tcW w:w="529" w:type="dxa"/>
            <w:vAlign w:val="top"/>
          </w:tcPr>
          <w:p w14:paraId="691E3299">
            <w:pPr>
              <w:pStyle w:val="6"/>
              <w:spacing w:before="225" w:line="229" w:lineRule="auto"/>
              <w:ind w:left="164"/>
            </w:pPr>
            <w:r>
              <w:t>吨</w:t>
            </w:r>
          </w:p>
        </w:tc>
        <w:tc>
          <w:tcPr>
            <w:tcW w:w="1918" w:type="dxa"/>
            <w:vAlign w:val="top"/>
          </w:tcPr>
          <w:p w14:paraId="2139B0C3">
            <w:pPr>
              <w:pStyle w:val="6"/>
              <w:spacing w:before="216" w:line="219" w:lineRule="auto"/>
              <w:ind w:left="15"/>
            </w:pPr>
            <w:r>
              <w:rPr>
                <w:spacing w:val="-2"/>
              </w:rPr>
              <w:t>直流电消耗总量</w:t>
            </w:r>
          </w:p>
        </w:tc>
        <w:tc>
          <w:tcPr>
            <w:tcW w:w="1668" w:type="dxa"/>
            <w:vAlign w:val="top"/>
          </w:tcPr>
          <w:p w14:paraId="5E3E7851">
            <w:pPr>
              <w:pStyle w:val="6"/>
              <w:spacing w:before="216" w:line="219" w:lineRule="auto"/>
              <w:ind w:left="17"/>
            </w:pPr>
            <w:r>
              <w:rPr>
                <w:spacing w:val="-2"/>
              </w:rPr>
              <w:t>实际析出锌产量</w:t>
            </w:r>
          </w:p>
        </w:tc>
        <w:tc>
          <w:tcPr>
            <w:tcW w:w="704" w:type="dxa"/>
            <w:vAlign w:val="top"/>
          </w:tcPr>
          <w:p w14:paraId="0FCC1AF5">
            <w:pPr>
              <w:pStyle w:val="6"/>
              <w:spacing w:before="271" w:line="184" w:lineRule="auto"/>
              <w:ind w:right="11"/>
              <w:jc w:val="right"/>
            </w:pPr>
            <w:r>
              <w:rPr>
                <w:spacing w:val="-4"/>
              </w:rPr>
              <w:t>10000</w:t>
            </w:r>
          </w:p>
        </w:tc>
      </w:tr>
    </w:tbl>
    <w:p w14:paraId="58A0E2BD">
      <w:pPr>
        <w:spacing w:before="129" w:line="206" w:lineRule="auto"/>
        <w:ind w:left="20"/>
        <w:rPr>
          <w:rFonts w:ascii="宋体" w:hAnsi="宋体" w:eastAsia="宋体" w:cs="宋体"/>
          <w:sz w:val="18"/>
          <w:szCs w:val="18"/>
        </w:rPr>
      </w:pPr>
      <w:r>
        <w:rPr>
          <w:rFonts w:ascii="宋体" w:hAnsi="宋体" w:eastAsia="宋体" w:cs="宋体"/>
          <w:b/>
          <w:bCs/>
          <w:spacing w:val="1"/>
          <w:sz w:val="18"/>
          <w:szCs w:val="18"/>
        </w:rPr>
        <w:t>有色金属材(32)</w:t>
      </w:r>
    </w:p>
    <w:tbl>
      <w:tblPr>
        <w:tblStyle w:val="5"/>
        <w:tblW w:w="9420" w:type="dxa"/>
        <w:tblInd w:w="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4"/>
        <w:gridCol w:w="2278"/>
        <w:gridCol w:w="1279"/>
        <w:gridCol w:w="510"/>
        <w:gridCol w:w="529"/>
        <w:gridCol w:w="1918"/>
        <w:gridCol w:w="1668"/>
        <w:gridCol w:w="704"/>
      </w:tblGrid>
      <w:tr w14:paraId="472783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534" w:type="dxa"/>
            <w:vAlign w:val="top"/>
          </w:tcPr>
          <w:p w14:paraId="782B3297">
            <w:pPr>
              <w:pStyle w:val="6"/>
              <w:spacing w:before="217" w:line="184" w:lineRule="auto"/>
              <w:ind w:left="75"/>
            </w:pPr>
            <w:r>
              <w:rPr>
                <w:spacing w:val="-2"/>
              </w:rPr>
              <w:t>3214</w:t>
            </w:r>
          </w:p>
        </w:tc>
        <w:tc>
          <w:tcPr>
            <w:tcW w:w="2278" w:type="dxa"/>
            <w:vAlign w:val="top"/>
          </w:tcPr>
          <w:p w14:paraId="1132119A">
            <w:pPr>
              <w:pStyle w:val="6"/>
              <w:spacing w:before="171" w:line="219" w:lineRule="auto"/>
              <w:ind w:left="21"/>
            </w:pPr>
            <w:r>
              <w:t>吨铜加工材消耗能源量</w:t>
            </w:r>
          </w:p>
        </w:tc>
        <w:tc>
          <w:tcPr>
            <w:tcW w:w="1279" w:type="dxa"/>
            <w:vAlign w:val="top"/>
          </w:tcPr>
          <w:p w14:paraId="1FD16449">
            <w:pPr>
              <w:pStyle w:val="6"/>
              <w:spacing w:before="172" w:line="219" w:lineRule="auto"/>
              <w:ind w:left="13"/>
            </w:pPr>
            <w:r>
              <w:rPr>
                <w:spacing w:val="-1"/>
              </w:rPr>
              <w:t>千克标准煤/吨</w:t>
            </w:r>
          </w:p>
        </w:tc>
        <w:tc>
          <w:tcPr>
            <w:tcW w:w="510" w:type="dxa"/>
            <w:vAlign w:val="top"/>
          </w:tcPr>
          <w:p w14:paraId="787988A4">
            <w:pPr>
              <w:pStyle w:val="6"/>
              <w:spacing w:before="62" w:line="226" w:lineRule="auto"/>
              <w:ind w:left="64" w:right="68"/>
            </w:pPr>
            <w:r>
              <w:rPr>
                <w:spacing w:val="3"/>
              </w:rPr>
              <w:t>吨标</w:t>
            </w:r>
            <w:r>
              <w:t xml:space="preserve"> </w:t>
            </w:r>
            <w:r>
              <w:rPr>
                <w:spacing w:val="-3"/>
              </w:rPr>
              <w:t>准煤</w:t>
            </w:r>
          </w:p>
        </w:tc>
        <w:tc>
          <w:tcPr>
            <w:tcW w:w="529" w:type="dxa"/>
            <w:vAlign w:val="top"/>
          </w:tcPr>
          <w:p w14:paraId="0C39E08C">
            <w:pPr>
              <w:pStyle w:val="6"/>
              <w:spacing w:before="181" w:line="229" w:lineRule="auto"/>
              <w:ind w:left="164"/>
            </w:pPr>
            <w:r>
              <w:t>吨</w:t>
            </w:r>
          </w:p>
        </w:tc>
        <w:tc>
          <w:tcPr>
            <w:tcW w:w="1918" w:type="dxa"/>
            <w:vAlign w:val="top"/>
          </w:tcPr>
          <w:p w14:paraId="505A17F8">
            <w:pPr>
              <w:pStyle w:val="6"/>
              <w:spacing w:before="171" w:line="219" w:lineRule="auto"/>
              <w:ind w:left="55"/>
            </w:pPr>
            <w:r>
              <w:rPr>
                <w:spacing w:val="-1"/>
              </w:rPr>
              <w:t>铜加工材能源消耗总量</w:t>
            </w:r>
          </w:p>
        </w:tc>
        <w:tc>
          <w:tcPr>
            <w:tcW w:w="1668" w:type="dxa"/>
            <w:vAlign w:val="top"/>
          </w:tcPr>
          <w:p w14:paraId="1D308957">
            <w:pPr>
              <w:pStyle w:val="6"/>
              <w:spacing w:before="171" w:line="219" w:lineRule="auto"/>
              <w:ind w:left="17"/>
            </w:pPr>
            <w:r>
              <w:rPr>
                <w:spacing w:val="-1"/>
              </w:rPr>
              <w:t>合格交库铜材产量</w:t>
            </w:r>
          </w:p>
        </w:tc>
        <w:tc>
          <w:tcPr>
            <w:tcW w:w="704" w:type="dxa"/>
            <w:vAlign w:val="top"/>
          </w:tcPr>
          <w:p w14:paraId="444314B0">
            <w:pPr>
              <w:pStyle w:val="6"/>
              <w:spacing w:before="217" w:line="184" w:lineRule="auto"/>
              <w:ind w:right="10"/>
              <w:jc w:val="right"/>
            </w:pPr>
            <w:r>
              <w:rPr>
                <w:spacing w:val="-4"/>
              </w:rPr>
              <w:t>1000</w:t>
            </w:r>
          </w:p>
        </w:tc>
      </w:tr>
      <w:tr w14:paraId="243522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trPr>
        <w:tc>
          <w:tcPr>
            <w:tcW w:w="534" w:type="dxa"/>
            <w:vAlign w:val="top"/>
          </w:tcPr>
          <w:p w14:paraId="33DC2081">
            <w:pPr>
              <w:pStyle w:val="6"/>
              <w:spacing w:before="284" w:line="184" w:lineRule="auto"/>
              <w:ind w:left="75"/>
            </w:pPr>
            <w:r>
              <w:rPr>
                <w:spacing w:val="-2"/>
              </w:rPr>
              <w:t>3213</w:t>
            </w:r>
          </w:p>
        </w:tc>
        <w:tc>
          <w:tcPr>
            <w:tcW w:w="2278" w:type="dxa"/>
            <w:vAlign w:val="top"/>
          </w:tcPr>
          <w:p w14:paraId="58EF49F2">
            <w:pPr>
              <w:pStyle w:val="6"/>
              <w:spacing w:before="178" w:line="219" w:lineRule="auto"/>
              <w:ind w:left="21"/>
            </w:pPr>
            <w:r>
              <w:t>吨铜加工材消耗电量</w:t>
            </w:r>
          </w:p>
        </w:tc>
        <w:tc>
          <w:tcPr>
            <w:tcW w:w="1279" w:type="dxa"/>
            <w:vAlign w:val="top"/>
          </w:tcPr>
          <w:p w14:paraId="064F664E">
            <w:pPr>
              <w:pStyle w:val="6"/>
              <w:spacing w:before="180" w:line="221" w:lineRule="auto"/>
              <w:ind w:left="13"/>
            </w:pPr>
            <w:r>
              <w:rPr>
                <w:spacing w:val="-2"/>
              </w:rPr>
              <w:t>千瓦时/吨</w:t>
            </w:r>
          </w:p>
        </w:tc>
        <w:tc>
          <w:tcPr>
            <w:tcW w:w="510" w:type="dxa"/>
            <w:vAlign w:val="top"/>
          </w:tcPr>
          <w:p w14:paraId="6F74A26D">
            <w:pPr>
              <w:pStyle w:val="6"/>
              <w:spacing w:before="90" w:line="224" w:lineRule="auto"/>
              <w:ind w:left="64" w:right="65"/>
            </w:pPr>
            <w:r>
              <w:rPr>
                <w:spacing w:val="-6"/>
              </w:rPr>
              <w:t>万千</w:t>
            </w:r>
            <w:r>
              <w:t xml:space="preserve"> </w:t>
            </w:r>
            <w:r>
              <w:rPr>
                <w:spacing w:val="5"/>
              </w:rPr>
              <w:t>瓦时</w:t>
            </w:r>
          </w:p>
        </w:tc>
        <w:tc>
          <w:tcPr>
            <w:tcW w:w="529" w:type="dxa"/>
            <w:vAlign w:val="top"/>
          </w:tcPr>
          <w:p w14:paraId="06B0DEB7">
            <w:pPr>
              <w:pStyle w:val="6"/>
              <w:spacing w:before="238" w:line="229" w:lineRule="auto"/>
              <w:ind w:left="164"/>
            </w:pPr>
            <w:r>
              <w:t>吨</w:t>
            </w:r>
          </w:p>
        </w:tc>
        <w:tc>
          <w:tcPr>
            <w:tcW w:w="1918" w:type="dxa"/>
            <w:vAlign w:val="top"/>
          </w:tcPr>
          <w:p w14:paraId="57D492D8">
            <w:pPr>
              <w:pStyle w:val="6"/>
              <w:spacing w:before="228" w:line="219" w:lineRule="auto"/>
              <w:ind w:left="55"/>
            </w:pPr>
            <w:r>
              <w:rPr>
                <w:spacing w:val="-1"/>
              </w:rPr>
              <w:t>铜加工材用电消耗总量</w:t>
            </w:r>
          </w:p>
        </w:tc>
        <w:tc>
          <w:tcPr>
            <w:tcW w:w="1668" w:type="dxa"/>
            <w:vAlign w:val="top"/>
          </w:tcPr>
          <w:p w14:paraId="1AA90C37">
            <w:pPr>
              <w:pStyle w:val="6"/>
              <w:spacing w:before="178" w:line="219" w:lineRule="auto"/>
              <w:ind w:left="17"/>
            </w:pPr>
            <w:r>
              <w:rPr>
                <w:spacing w:val="-1"/>
              </w:rPr>
              <w:t>合格交库铜材产量</w:t>
            </w:r>
          </w:p>
        </w:tc>
        <w:tc>
          <w:tcPr>
            <w:tcW w:w="704" w:type="dxa"/>
            <w:vAlign w:val="top"/>
          </w:tcPr>
          <w:p w14:paraId="4F5A05AB">
            <w:pPr>
              <w:pStyle w:val="6"/>
              <w:spacing w:before="274" w:line="184" w:lineRule="auto"/>
              <w:ind w:right="11"/>
              <w:jc w:val="right"/>
            </w:pPr>
            <w:r>
              <w:rPr>
                <w:spacing w:val="-4"/>
              </w:rPr>
              <w:t>10000</w:t>
            </w:r>
          </w:p>
        </w:tc>
      </w:tr>
      <w:tr w14:paraId="2F9688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534" w:type="dxa"/>
            <w:vAlign w:val="top"/>
          </w:tcPr>
          <w:p w14:paraId="2D425FAC">
            <w:pPr>
              <w:pStyle w:val="6"/>
              <w:spacing w:before="217" w:line="184" w:lineRule="auto"/>
              <w:ind w:left="75"/>
            </w:pPr>
            <w:r>
              <w:rPr>
                <w:spacing w:val="-2"/>
              </w:rPr>
              <w:t>3216</w:t>
            </w:r>
          </w:p>
        </w:tc>
        <w:tc>
          <w:tcPr>
            <w:tcW w:w="2278" w:type="dxa"/>
            <w:vAlign w:val="top"/>
          </w:tcPr>
          <w:p w14:paraId="57E9E0CB">
            <w:pPr>
              <w:pStyle w:val="6"/>
              <w:spacing w:before="171" w:line="219" w:lineRule="auto"/>
              <w:ind w:left="21"/>
            </w:pPr>
            <w:r>
              <w:t>吨铝加工材消耗能源量</w:t>
            </w:r>
          </w:p>
        </w:tc>
        <w:tc>
          <w:tcPr>
            <w:tcW w:w="1279" w:type="dxa"/>
            <w:vAlign w:val="top"/>
          </w:tcPr>
          <w:p w14:paraId="05467DC4">
            <w:pPr>
              <w:pStyle w:val="6"/>
              <w:spacing w:before="172" w:line="219" w:lineRule="auto"/>
              <w:ind w:left="13"/>
            </w:pPr>
            <w:r>
              <w:rPr>
                <w:spacing w:val="-1"/>
              </w:rPr>
              <w:t>千克标准煤/吨</w:t>
            </w:r>
          </w:p>
        </w:tc>
        <w:tc>
          <w:tcPr>
            <w:tcW w:w="510" w:type="dxa"/>
            <w:vAlign w:val="top"/>
          </w:tcPr>
          <w:p w14:paraId="5E8DAB6E">
            <w:pPr>
              <w:pStyle w:val="6"/>
              <w:spacing w:before="83" w:line="217" w:lineRule="auto"/>
              <w:ind w:left="64" w:right="68"/>
            </w:pPr>
            <w:r>
              <w:rPr>
                <w:spacing w:val="3"/>
              </w:rPr>
              <w:t>吨标</w:t>
            </w:r>
            <w:r>
              <w:t xml:space="preserve"> </w:t>
            </w:r>
            <w:r>
              <w:rPr>
                <w:spacing w:val="-3"/>
              </w:rPr>
              <w:t>准煤</w:t>
            </w:r>
          </w:p>
        </w:tc>
        <w:tc>
          <w:tcPr>
            <w:tcW w:w="529" w:type="dxa"/>
            <w:vAlign w:val="top"/>
          </w:tcPr>
          <w:p w14:paraId="07BE6801">
            <w:pPr>
              <w:pStyle w:val="6"/>
              <w:spacing w:before="181" w:line="229" w:lineRule="auto"/>
              <w:ind w:left="164"/>
            </w:pPr>
            <w:r>
              <w:t>吨</w:t>
            </w:r>
          </w:p>
        </w:tc>
        <w:tc>
          <w:tcPr>
            <w:tcW w:w="1918" w:type="dxa"/>
            <w:vAlign w:val="top"/>
          </w:tcPr>
          <w:p w14:paraId="60B6867E">
            <w:pPr>
              <w:pStyle w:val="6"/>
              <w:spacing w:before="171" w:line="219" w:lineRule="auto"/>
              <w:ind w:left="55"/>
            </w:pPr>
            <w:r>
              <w:rPr>
                <w:spacing w:val="-1"/>
              </w:rPr>
              <w:t>铝加工材能源消耗总量</w:t>
            </w:r>
          </w:p>
        </w:tc>
        <w:tc>
          <w:tcPr>
            <w:tcW w:w="1668" w:type="dxa"/>
            <w:vAlign w:val="top"/>
          </w:tcPr>
          <w:p w14:paraId="1F382FE9">
            <w:pPr>
              <w:pStyle w:val="6"/>
              <w:spacing w:before="171" w:line="219" w:lineRule="auto"/>
              <w:ind w:left="17"/>
            </w:pPr>
            <w:r>
              <w:rPr>
                <w:spacing w:val="-1"/>
              </w:rPr>
              <w:t>合格交库铝材产量</w:t>
            </w:r>
          </w:p>
        </w:tc>
        <w:tc>
          <w:tcPr>
            <w:tcW w:w="704" w:type="dxa"/>
            <w:vAlign w:val="top"/>
          </w:tcPr>
          <w:p w14:paraId="7EF3E7A0">
            <w:pPr>
              <w:pStyle w:val="6"/>
              <w:spacing w:before="217" w:line="184" w:lineRule="auto"/>
              <w:ind w:right="10"/>
              <w:jc w:val="right"/>
            </w:pPr>
            <w:r>
              <w:rPr>
                <w:spacing w:val="-4"/>
              </w:rPr>
              <w:t>1000</w:t>
            </w:r>
          </w:p>
        </w:tc>
      </w:tr>
      <w:tr w14:paraId="2CB123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534" w:type="dxa"/>
            <w:vAlign w:val="top"/>
          </w:tcPr>
          <w:p w14:paraId="02F7F72B">
            <w:pPr>
              <w:rPr>
                <w:rFonts w:ascii="Arial"/>
                <w:sz w:val="21"/>
              </w:rPr>
            </w:pPr>
          </w:p>
          <w:p w14:paraId="31F5156F">
            <w:pPr>
              <w:pStyle w:val="6"/>
              <w:spacing w:before="59" w:line="184" w:lineRule="auto"/>
              <w:ind w:left="75"/>
            </w:pPr>
            <w:r>
              <w:rPr>
                <w:spacing w:val="-2"/>
              </w:rPr>
              <w:t>3215</w:t>
            </w:r>
          </w:p>
        </w:tc>
        <w:tc>
          <w:tcPr>
            <w:tcW w:w="2278" w:type="dxa"/>
            <w:vAlign w:val="top"/>
          </w:tcPr>
          <w:p w14:paraId="11ADAD37">
            <w:pPr>
              <w:pStyle w:val="6"/>
              <w:spacing w:before="244" w:line="219" w:lineRule="auto"/>
              <w:ind w:left="21"/>
            </w:pPr>
            <w:r>
              <w:t>吨铝加工材消耗电量</w:t>
            </w:r>
          </w:p>
        </w:tc>
        <w:tc>
          <w:tcPr>
            <w:tcW w:w="1279" w:type="dxa"/>
            <w:vAlign w:val="top"/>
          </w:tcPr>
          <w:p w14:paraId="5C2E6199">
            <w:pPr>
              <w:pStyle w:val="6"/>
              <w:spacing w:before="226" w:line="221" w:lineRule="auto"/>
              <w:ind w:left="13"/>
            </w:pPr>
            <w:r>
              <w:rPr>
                <w:spacing w:val="-2"/>
              </w:rPr>
              <w:t>千瓦时/吨</w:t>
            </w:r>
          </w:p>
        </w:tc>
        <w:tc>
          <w:tcPr>
            <w:tcW w:w="510" w:type="dxa"/>
            <w:vAlign w:val="top"/>
          </w:tcPr>
          <w:p w14:paraId="0965B41B">
            <w:pPr>
              <w:pStyle w:val="6"/>
              <w:spacing w:before="85" w:line="229" w:lineRule="auto"/>
              <w:ind w:left="64" w:right="65"/>
            </w:pPr>
            <w:r>
              <w:rPr>
                <w:spacing w:val="-6"/>
              </w:rPr>
              <w:t>万千</w:t>
            </w:r>
            <w:r>
              <w:t xml:space="preserve"> </w:t>
            </w:r>
            <w:r>
              <w:rPr>
                <w:spacing w:val="5"/>
              </w:rPr>
              <w:t>瓦时</w:t>
            </w:r>
          </w:p>
        </w:tc>
        <w:tc>
          <w:tcPr>
            <w:tcW w:w="529" w:type="dxa"/>
            <w:vAlign w:val="top"/>
          </w:tcPr>
          <w:p w14:paraId="02E6DE74">
            <w:pPr>
              <w:pStyle w:val="6"/>
              <w:spacing w:before="234" w:line="229" w:lineRule="auto"/>
              <w:ind w:left="164"/>
            </w:pPr>
            <w:r>
              <w:t>吨</w:t>
            </w:r>
          </w:p>
        </w:tc>
        <w:tc>
          <w:tcPr>
            <w:tcW w:w="1918" w:type="dxa"/>
            <w:vAlign w:val="top"/>
          </w:tcPr>
          <w:p w14:paraId="45FEC802">
            <w:pPr>
              <w:pStyle w:val="6"/>
              <w:spacing w:before="224" w:line="219" w:lineRule="auto"/>
              <w:ind w:left="55"/>
            </w:pPr>
            <w:r>
              <w:rPr>
                <w:spacing w:val="-1"/>
              </w:rPr>
              <w:t>铝加工材用电消耗总量</w:t>
            </w:r>
          </w:p>
        </w:tc>
        <w:tc>
          <w:tcPr>
            <w:tcW w:w="1668" w:type="dxa"/>
            <w:vAlign w:val="top"/>
          </w:tcPr>
          <w:p w14:paraId="215A43C9">
            <w:pPr>
              <w:pStyle w:val="6"/>
              <w:spacing w:before="224" w:line="219" w:lineRule="auto"/>
              <w:ind w:left="17"/>
            </w:pPr>
            <w:r>
              <w:rPr>
                <w:spacing w:val="-1"/>
              </w:rPr>
              <w:t>合格交库铝材产量</w:t>
            </w:r>
          </w:p>
        </w:tc>
        <w:tc>
          <w:tcPr>
            <w:tcW w:w="704" w:type="dxa"/>
            <w:vAlign w:val="top"/>
          </w:tcPr>
          <w:p w14:paraId="1B4A8D4B">
            <w:pPr>
              <w:pStyle w:val="6"/>
              <w:spacing w:before="290" w:line="184" w:lineRule="auto"/>
              <w:ind w:right="11"/>
              <w:jc w:val="right"/>
            </w:pPr>
            <w:r>
              <w:rPr>
                <w:spacing w:val="-4"/>
              </w:rPr>
              <w:t>10000</w:t>
            </w:r>
          </w:p>
        </w:tc>
      </w:tr>
    </w:tbl>
    <w:p w14:paraId="4D60BCD3">
      <w:pPr>
        <w:spacing w:before="109" w:line="195" w:lineRule="auto"/>
        <w:ind w:left="20"/>
        <w:rPr>
          <w:rFonts w:ascii="宋体" w:hAnsi="宋体" w:eastAsia="宋体" w:cs="宋体"/>
          <w:sz w:val="18"/>
          <w:szCs w:val="18"/>
        </w:rPr>
      </w:pPr>
      <w:r>
        <w:rPr>
          <w:rFonts w:ascii="宋体" w:hAnsi="宋体" w:eastAsia="宋体" w:cs="宋体"/>
          <w:b/>
          <w:bCs/>
          <w:spacing w:val="2"/>
          <w:sz w:val="18"/>
          <w:szCs w:val="18"/>
        </w:rPr>
        <w:t>火力发电(44)</w:t>
      </w:r>
    </w:p>
    <w:tbl>
      <w:tblPr>
        <w:tblStyle w:val="5"/>
        <w:tblW w:w="9430" w:type="dxa"/>
        <w:tblInd w:w="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0"/>
        <w:gridCol w:w="2280"/>
        <w:gridCol w:w="1280"/>
        <w:gridCol w:w="510"/>
        <w:gridCol w:w="530"/>
        <w:gridCol w:w="1920"/>
        <w:gridCol w:w="1670"/>
        <w:gridCol w:w="710"/>
      </w:tblGrid>
      <w:tr w14:paraId="275229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2" w:hRule="atLeast"/>
        </w:trPr>
        <w:tc>
          <w:tcPr>
            <w:tcW w:w="530" w:type="dxa"/>
            <w:tcBorders>
              <w:left w:val="nil"/>
            </w:tcBorders>
            <w:vAlign w:val="top"/>
          </w:tcPr>
          <w:p w14:paraId="25B0292D">
            <w:pPr>
              <w:spacing w:line="287" w:lineRule="auto"/>
              <w:rPr>
                <w:rFonts w:ascii="Arial"/>
                <w:sz w:val="21"/>
              </w:rPr>
            </w:pPr>
          </w:p>
          <w:p w14:paraId="4879F551">
            <w:pPr>
              <w:pStyle w:val="6"/>
              <w:spacing w:before="59" w:line="184" w:lineRule="auto"/>
              <w:ind w:left="80"/>
            </w:pPr>
            <w:r>
              <w:rPr>
                <w:spacing w:val="-2"/>
              </w:rPr>
              <w:t>4401</w:t>
            </w:r>
          </w:p>
        </w:tc>
        <w:tc>
          <w:tcPr>
            <w:tcW w:w="2280" w:type="dxa"/>
            <w:vAlign w:val="top"/>
          </w:tcPr>
          <w:p w14:paraId="5C3AF27F">
            <w:pPr>
              <w:spacing w:line="242" w:lineRule="auto"/>
              <w:rPr>
                <w:rFonts w:ascii="Arial"/>
                <w:sz w:val="21"/>
              </w:rPr>
            </w:pPr>
          </w:p>
          <w:p w14:paraId="7876B42E">
            <w:pPr>
              <w:pStyle w:val="6"/>
              <w:spacing w:before="58" w:line="219" w:lineRule="auto"/>
              <w:ind w:left="35"/>
            </w:pPr>
            <w:r>
              <w:t>电厂火力发电标准煤耗</w:t>
            </w:r>
          </w:p>
        </w:tc>
        <w:tc>
          <w:tcPr>
            <w:tcW w:w="1280" w:type="dxa"/>
            <w:vAlign w:val="top"/>
          </w:tcPr>
          <w:p w14:paraId="0989391D">
            <w:pPr>
              <w:pStyle w:val="6"/>
              <w:spacing w:before="192" w:line="245" w:lineRule="auto"/>
              <w:ind w:left="15" w:right="75"/>
            </w:pPr>
            <w:r>
              <w:rPr>
                <w:spacing w:val="1"/>
              </w:rPr>
              <w:t xml:space="preserve">克标准煤/千瓦 </w:t>
            </w:r>
            <w:r>
              <w:t>时</w:t>
            </w:r>
          </w:p>
        </w:tc>
        <w:tc>
          <w:tcPr>
            <w:tcW w:w="510" w:type="dxa"/>
            <w:vAlign w:val="top"/>
          </w:tcPr>
          <w:p w14:paraId="27292320">
            <w:pPr>
              <w:pStyle w:val="6"/>
              <w:spacing w:before="193" w:line="238" w:lineRule="auto"/>
              <w:ind w:left="65" w:right="67"/>
            </w:pPr>
            <w:r>
              <w:rPr>
                <w:spacing w:val="3"/>
              </w:rPr>
              <w:t>吨标</w:t>
            </w:r>
            <w:r>
              <w:t xml:space="preserve"> </w:t>
            </w:r>
            <w:r>
              <w:rPr>
                <w:spacing w:val="-3"/>
              </w:rPr>
              <w:t>准煤</w:t>
            </w:r>
          </w:p>
        </w:tc>
        <w:tc>
          <w:tcPr>
            <w:tcW w:w="530" w:type="dxa"/>
            <w:vAlign w:val="top"/>
          </w:tcPr>
          <w:p w14:paraId="0B20D6BB">
            <w:pPr>
              <w:pStyle w:val="6"/>
              <w:spacing w:before="192"/>
              <w:ind w:left="75" w:right="74"/>
            </w:pPr>
            <w:r>
              <w:rPr>
                <w:spacing w:val="-6"/>
              </w:rPr>
              <w:t>万千</w:t>
            </w:r>
            <w:r>
              <w:t xml:space="preserve"> </w:t>
            </w:r>
            <w:r>
              <w:rPr>
                <w:spacing w:val="5"/>
              </w:rPr>
              <w:t>瓦时</w:t>
            </w:r>
          </w:p>
        </w:tc>
        <w:tc>
          <w:tcPr>
            <w:tcW w:w="1920" w:type="dxa"/>
            <w:vAlign w:val="top"/>
          </w:tcPr>
          <w:p w14:paraId="69DD09A8">
            <w:pPr>
              <w:pStyle w:val="6"/>
              <w:spacing w:before="62" w:line="239" w:lineRule="auto"/>
              <w:ind w:left="15" w:right="14"/>
              <w:jc w:val="both"/>
            </w:pPr>
            <w:r>
              <w:rPr>
                <w:spacing w:val="-1"/>
              </w:rPr>
              <w:t>发电耗用标准煤量(不含</w:t>
            </w:r>
            <w:r>
              <w:t xml:space="preserve"> </w:t>
            </w:r>
            <w:r>
              <w:rPr>
                <w:spacing w:val="-1"/>
              </w:rPr>
              <w:t>试运行期间发生的燃料</w:t>
            </w:r>
            <w:r>
              <w:t xml:space="preserve">  </w:t>
            </w:r>
            <w:r>
              <w:rPr>
                <w:spacing w:val="13"/>
              </w:rPr>
              <w:t>消耗)</w:t>
            </w:r>
          </w:p>
        </w:tc>
        <w:tc>
          <w:tcPr>
            <w:tcW w:w="1670" w:type="dxa"/>
            <w:vAlign w:val="top"/>
          </w:tcPr>
          <w:p w14:paraId="0B4F4D8C">
            <w:pPr>
              <w:pStyle w:val="6"/>
              <w:spacing w:before="191" w:line="244" w:lineRule="auto"/>
              <w:ind w:left="15" w:right="123"/>
            </w:pPr>
            <w:r>
              <w:rPr>
                <w:spacing w:val="-1"/>
              </w:rPr>
              <w:t>火力发电量(不含试</w:t>
            </w:r>
            <w:r>
              <w:t xml:space="preserve"> </w:t>
            </w:r>
            <w:r>
              <w:rPr>
                <w:spacing w:val="7"/>
              </w:rPr>
              <w:t>运行电量)</w:t>
            </w:r>
          </w:p>
        </w:tc>
        <w:tc>
          <w:tcPr>
            <w:tcW w:w="710" w:type="dxa"/>
            <w:tcBorders>
              <w:right w:val="nil"/>
            </w:tcBorders>
            <w:vAlign w:val="top"/>
          </w:tcPr>
          <w:p w14:paraId="71C93A48">
            <w:pPr>
              <w:spacing w:line="287" w:lineRule="auto"/>
              <w:rPr>
                <w:rFonts w:ascii="Arial"/>
                <w:sz w:val="21"/>
              </w:rPr>
            </w:pPr>
          </w:p>
          <w:p w14:paraId="40160712">
            <w:pPr>
              <w:pStyle w:val="6"/>
              <w:spacing w:before="59" w:line="184" w:lineRule="auto"/>
              <w:ind w:right="13"/>
              <w:jc w:val="right"/>
            </w:pPr>
            <w:r>
              <w:rPr>
                <w:spacing w:val="-5"/>
              </w:rPr>
              <w:t>100</w:t>
            </w:r>
          </w:p>
        </w:tc>
      </w:tr>
      <w:tr w14:paraId="28C371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6" w:hRule="atLeast"/>
        </w:trPr>
        <w:tc>
          <w:tcPr>
            <w:tcW w:w="530" w:type="dxa"/>
            <w:tcBorders>
              <w:left w:val="nil"/>
            </w:tcBorders>
            <w:vAlign w:val="top"/>
          </w:tcPr>
          <w:p w14:paraId="6F320B96">
            <w:pPr>
              <w:spacing w:line="296" w:lineRule="auto"/>
              <w:rPr>
                <w:rFonts w:ascii="Arial"/>
                <w:sz w:val="21"/>
              </w:rPr>
            </w:pPr>
          </w:p>
          <w:p w14:paraId="5A416886">
            <w:pPr>
              <w:pStyle w:val="6"/>
              <w:spacing w:before="58" w:line="183" w:lineRule="auto"/>
              <w:ind w:left="80"/>
            </w:pPr>
            <w:r>
              <w:rPr>
                <w:spacing w:val="-2"/>
              </w:rPr>
              <w:t>4402</w:t>
            </w:r>
          </w:p>
        </w:tc>
        <w:tc>
          <w:tcPr>
            <w:tcW w:w="2280" w:type="dxa"/>
            <w:vAlign w:val="top"/>
          </w:tcPr>
          <w:p w14:paraId="38B03ED4">
            <w:pPr>
              <w:spacing w:line="249" w:lineRule="auto"/>
              <w:rPr>
                <w:rFonts w:ascii="Arial"/>
                <w:sz w:val="21"/>
              </w:rPr>
            </w:pPr>
          </w:p>
          <w:p w14:paraId="1A78A362">
            <w:pPr>
              <w:pStyle w:val="6"/>
              <w:spacing w:before="58" w:line="219" w:lineRule="auto"/>
              <w:ind w:left="35"/>
            </w:pPr>
            <w:r>
              <w:t>电厂火力供电标准煤耗</w:t>
            </w:r>
          </w:p>
        </w:tc>
        <w:tc>
          <w:tcPr>
            <w:tcW w:w="1280" w:type="dxa"/>
            <w:vAlign w:val="top"/>
          </w:tcPr>
          <w:p w14:paraId="17F5E564">
            <w:pPr>
              <w:pStyle w:val="6"/>
              <w:spacing w:before="220"/>
              <w:ind w:left="15" w:right="75"/>
            </w:pPr>
            <w:r>
              <w:rPr>
                <w:spacing w:val="1"/>
              </w:rPr>
              <w:t xml:space="preserve">克标准煤/千瓦 </w:t>
            </w:r>
            <w:r>
              <w:t>时</w:t>
            </w:r>
          </w:p>
        </w:tc>
        <w:tc>
          <w:tcPr>
            <w:tcW w:w="510" w:type="dxa"/>
            <w:vAlign w:val="top"/>
          </w:tcPr>
          <w:p w14:paraId="594C5138">
            <w:pPr>
              <w:pStyle w:val="6"/>
              <w:spacing w:before="211" w:line="243" w:lineRule="auto"/>
              <w:ind w:left="65" w:right="67"/>
            </w:pPr>
            <w:r>
              <w:rPr>
                <w:spacing w:val="3"/>
              </w:rPr>
              <w:t>吨标</w:t>
            </w:r>
            <w:r>
              <w:t xml:space="preserve"> </w:t>
            </w:r>
            <w:r>
              <w:rPr>
                <w:spacing w:val="-3"/>
              </w:rPr>
              <w:t>准煤</w:t>
            </w:r>
          </w:p>
        </w:tc>
        <w:tc>
          <w:tcPr>
            <w:tcW w:w="530" w:type="dxa"/>
            <w:vAlign w:val="top"/>
          </w:tcPr>
          <w:p w14:paraId="3B646A60">
            <w:pPr>
              <w:pStyle w:val="6"/>
              <w:spacing w:before="210" w:line="245" w:lineRule="auto"/>
              <w:ind w:left="75" w:right="74"/>
            </w:pPr>
            <w:r>
              <w:rPr>
                <w:spacing w:val="-6"/>
              </w:rPr>
              <w:t>万千</w:t>
            </w:r>
            <w:r>
              <w:t xml:space="preserve"> </w:t>
            </w:r>
            <w:r>
              <w:rPr>
                <w:spacing w:val="5"/>
              </w:rPr>
              <w:t>瓦时</w:t>
            </w:r>
          </w:p>
        </w:tc>
        <w:tc>
          <w:tcPr>
            <w:tcW w:w="1920" w:type="dxa"/>
            <w:vAlign w:val="top"/>
          </w:tcPr>
          <w:p w14:paraId="760C5ECF">
            <w:pPr>
              <w:pStyle w:val="6"/>
              <w:spacing w:before="89" w:line="238" w:lineRule="auto"/>
              <w:ind w:left="15" w:right="14"/>
              <w:jc w:val="both"/>
            </w:pPr>
            <w:r>
              <w:rPr>
                <w:spacing w:val="-1"/>
              </w:rPr>
              <w:t>发电耗用标准煤量(不含</w:t>
            </w:r>
            <w:r>
              <w:t xml:space="preserve"> </w:t>
            </w:r>
            <w:r>
              <w:rPr>
                <w:spacing w:val="-1"/>
              </w:rPr>
              <w:t>试运行期间发生的燃料</w:t>
            </w:r>
            <w:r>
              <w:t xml:space="preserve">  </w:t>
            </w:r>
            <w:r>
              <w:rPr>
                <w:spacing w:val="13"/>
              </w:rPr>
              <w:t>消耗)</w:t>
            </w:r>
          </w:p>
        </w:tc>
        <w:tc>
          <w:tcPr>
            <w:tcW w:w="1670" w:type="dxa"/>
            <w:vAlign w:val="top"/>
          </w:tcPr>
          <w:p w14:paraId="679103C8">
            <w:pPr>
              <w:pStyle w:val="6"/>
              <w:spacing w:before="89" w:line="238" w:lineRule="auto"/>
              <w:ind w:left="15" w:right="122"/>
              <w:jc w:val="both"/>
            </w:pPr>
            <w:r>
              <w:rPr>
                <w:spacing w:val="-1"/>
              </w:rPr>
              <w:t>火力供电量(不含试</w:t>
            </w:r>
            <w:r>
              <w:t xml:space="preserve"> </w:t>
            </w:r>
            <w:r>
              <w:rPr>
                <w:spacing w:val="-1"/>
              </w:rPr>
              <w:t>运行电量)=发电量-</w:t>
            </w:r>
            <w:r>
              <w:rPr>
                <w:spacing w:val="1"/>
              </w:rPr>
              <w:t xml:space="preserve"> </w:t>
            </w:r>
            <w:r>
              <w:t>厂用电量</w:t>
            </w:r>
          </w:p>
        </w:tc>
        <w:tc>
          <w:tcPr>
            <w:tcW w:w="710" w:type="dxa"/>
            <w:tcBorders>
              <w:right w:val="nil"/>
            </w:tcBorders>
            <w:vAlign w:val="top"/>
          </w:tcPr>
          <w:p w14:paraId="33533392">
            <w:pPr>
              <w:spacing w:line="295" w:lineRule="auto"/>
              <w:rPr>
                <w:rFonts w:ascii="Arial"/>
                <w:sz w:val="21"/>
              </w:rPr>
            </w:pPr>
          </w:p>
          <w:p w14:paraId="5AC78D06">
            <w:pPr>
              <w:pStyle w:val="6"/>
              <w:spacing w:before="58" w:line="184" w:lineRule="auto"/>
              <w:ind w:right="13"/>
              <w:jc w:val="right"/>
            </w:pPr>
            <w:r>
              <w:rPr>
                <w:spacing w:val="-5"/>
              </w:rPr>
              <w:t>100</w:t>
            </w:r>
          </w:p>
        </w:tc>
      </w:tr>
      <w:tr w14:paraId="654AC6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trPr>
        <w:tc>
          <w:tcPr>
            <w:tcW w:w="530" w:type="dxa"/>
            <w:tcBorders>
              <w:left w:val="nil"/>
            </w:tcBorders>
            <w:vAlign w:val="top"/>
          </w:tcPr>
          <w:p w14:paraId="28B26136">
            <w:pPr>
              <w:pStyle w:val="6"/>
              <w:spacing w:before="270" w:line="183" w:lineRule="auto"/>
              <w:ind w:left="80"/>
            </w:pPr>
            <w:r>
              <w:rPr>
                <w:spacing w:val="-2"/>
              </w:rPr>
              <w:t>4403</w:t>
            </w:r>
          </w:p>
        </w:tc>
        <w:tc>
          <w:tcPr>
            <w:tcW w:w="2280" w:type="dxa"/>
            <w:vAlign w:val="top"/>
          </w:tcPr>
          <w:p w14:paraId="595F42F7">
            <w:pPr>
              <w:pStyle w:val="6"/>
              <w:spacing w:before="224" w:line="219" w:lineRule="auto"/>
              <w:ind w:left="35"/>
            </w:pPr>
            <w:r>
              <w:rPr>
                <w:spacing w:val="-2"/>
              </w:rPr>
              <w:t>发电厂用电率</w:t>
            </w:r>
          </w:p>
        </w:tc>
        <w:tc>
          <w:tcPr>
            <w:tcW w:w="1280" w:type="dxa"/>
            <w:vAlign w:val="top"/>
          </w:tcPr>
          <w:p w14:paraId="0912C7B9">
            <w:pPr>
              <w:pStyle w:val="6"/>
              <w:spacing w:before="241"/>
              <w:ind w:left="15"/>
            </w:pPr>
            <w:r>
              <w:t>%</w:t>
            </w:r>
          </w:p>
        </w:tc>
        <w:tc>
          <w:tcPr>
            <w:tcW w:w="510" w:type="dxa"/>
            <w:vAlign w:val="top"/>
          </w:tcPr>
          <w:p w14:paraId="7E6F1DA8">
            <w:pPr>
              <w:pStyle w:val="6"/>
              <w:spacing w:before="124" w:line="250" w:lineRule="auto"/>
              <w:ind w:left="65" w:right="64"/>
            </w:pPr>
            <w:r>
              <w:rPr>
                <w:spacing w:val="-6"/>
              </w:rPr>
              <w:t>万千</w:t>
            </w:r>
            <w:r>
              <w:t xml:space="preserve"> </w:t>
            </w:r>
            <w:r>
              <w:rPr>
                <w:spacing w:val="5"/>
              </w:rPr>
              <w:t>瓦时</w:t>
            </w:r>
          </w:p>
        </w:tc>
        <w:tc>
          <w:tcPr>
            <w:tcW w:w="530" w:type="dxa"/>
            <w:vAlign w:val="top"/>
          </w:tcPr>
          <w:p w14:paraId="665FF952">
            <w:pPr>
              <w:pStyle w:val="6"/>
              <w:spacing w:before="124" w:line="245" w:lineRule="auto"/>
              <w:ind w:left="75" w:right="74"/>
            </w:pPr>
            <w:r>
              <w:rPr>
                <w:spacing w:val="-6"/>
              </w:rPr>
              <w:t>万千</w:t>
            </w:r>
            <w:r>
              <w:t xml:space="preserve"> </w:t>
            </w:r>
            <w:r>
              <w:rPr>
                <w:spacing w:val="5"/>
              </w:rPr>
              <w:t>瓦时</w:t>
            </w:r>
          </w:p>
        </w:tc>
        <w:tc>
          <w:tcPr>
            <w:tcW w:w="1920" w:type="dxa"/>
            <w:vAlign w:val="top"/>
          </w:tcPr>
          <w:p w14:paraId="512D9F49">
            <w:pPr>
              <w:pStyle w:val="6"/>
              <w:spacing w:before="123" w:line="249" w:lineRule="auto"/>
              <w:ind w:left="15" w:right="14"/>
            </w:pPr>
            <w:r>
              <w:rPr>
                <w:spacing w:val="-1"/>
              </w:rPr>
              <w:t>发电厂厂用电量(不含试</w:t>
            </w:r>
            <w:r>
              <w:t xml:space="preserve"> </w:t>
            </w:r>
            <w:r>
              <w:rPr>
                <w:spacing w:val="7"/>
              </w:rPr>
              <w:t>运行电量)</w:t>
            </w:r>
          </w:p>
        </w:tc>
        <w:tc>
          <w:tcPr>
            <w:tcW w:w="1670" w:type="dxa"/>
            <w:vAlign w:val="top"/>
          </w:tcPr>
          <w:p w14:paraId="64F4A614">
            <w:pPr>
              <w:pStyle w:val="6"/>
              <w:spacing w:before="124" w:line="250" w:lineRule="auto"/>
              <w:ind w:left="15" w:right="124"/>
            </w:pPr>
            <w:r>
              <w:rPr>
                <w:spacing w:val="-2"/>
              </w:rPr>
              <w:t>发电量(不含试运行</w:t>
            </w:r>
            <w:r>
              <w:rPr>
                <w:spacing w:val="7"/>
              </w:rPr>
              <w:t xml:space="preserve"> </w:t>
            </w:r>
            <w:r>
              <w:rPr>
                <w:spacing w:val="13"/>
              </w:rPr>
              <w:t>电量)</w:t>
            </w:r>
          </w:p>
        </w:tc>
        <w:tc>
          <w:tcPr>
            <w:tcW w:w="710" w:type="dxa"/>
            <w:tcBorders>
              <w:right w:val="nil"/>
            </w:tcBorders>
            <w:vAlign w:val="top"/>
          </w:tcPr>
          <w:p w14:paraId="09E4FBC6">
            <w:pPr>
              <w:spacing w:line="259" w:lineRule="auto"/>
              <w:rPr>
                <w:rFonts w:ascii="Arial"/>
                <w:sz w:val="21"/>
              </w:rPr>
            </w:pPr>
          </w:p>
          <w:p w14:paraId="4C44AD4E">
            <w:pPr>
              <w:pStyle w:val="6"/>
              <w:spacing w:before="59" w:line="184" w:lineRule="auto"/>
              <w:ind w:right="13"/>
              <w:jc w:val="right"/>
            </w:pPr>
            <w:r>
              <w:rPr>
                <w:spacing w:val="-5"/>
              </w:rPr>
              <w:t>100</w:t>
            </w:r>
          </w:p>
        </w:tc>
      </w:tr>
    </w:tbl>
    <w:p w14:paraId="47F8DADB">
      <w:pPr>
        <w:spacing w:before="309" w:line="310" w:lineRule="exact"/>
        <w:ind w:left="440"/>
        <w:rPr>
          <w:rFonts w:ascii="黑体" w:hAnsi="黑体" w:eastAsia="黑体" w:cs="黑体"/>
          <w:sz w:val="21"/>
          <w:szCs w:val="21"/>
        </w:rPr>
      </w:pPr>
      <w:r>
        <w:rPr>
          <w:rFonts w:ascii="黑体" w:hAnsi="黑体" w:eastAsia="黑体" w:cs="黑体"/>
          <w:b/>
          <w:bCs/>
          <w:spacing w:val="-8"/>
          <w:position w:val="7"/>
          <w:sz w:val="21"/>
          <w:szCs w:val="21"/>
        </w:rPr>
        <w:t>填报目录说明：</w:t>
      </w:r>
    </w:p>
    <w:p w14:paraId="7E1EA0A8">
      <w:pPr>
        <w:spacing w:before="1" w:line="220" w:lineRule="auto"/>
        <w:ind w:left="440"/>
        <w:rPr>
          <w:rFonts w:ascii="黑体" w:hAnsi="黑体" w:eastAsia="黑体" w:cs="黑体"/>
          <w:sz w:val="21"/>
          <w:szCs w:val="21"/>
        </w:rPr>
      </w:pPr>
      <w:r>
        <w:rPr>
          <w:rFonts w:ascii="黑体" w:hAnsi="黑体" w:eastAsia="黑体" w:cs="黑体"/>
          <w:b/>
          <w:bCs/>
          <w:spacing w:val="15"/>
          <w:sz w:val="21"/>
          <w:szCs w:val="21"/>
        </w:rPr>
        <w:t>煤炭(06)</w:t>
      </w:r>
    </w:p>
    <w:p w14:paraId="300C3ED5">
      <w:pPr>
        <w:spacing w:before="109" w:line="222" w:lineRule="auto"/>
        <w:ind w:left="440"/>
        <w:rPr>
          <w:rFonts w:ascii="黑体" w:hAnsi="黑体" w:eastAsia="黑体" w:cs="黑体"/>
          <w:sz w:val="21"/>
          <w:szCs w:val="21"/>
        </w:rPr>
      </w:pPr>
      <w:r>
        <w:rPr>
          <w:rFonts w:ascii="黑体" w:hAnsi="黑体" w:eastAsia="黑体" w:cs="黑体"/>
          <w:b/>
          <w:bCs/>
          <w:spacing w:val="-4"/>
          <w:sz w:val="21"/>
          <w:szCs w:val="21"/>
        </w:rPr>
        <w:t>吨原煤生产综合能耗</w:t>
      </w:r>
    </w:p>
    <w:p w14:paraId="72752627">
      <w:pPr>
        <w:spacing w:before="102" w:line="380" w:lineRule="exact"/>
        <w:ind w:left="437"/>
        <w:rPr>
          <w:rFonts w:ascii="宋体" w:hAnsi="宋体" w:eastAsia="宋体" w:cs="宋体"/>
          <w:sz w:val="21"/>
          <w:szCs w:val="21"/>
        </w:rPr>
      </w:pPr>
      <w:r>
        <w:rPr>
          <w:rFonts w:ascii="宋体" w:hAnsi="宋体" w:eastAsia="宋体" w:cs="宋体"/>
          <w:spacing w:val="6"/>
          <w:position w:val="12"/>
          <w:sz w:val="21"/>
          <w:szCs w:val="21"/>
        </w:rPr>
        <w:t>计算公式：吨原煤生产综合能耗(千克标准煤/吨)=1000×原煤生产综合能源消费量(吨标准煤)</w:t>
      </w:r>
    </w:p>
    <w:p w14:paraId="1012F427">
      <w:pPr>
        <w:spacing w:line="219" w:lineRule="auto"/>
        <w:ind w:left="5377"/>
        <w:rPr>
          <w:rFonts w:ascii="宋体" w:hAnsi="宋体" w:eastAsia="宋体" w:cs="宋体"/>
          <w:sz w:val="21"/>
          <w:szCs w:val="21"/>
        </w:rPr>
      </w:pPr>
      <w:r>
        <w:rPr>
          <w:rFonts w:ascii="宋体" w:hAnsi="宋体" w:eastAsia="宋体" w:cs="宋体"/>
          <w:spacing w:val="8"/>
          <w:sz w:val="21"/>
          <w:szCs w:val="21"/>
        </w:rPr>
        <w:t>/原煤产量(吨)</w:t>
      </w:r>
    </w:p>
    <w:p w14:paraId="222BC828">
      <w:pPr>
        <w:spacing w:before="111" w:line="219" w:lineRule="auto"/>
        <w:ind w:left="437"/>
        <w:rPr>
          <w:rFonts w:ascii="宋体" w:hAnsi="宋体" w:eastAsia="宋体" w:cs="宋体"/>
          <w:sz w:val="21"/>
          <w:szCs w:val="21"/>
        </w:rPr>
      </w:pPr>
      <w:r>
        <w:rPr>
          <w:rFonts w:ascii="宋体" w:hAnsi="宋体" w:eastAsia="宋体" w:cs="宋体"/>
          <w:spacing w:val="-1"/>
          <w:sz w:val="21"/>
          <w:szCs w:val="21"/>
        </w:rPr>
        <w:t>分子项：原煤生产综合能源消费量。指企业原煤生产</w:t>
      </w:r>
      <w:r>
        <w:rPr>
          <w:rFonts w:ascii="宋体" w:hAnsi="宋体" w:eastAsia="宋体" w:cs="宋体"/>
          <w:spacing w:val="-2"/>
          <w:sz w:val="21"/>
          <w:szCs w:val="21"/>
        </w:rPr>
        <w:t>所消费的各种能源。</w:t>
      </w:r>
    </w:p>
    <w:p w14:paraId="24B8F189">
      <w:pPr>
        <w:spacing w:before="90" w:line="284" w:lineRule="auto"/>
        <w:ind w:left="7" w:right="31" w:firstLine="430"/>
        <w:rPr>
          <w:rFonts w:ascii="宋体" w:hAnsi="宋体" w:eastAsia="宋体" w:cs="宋体"/>
          <w:sz w:val="21"/>
          <w:szCs w:val="21"/>
        </w:rPr>
      </w:pPr>
      <w:r>
        <w:rPr>
          <w:rFonts w:ascii="宋体" w:hAnsi="宋体" w:eastAsia="宋体" w:cs="宋体"/>
          <w:spacing w:val="11"/>
          <w:sz w:val="21"/>
          <w:szCs w:val="21"/>
        </w:rPr>
        <w:t>主要包括：矿井(或露天)原煤生产过程中的回采、</w:t>
      </w:r>
      <w:r>
        <w:rPr>
          <w:rFonts w:ascii="宋体" w:hAnsi="宋体" w:eastAsia="宋体" w:cs="宋体"/>
          <w:spacing w:val="10"/>
          <w:sz w:val="21"/>
          <w:szCs w:val="21"/>
        </w:rPr>
        <w:t>掘进(剥离)、运输(不包括为矿区服务的大</w:t>
      </w:r>
      <w:r>
        <w:rPr>
          <w:rFonts w:ascii="宋体" w:hAnsi="宋体" w:eastAsia="宋体" w:cs="宋体"/>
          <w:sz w:val="21"/>
          <w:szCs w:val="21"/>
        </w:rPr>
        <w:t xml:space="preserve"> </w:t>
      </w:r>
      <w:r>
        <w:rPr>
          <w:rFonts w:ascii="宋体" w:hAnsi="宋体" w:eastAsia="宋体" w:cs="宋体"/>
          <w:spacing w:val="1"/>
          <w:sz w:val="21"/>
          <w:szCs w:val="21"/>
        </w:rPr>
        <w:t>铁路运输)、提升、通风、排水、压风、坑木加工、瓦斯抽放、消火灌浆、井口选矸、矿井采暖、水砂</w:t>
      </w:r>
      <w:r>
        <w:rPr>
          <w:rFonts w:ascii="宋体" w:hAnsi="宋体" w:eastAsia="宋体" w:cs="宋体"/>
          <w:spacing w:val="2"/>
          <w:sz w:val="21"/>
          <w:szCs w:val="21"/>
        </w:rPr>
        <w:t xml:space="preserve"> </w:t>
      </w:r>
      <w:r>
        <w:rPr>
          <w:rFonts w:ascii="宋体" w:hAnsi="宋体" w:eastAsia="宋体" w:cs="宋体"/>
          <w:spacing w:val="-1"/>
          <w:sz w:val="21"/>
          <w:szCs w:val="21"/>
        </w:rPr>
        <w:t>充填、矿灯充电、矿机修、工业照明、工业供水等用能，以及与上述有关的电力线路和变压器的电损。</w:t>
      </w:r>
    </w:p>
    <w:p w14:paraId="5D6558AE">
      <w:pPr>
        <w:spacing w:before="110" w:line="219" w:lineRule="auto"/>
        <w:ind w:left="437"/>
        <w:rPr>
          <w:rFonts w:ascii="宋体" w:hAnsi="宋体" w:eastAsia="宋体" w:cs="宋体"/>
          <w:sz w:val="21"/>
          <w:szCs w:val="21"/>
        </w:rPr>
      </w:pPr>
      <w:r>
        <w:rPr>
          <w:rFonts w:ascii="宋体" w:hAnsi="宋体" w:eastAsia="宋体" w:cs="宋体"/>
          <w:spacing w:val="-2"/>
          <w:sz w:val="21"/>
          <w:szCs w:val="21"/>
        </w:rPr>
        <w:t>不包括：非原煤生产、非生产部门、基本建</w:t>
      </w:r>
      <w:r>
        <w:rPr>
          <w:rFonts w:ascii="宋体" w:hAnsi="宋体" w:eastAsia="宋体" w:cs="宋体"/>
          <w:spacing w:val="-3"/>
          <w:sz w:val="21"/>
          <w:szCs w:val="21"/>
        </w:rPr>
        <w:t>设工程等用能和生活用能。</w:t>
      </w:r>
    </w:p>
    <w:p w14:paraId="39E8D025">
      <w:pPr>
        <w:spacing w:before="111" w:line="219" w:lineRule="auto"/>
        <w:ind w:left="437"/>
        <w:rPr>
          <w:rFonts w:ascii="宋体" w:hAnsi="宋体" w:eastAsia="宋体" w:cs="宋体"/>
          <w:sz w:val="21"/>
          <w:szCs w:val="21"/>
        </w:rPr>
      </w:pPr>
      <w:r>
        <w:rPr>
          <w:rFonts w:ascii="宋体" w:hAnsi="宋体" w:eastAsia="宋体" w:cs="宋体"/>
          <w:spacing w:val="-2"/>
          <w:sz w:val="21"/>
          <w:szCs w:val="21"/>
        </w:rPr>
        <w:t>非原煤生产用能量，指煤矿企业附属的其他工业产品生产用能量。如选煤厂、机修厂、运输队、建</w:t>
      </w:r>
    </w:p>
    <w:p w14:paraId="42116841">
      <w:pPr>
        <w:spacing w:line="219" w:lineRule="auto"/>
        <w:rPr>
          <w:rFonts w:ascii="宋体" w:hAnsi="宋体" w:eastAsia="宋体" w:cs="宋体"/>
          <w:sz w:val="21"/>
          <w:szCs w:val="21"/>
        </w:rPr>
        <w:sectPr>
          <w:headerReference r:id="rId30" w:type="default"/>
          <w:pgSz w:w="11910" w:h="16840"/>
          <w:pgMar w:top="1055" w:right="1229" w:bottom="400" w:left="1232" w:header="876" w:footer="0" w:gutter="0"/>
          <w:cols w:space="720" w:num="1"/>
        </w:sectPr>
      </w:pPr>
    </w:p>
    <w:p w14:paraId="3F05C6E5">
      <w:pPr>
        <w:pStyle w:val="2"/>
        <w:spacing w:line="349" w:lineRule="auto"/>
      </w:pPr>
      <w:r>
        <w:pict>
          <v:shape id="_x0000_s1035" o:spid="_x0000_s1035" o:spt="202" type="#_x0000_t202" style="position:absolute;left:0pt;margin-left:61.3pt;margin-top:41.85pt;height:14.1pt;width:19.85pt;mso-position-horizontal-relative:page;mso-position-vertical-relative:page;z-index:251706368;mso-width-relative:page;mso-height-relative:page;" filled="f" stroked="f" coordsize="21600,21600" o:allowincell="f">
            <v:path/>
            <v:fill on="f" focussize="0,0"/>
            <v:stroke on="f"/>
            <v:imagedata o:title=""/>
            <o:lock v:ext="edit" aspectratio="f"/>
            <v:textbox inset="0mm,0mm,0mm,0mm">
              <w:txbxContent>
                <w:p w14:paraId="33C797F6">
                  <w:pPr>
                    <w:pStyle w:val="2"/>
                    <w:tabs>
                      <w:tab w:val="left" w:pos="375"/>
                    </w:tabs>
                    <w:spacing w:before="20" w:line="241" w:lineRule="exact"/>
                    <w:ind w:left="20"/>
                  </w:pPr>
                  <w:r>
                    <w:rPr>
                      <w:u w:val="single" w:color="auto"/>
                    </w:rPr>
                    <w:tab/>
                  </w:r>
                </w:p>
              </w:txbxContent>
            </v:textbox>
          </v:shape>
        </w:pict>
      </w:r>
    </w:p>
    <w:p w14:paraId="5BF7DD9D">
      <w:pPr>
        <w:spacing w:before="68" w:line="380" w:lineRule="exact"/>
        <w:jc w:val="right"/>
        <w:rPr>
          <w:rFonts w:ascii="宋体" w:hAnsi="宋体" w:eastAsia="宋体" w:cs="宋体"/>
          <w:sz w:val="21"/>
          <w:szCs w:val="21"/>
        </w:rPr>
      </w:pPr>
      <w:r>
        <w:rPr>
          <w:rFonts w:ascii="宋体" w:hAnsi="宋体" w:eastAsia="宋体" w:cs="宋体"/>
          <w:spacing w:val="-2"/>
          <w:position w:val="12"/>
          <w:sz w:val="21"/>
          <w:szCs w:val="21"/>
        </w:rPr>
        <w:t>材厂、火药厂、化工厂、支架厂、钢铁厂、综合利用厂等用能和由各种专用基金支付的工程(如大修理、</w:t>
      </w:r>
    </w:p>
    <w:p w14:paraId="12E465E7">
      <w:pPr>
        <w:spacing w:line="219" w:lineRule="auto"/>
        <w:ind w:left="3"/>
        <w:rPr>
          <w:rFonts w:ascii="宋体" w:hAnsi="宋体" w:eastAsia="宋体" w:cs="宋体"/>
          <w:sz w:val="21"/>
          <w:szCs w:val="21"/>
        </w:rPr>
      </w:pPr>
      <w:r>
        <w:rPr>
          <w:rFonts w:ascii="宋体" w:hAnsi="宋体" w:eastAsia="宋体" w:cs="宋体"/>
          <w:spacing w:val="2"/>
          <w:sz w:val="21"/>
          <w:szCs w:val="21"/>
        </w:rPr>
        <w:t>更新改造工程等)用能，以及与上述有关的电力线路和变压器的</w:t>
      </w:r>
      <w:r>
        <w:rPr>
          <w:rFonts w:ascii="宋体" w:hAnsi="宋体" w:eastAsia="宋体" w:cs="宋体"/>
          <w:spacing w:val="1"/>
          <w:sz w:val="21"/>
          <w:szCs w:val="21"/>
        </w:rPr>
        <w:t>电损。</w:t>
      </w:r>
    </w:p>
    <w:p w14:paraId="6F0B8047">
      <w:pPr>
        <w:spacing w:before="89" w:line="371" w:lineRule="exact"/>
        <w:ind w:left="413"/>
        <w:rPr>
          <w:rFonts w:ascii="宋体" w:hAnsi="宋体" w:eastAsia="宋体" w:cs="宋体"/>
          <w:sz w:val="21"/>
          <w:szCs w:val="21"/>
        </w:rPr>
      </w:pPr>
      <w:r>
        <w:rPr>
          <w:rFonts w:ascii="宋体" w:hAnsi="宋体" w:eastAsia="宋体" w:cs="宋体"/>
          <w:spacing w:val="-2"/>
          <w:position w:val="12"/>
          <w:sz w:val="21"/>
          <w:szCs w:val="21"/>
        </w:rPr>
        <w:t>非生产部门用能，指煤矿企业的非生产部门用能量，如学校、托儿所、幼儿园、机关职工食堂、住</w:t>
      </w:r>
    </w:p>
    <w:p w14:paraId="636B5D9F">
      <w:pPr>
        <w:spacing w:line="219" w:lineRule="auto"/>
        <w:ind w:left="3"/>
        <w:rPr>
          <w:rFonts w:ascii="宋体" w:hAnsi="宋体" w:eastAsia="宋体" w:cs="宋体"/>
          <w:sz w:val="21"/>
          <w:szCs w:val="21"/>
        </w:rPr>
      </w:pPr>
      <w:r>
        <w:rPr>
          <w:rFonts w:ascii="宋体" w:hAnsi="宋体" w:eastAsia="宋体" w:cs="宋体"/>
          <w:spacing w:val="-2"/>
          <w:sz w:val="21"/>
          <w:szCs w:val="21"/>
        </w:rPr>
        <w:t>宅区浴室、消防队等用能，以及与上述有关的电力线路和变压器的电损。</w:t>
      </w:r>
    </w:p>
    <w:p w14:paraId="256300AC">
      <w:pPr>
        <w:spacing w:before="120" w:line="268" w:lineRule="auto"/>
        <w:ind w:left="413" w:right="73"/>
        <w:rPr>
          <w:rFonts w:ascii="宋体" w:hAnsi="宋体" w:eastAsia="宋体" w:cs="宋体"/>
          <w:sz w:val="21"/>
          <w:szCs w:val="21"/>
        </w:rPr>
      </w:pPr>
      <w:r>
        <w:rPr>
          <w:rFonts w:ascii="宋体" w:hAnsi="宋体" w:eastAsia="宋体" w:cs="宋体"/>
          <w:spacing w:val="-1"/>
          <w:sz w:val="21"/>
          <w:szCs w:val="21"/>
        </w:rPr>
        <w:t>基本建设工程用能，指企业内基本建设工程用能量，以及与上述有关的电力线路和变压器的电损。</w:t>
      </w:r>
      <w:r>
        <w:rPr>
          <w:rFonts w:ascii="宋体" w:hAnsi="宋体" w:eastAsia="宋体" w:cs="宋体"/>
          <w:spacing w:val="3"/>
          <w:sz w:val="21"/>
          <w:szCs w:val="21"/>
        </w:rPr>
        <w:t xml:space="preserve"> </w:t>
      </w:r>
      <w:r>
        <w:rPr>
          <w:rFonts w:ascii="宋体" w:hAnsi="宋体" w:eastAsia="宋体" w:cs="宋体"/>
          <w:spacing w:val="-2"/>
          <w:sz w:val="21"/>
          <w:szCs w:val="21"/>
        </w:rPr>
        <w:t>分母项：原煤产量。指矿井产量、露天矿产量和其他产量。</w:t>
      </w:r>
    </w:p>
    <w:p w14:paraId="5F49042D">
      <w:pPr>
        <w:spacing w:before="109" w:line="219" w:lineRule="auto"/>
        <w:ind w:left="533"/>
        <w:rPr>
          <w:rFonts w:ascii="宋体" w:hAnsi="宋体" w:eastAsia="宋体" w:cs="宋体"/>
          <w:sz w:val="21"/>
          <w:szCs w:val="21"/>
        </w:rPr>
      </w:pPr>
      <w:r>
        <w:rPr>
          <w:rFonts w:ascii="宋体" w:hAnsi="宋体" w:eastAsia="宋体" w:cs="宋体"/>
          <w:spacing w:val="2"/>
          <w:sz w:val="21"/>
          <w:szCs w:val="21"/>
        </w:rPr>
        <w:t>(1)矿井产量，指回采产量、掘进产量和矿井其他产量。</w:t>
      </w:r>
    </w:p>
    <w:p w14:paraId="2D6BECE9">
      <w:pPr>
        <w:spacing w:before="120" w:line="217" w:lineRule="auto"/>
        <w:ind w:left="413"/>
        <w:rPr>
          <w:rFonts w:ascii="宋体" w:hAnsi="宋体" w:eastAsia="宋体" w:cs="宋体"/>
          <w:sz w:val="21"/>
          <w:szCs w:val="21"/>
        </w:rPr>
      </w:pPr>
      <w:r>
        <w:rPr>
          <w:rFonts w:ascii="宋体" w:hAnsi="宋体" w:eastAsia="宋体" w:cs="宋体"/>
          <w:spacing w:val="-1"/>
          <w:sz w:val="21"/>
          <w:szCs w:val="21"/>
        </w:rPr>
        <w:t>①回采产量，指生产矿井中全部回采工作面所采出</w:t>
      </w:r>
      <w:r>
        <w:rPr>
          <w:rFonts w:ascii="宋体" w:hAnsi="宋体" w:eastAsia="宋体" w:cs="宋体"/>
          <w:spacing w:val="-2"/>
          <w:sz w:val="21"/>
          <w:szCs w:val="21"/>
        </w:rPr>
        <w:t>的煤炭产量。但下列情况应区别处理：</w:t>
      </w:r>
    </w:p>
    <w:p w14:paraId="577A5CB4">
      <w:pPr>
        <w:spacing w:before="105" w:line="219" w:lineRule="auto"/>
        <w:ind w:left="413"/>
        <w:rPr>
          <w:rFonts w:ascii="宋体" w:hAnsi="宋体" w:eastAsia="宋体" w:cs="宋体"/>
          <w:sz w:val="21"/>
          <w:szCs w:val="21"/>
        </w:rPr>
      </w:pPr>
      <w:r>
        <w:rPr>
          <w:rFonts w:ascii="宋体" w:hAnsi="宋体" w:eastAsia="宋体" w:cs="宋体"/>
          <w:spacing w:val="-1"/>
          <w:sz w:val="21"/>
          <w:szCs w:val="21"/>
        </w:rPr>
        <w:t>矿井未正式移交之前，对准备出煤的回采工作面进行实际</w:t>
      </w:r>
      <w:r>
        <w:rPr>
          <w:rFonts w:ascii="宋体" w:hAnsi="宋体" w:eastAsia="宋体" w:cs="宋体"/>
          <w:spacing w:val="-2"/>
          <w:sz w:val="21"/>
          <w:szCs w:val="21"/>
        </w:rPr>
        <w:t>采煤，其采煤量应计为基建工程煤；</w:t>
      </w:r>
    </w:p>
    <w:p w14:paraId="67D7702B">
      <w:pPr>
        <w:spacing w:before="111" w:line="219" w:lineRule="auto"/>
        <w:ind w:left="413"/>
        <w:rPr>
          <w:rFonts w:ascii="宋体" w:hAnsi="宋体" w:eastAsia="宋体" w:cs="宋体"/>
          <w:sz w:val="21"/>
          <w:szCs w:val="21"/>
        </w:rPr>
      </w:pPr>
      <w:r>
        <w:rPr>
          <w:rFonts w:ascii="宋体" w:hAnsi="宋体" w:eastAsia="宋体" w:cs="宋体"/>
          <w:spacing w:val="-2"/>
          <w:sz w:val="21"/>
          <w:szCs w:val="21"/>
        </w:rPr>
        <w:t>列入科研计划的新采煤方法试验面和使用新机试采面的出煤，应计为矿井其他产量；</w:t>
      </w:r>
    </w:p>
    <w:p w14:paraId="02FF719C">
      <w:pPr>
        <w:spacing w:before="110" w:line="268" w:lineRule="auto"/>
        <w:ind w:left="413" w:right="960"/>
        <w:rPr>
          <w:rFonts w:ascii="宋体" w:hAnsi="宋体" w:eastAsia="宋体" w:cs="宋体"/>
          <w:sz w:val="21"/>
          <w:szCs w:val="21"/>
        </w:rPr>
      </w:pPr>
      <w:r>
        <w:rPr>
          <w:rFonts w:ascii="宋体" w:hAnsi="宋体" w:eastAsia="宋体" w:cs="宋体"/>
          <w:spacing w:val="3"/>
          <w:sz w:val="21"/>
          <w:szCs w:val="21"/>
        </w:rPr>
        <w:t>已完成掘进，在回采过程中掘凿的巷道(一般称“采后掘进”)出煤，应计为回采产量；</w:t>
      </w:r>
      <w:r>
        <w:rPr>
          <w:rFonts w:ascii="宋体" w:hAnsi="宋体" w:eastAsia="宋体" w:cs="宋体"/>
          <w:spacing w:val="6"/>
          <w:sz w:val="21"/>
          <w:szCs w:val="21"/>
        </w:rPr>
        <w:t xml:space="preserve"> </w:t>
      </w:r>
      <w:r>
        <w:rPr>
          <w:rFonts w:ascii="宋体" w:hAnsi="宋体" w:eastAsia="宋体" w:cs="宋体"/>
          <w:spacing w:val="-1"/>
          <w:sz w:val="21"/>
          <w:szCs w:val="21"/>
        </w:rPr>
        <w:t>对已报废的矿井进行复采，由原煤生产费负担的，计入</w:t>
      </w:r>
      <w:r>
        <w:rPr>
          <w:rFonts w:ascii="宋体" w:hAnsi="宋体" w:eastAsia="宋体" w:cs="宋体"/>
          <w:spacing w:val="-2"/>
          <w:sz w:val="21"/>
          <w:szCs w:val="21"/>
        </w:rPr>
        <w:t>矿井其他产量。</w:t>
      </w:r>
    </w:p>
    <w:p w14:paraId="7F6C41D9">
      <w:pPr>
        <w:spacing w:before="131" w:line="259" w:lineRule="auto"/>
        <w:ind w:left="3" w:right="88" w:firstLine="410"/>
        <w:rPr>
          <w:rFonts w:ascii="宋体" w:hAnsi="宋体" w:eastAsia="宋体" w:cs="宋体"/>
          <w:sz w:val="21"/>
          <w:szCs w:val="21"/>
        </w:rPr>
      </w:pPr>
      <w:r>
        <w:rPr>
          <w:rFonts w:ascii="宋体" w:hAnsi="宋体" w:eastAsia="宋体" w:cs="宋体"/>
          <w:spacing w:val="-1"/>
          <w:sz w:val="21"/>
          <w:szCs w:val="21"/>
        </w:rPr>
        <w:t>②掘进产量，指在生产矿井中由生产费用负担的生产掘进巷道的出煤。</w:t>
      </w:r>
      <w:r>
        <w:rPr>
          <w:rFonts w:ascii="宋体" w:hAnsi="宋体" w:eastAsia="宋体" w:cs="宋体"/>
          <w:spacing w:val="-2"/>
          <w:sz w:val="21"/>
          <w:szCs w:val="21"/>
        </w:rPr>
        <w:t>不包括由更改资金进行的掘</w:t>
      </w:r>
      <w:r>
        <w:rPr>
          <w:rFonts w:ascii="宋体" w:hAnsi="宋体" w:eastAsia="宋体" w:cs="宋体"/>
          <w:sz w:val="21"/>
          <w:szCs w:val="21"/>
        </w:rPr>
        <w:t xml:space="preserve"> </w:t>
      </w:r>
      <w:r>
        <w:rPr>
          <w:rFonts w:ascii="宋体" w:hAnsi="宋体" w:eastAsia="宋体" w:cs="宋体"/>
          <w:spacing w:val="-2"/>
          <w:sz w:val="21"/>
          <w:szCs w:val="21"/>
        </w:rPr>
        <w:t>进工作出煤和井巷维修工作出煤。对采掘产量混在一起分不清的，以下式计算：</w:t>
      </w:r>
    </w:p>
    <w:p w14:paraId="0A39366F">
      <w:pPr>
        <w:spacing w:before="110" w:line="219" w:lineRule="auto"/>
        <w:ind w:left="413"/>
        <w:rPr>
          <w:rFonts w:ascii="宋体" w:hAnsi="宋体" w:eastAsia="宋体" w:cs="宋体"/>
          <w:sz w:val="21"/>
          <w:szCs w:val="21"/>
        </w:rPr>
      </w:pPr>
      <w:r>
        <w:rPr>
          <w:rFonts w:ascii="宋体" w:hAnsi="宋体" w:eastAsia="宋体" w:cs="宋体"/>
          <w:spacing w:val="15"/>
          <w:sz w:val="21"/>
          <w:szCs w:val="21"/>
        </w:rPr>
        <w:t>掘进产量(吨)=煤巷及半煤巷的煤断面(平方米)×进尺(米)×煤的容重(吨/立方米)</w:t>
      </w:r>
    </w:p>
    <w:p w14:paraId="0A95958C">
      <w:pPr>
        <w:spacing w:before="109" w:line="285" w:lineRule="auto"/>
        <w:ind w:left="3" w:right="65" w:firstLine="410"/>
        <w:rPr>
          <w:rFonts w:ascii="宋体" w:hAnsi="宋体" w:eastAsia="宋体" w:cs="宋体"/>
          <w:sz w:val="21"/>
          <w:szCs w:val="21"/>
        </w:rPr>
      </w:pPr>
      <w:r>
        <w:rPr>
          <w:rFonts w:ascii="宋体" w:hAnsi="宋体" w:eastAsia="宋体" w:cs="宋体"/>
          <w:spacing w:val="-1"/>
          <w:sz w:val="21"/>
          <w:szCs w:val="21"/>
        </w:rPr>
        <w:t>③矿井其他产量，指生产矿井回采和掘进产量以外的其他产量，主要包括井巷维修出煤，已报废矿</w:t>
      </w:r>
      <w:r>
        <w:rPr>
          <w:rFonts w:ascii="宋体" w:hAnsi="宋体" w:eastAsia="宋体" w:cs="宋体"/>
          <w:spacing w:val="11"/>
          <w:sz w:val="21"/>
          <w:szCs w:val="21"/>
        </w:rPr>
        <w:t xml:space="preserve"> </w:t>
      </w:r>
      <w:r>
        <w:rPr>
          <w:rFonts w:ascii="宋体" w:hAnsi="宋体" w:eastAsia="宋体" w:cs="宋体"/>
          <w:spacing w:val="-2"/>
          <w:sz w:val="21"/>
          <w:szCs w:val="21"/>
        </w:rPr>
        <w:t>井复采后所出的煤，质量不合格经处理后合格的回收煤，科研试采出煤，出井无牌煤，水砂充填或水采</w:t>
      </w:r>
      <w:r>
        <w:rPr>
          <w:rFonts w:ascii="宋体" w:hAnsi="宋体" w:eastAsia="宋体" w:cs="宋体"/>
          <w:spacing w:val="18"/>
          <w:sz w:val="21"/>
          <w:szCs w:val="21"/>
        </w:rPr>
        <w:t xml:space="preserve"> </w:t>
      </w:r>
      <w:r>
        <w:rPr>
          <w:rFonts w:ascii="宋体" w:hAnsi="宋体" w:eastAsia="宋体" w:cs="宋体"/>
          <w:spacing w:val="4"/>
          <w:sz w:val="21"/>
          <w:szCs w:val="21"/>
        </w:rPr>
        <w:t>矿井扫沉淀的煤泥，盘点发生的盈(亏)吨煤，以及由生产费用开支不计能力的矿井产量。</w:t>
      </w:r>
    </w:p>
    <w:p w14:paraId="497CADCA">
      <w:pPr>
        <w:spacing w:before="110" w:line="219" w:lineRule="auto"/>
        <w:ind w:left="533"/>
        <w:rPr>
          <w:rFonts w:ascii="宋体" w:hAnsi="宋体" w:eastAsia="宋体" w:cs="宋体"/>
          <w:sz w:val="21"/>
          <w:szCs w:val="21"/>
        </w:rPr>
      </w:pPr>
      <w:r>
        <w:rPr>
          <w:rFonts w:ascii="宋体" w:hAnsi="宋体" w:eastAsia="宋体" w:cs="宋体"/>
          <w:spacing w:val="1"/>
          <w:sz w:val="21"/>
          <w:szCs w:val="21"/>
        </w:rPr>
        <w:t>(2)露天矿产量，指露天煤矿采煤阶段的煤炭产量、剥离阶段的煤炭产量和露天矿其他产量。</w:t>
      </w:r>
    </w:p>
    <w:p w14:paraId="0AD0B312">
      <w:pPr>
        <w:spacing w:before="111" w:line="219" w:lineRule="auto"/>
        <w:ind w:left="413"/>
        <w:rPr>
          <w:rFonts w:ascii="宋体" w:hAnsi="宋体" w:eastAsia="宋体" w:cs="宋体"/>
          <w:sz w:val="21"/>
          <w:szCs w:val="21"/>
        </w:rPr>
      </w:pPr>
      <w:r>
        <w:rPr>
          <w:rFonts w:ascii="宋体" w:hAnsi="宋体" w:eastAsia="宋体" w:cs="宋体"/>
          <w:spacing w:val="-1"/>
          <w:sz w:val="21"/>
          <w:szCs w:val="21"/>
        </w:rPr>
        <w:t>露天矿其他产量，指露天采煤阶段和剥离阶段以外的其他产量</w:t>
      </w:r>
      <w:r>
        <w:rPr>
          <w:rFonts w:ascii="宋体" w:hAnsi="宋体" w:eastAsia="宋体" w:cs="宋体"/>
          <w:spacing w:val="-2"/>
          <w:sz w:val="21"/>
          <w:szCs w:val="21"/>
        </w:rPr>
        <w:t>。主要包括由生产费用开支的不计能</w:t>
      </w:r>
    </w:p>
    <w:p w14:paraId="11BED9F1">
      <w:pPr>
        <w:spacing w:before="112" w:line="219" w:lineRule="auto"/>
        <w:ind w:left="3"/>
        <w:rPr>
          <w:rFonts w:ascii="宋体" w:hAnsi="宋体" w:eastAsia="宋体" w:cs="宋体"/>
          <w:sz w:val="21"/>
          <w:szCs w:val="21"/>
        </w:rPr>
      </w:pPr>
      <w:r>
        <w:rPr>
          <w:rFonts w:ascii="宋体" w:hAnsi="宋体" w:eastAsia="宋体" w:cs="宋体"/>
          <w:spacing w:val="-2"/>
          <w:sz w:val="21"/>
          <w:szCs w:val="21"/>
        </w:rPr>
        <w:t>力的露天产量，由排土场回收的拣煤量，露天坑内的残煤回收量。</w:t>
      </w:r>
    </w:p>
    <w:p w14:paraId="782984A8">
      <w:pPr>
        <w:spacing w:before="111" w:line="219" w:lineRule="auto"/>
        <w:ind w:left="533"/>
        <w:rPr>
          <w:rFonts w:ascii="宋体" w:hAnsi="宋体" w:eastAsia="宋体" w:cs="宋体"/>
          <w:sz w:val="21"/>
          <w:szCs w:val="21"/>
        </w:rPr>
      </w:pPr>
      <w:r>
        <w:rPr>
          <w:rFonts w:ascii="宋体" w:hAnsi="宋体" w:eastAsia="宋体" w:cs="宋体"/>
          <w:spacing w:val="3"/>
          <w:sz w:val="21"/>
          <w:szCs w:val="21"/>
        </w:rPr>
        <w:t>(3)其他产量，指不由原煤生产费用开支的出煤，主要包括基建工程煤、更改工程煤、不计能力</w:t>
      </w:r>
    </w:p>
    <w:p w14:paraId="3B4EFDDA">
      <w:pPr>
        <w:spacing w:before="101" w:line="219" w:lineRule="auto"/>
        <w:ind w:left="3"/>
        <w:rPr>
          <w:rFonts w:ascii="宋体" w:hAnsi="宋体" w:eastAsia="宋体" w:cs="宋体"/>
          <w:sz w:val="21"/>
          <w:szCs w:val="21"/>
        </w:rPr>
      </w:pPr>
      <w:r>
        <w:rPr>
          <w:rFonts w:ascii="宋体" w:hAnsi="宋体" w:eastAsia="宋体" w:cs="宋体"/>
          <w:spacing w:val="-5"/>
          <w:sz w:val="21"/>
          <w:szCs w:val="21"/>
        </w:rPr>
        <w:t>的小井和小露天矿出煤。</w:t>
      </w:r>
    </w:p>
    <w:p w14:paraId="2A3D959F">
      <w:pPr>
        <w:spacing w:before="138" w:line="258" w:lineRule="auto"/>
        <w:ind w:left="413"/>
        <w:rPr>
          <w:rFonts w:ascii="宋体" w:hAnsi="宋体" w:eastAsia="宋体" w:cs="宋体"/>
          <w:sz w:val="21"/>
          <w:szCs w:val="21"/>
        </w:rPr>
      </w:pPr>
      <w:r>
        <w:rPr>
          <w:rFonts w:ascii="宋体" w:hAnsi="宋体" w:eastAsia="宋体" w:cs="宋体"/>
          <w:spacing w:val="-4"/>
          <w:sz w:val="21"/>
          <w:szCs w:val="21"/>
        </w:rPr>
        <w:t>①基建工程煤，指基本建设矿井、露天矿在没有移交生产以前的工程出煤和试生产期间的煤炭产量。</w:t>
      </w:r>
      <w:r>
        <w:rPr>
          <w:rFonts w:ascii="宋体" w:hAnsi="宋体" w:eastAsia="宋体" w:cs="宋体"/>
          <w:sz w:val="21"/>
          <w:szCs w:val="21"/>
        </w:rPr>
        <w:t xml:space="preserve"> </w:t>
      </w:r>
      <w:r>
        <w:rPr>
          <w:rFonts w:ascii="宋体" w:hAnsi="宋体" w:eastAsia="宋体" w:cs="宋体"/>
          <w:spacing w:val="-2"/>
          <w:sz w:val="21"/>
          <w:szCs w:val="21"/>
        </w:rPr>
        <w:t>②更改工程煤，指在生产矿井中用更改资金进行掘进工作所产出</w:t>
      </w:r>
      <w:r>
        <w:rPr>
          <w:rFonts w:ascii="宋体" w:hAnsi="宋体" w:eastAsia="宋体" w:cs="宋体"/>
          <w:spacing w:val="-3"/>
          <w:sz w:val="21"/>
          <w:szCs w:val="21"/>
        </w:rPr>
        <w:t>的煤。</w:t>
      </w:r>
    </w:p>
    <w:p w14:paraId="769E18C2">
      <w:pPr>
        <w:spacing w:before="123" w:line="217" w:lineRule="auto"/>
        <w:ind w:left="413"/>
        <w:rPr>
          <w:rFonts w:ascii="宋体" w:hAnsi="宋体" w:eastAsia="宋体" w:cs="宋体"/>
          <w:sz w:val="21"/>
          <w:szCs w:val="21"/>
        </w:rPr>
      </w:pPr>
      <w:r>
        <w:rPr>
          <w:rFonts w:ascii="宋体" w:hAnsi="宋体" w:eastAsia="宋体" w:cs="宋体"/>
          <w:spacing w:val="-1"/>
          <w:sz w:val="21"/>
          <w:szCs w:val="21"/>
        </w:rPr>
        <w:t>③不计能力的小井、小露天矿产量，指年生产能力三万吨以下的小井、小露天矿产量。</w:t>
      </w:r>
    </w:p>
    <w:p w14:paraId="7154544F">
      <w:pPr>
        <w:spacing w:before="111" w:line="222" w:lineRule="auto"/>
        <w:ind w:left="416"/>
        <w:rPr>
          <w:rFonts w:ascii="黑体" w:hAnsi="黑体" w:eastAsia="黑体" w:cs="黑体"/>
          <w:sz w:val="21"/>
          <w:szCs w:val="21"/>
        </w:rPr>
      </w:pPr>
      <w:r>
        <w:rPr>
          <w:rFonts w:ascii="黑体" w:hAnsi="黑体" w:eastAsia="黑体" w:cs="黑体"/>
          <w:b/>
          <w:bCs/>
          <w:spacing w:val="-5"/>
          <w:sz w:val="21"/>
          <w:szCs w:val="21"/>
        </w:rPr>
        <w:t>吨原煤生产耗电量</w:t>
      </w:r>
    </w:p>
    <w:p w14:paraId="655B8CD1">
      <w:pPr>
        <w:spacing w:before="102" w:line="219" w:lineRule="auto"/>
        <w:ind w:left="413"/>
        <w:rPr>
          <w:rFonts w:ascii="宋体" w:hAnsi="宋体" w:eastAsia="宋体" w:cs="宋体"/>
          <w:sz w:val="21"/>
          <w:szCs w:val="21"/>
        </w:rPr>
      </w:pPr>
      <w:r>
        <w:rPr>
          <w:rFonts w:ascii="宋体" w:hAnsi="宋体" w:eastAsia="宋体" w:cs="宋体"/>
          <w:spacing w:val="8"/>
          <w:sz w:val="21"/>
          <w:szCs w:val="21"/>
        </w:rPr>
        <w:t>计算公式：吨原煤生产耗电量(千瓦时/吨)=10000×原煤生产用电量(万千瓦时</w:t>
      </w:r>
      <w:r>
        <w:rPr>
          <w:rFonts w:ascii="宋体" w:hAnsi="宋体" w:eastAsia="宋体" w:cs="宋体"/>
          <w:spacing w:val="7"/>
          <w:sz w:val="21"/>
          <w:szCs w:val="21"/>
        </w:rPr>
        <w:t>)/原煤产量(吨)</w:t>
      </w:r>
    </w:p>
    <w:p w14:paraId="318E6762">
      <w:pPr>
        <w:spacing w:before="111" w:line="219" w:lineRule="auto"/>
        <w:ind w:left="413"/>
        <w:rPr>
          <w:rFonts w:ascii="宋体" w:hAnsi="宋体" w:eastAsia="宋体" w:cs="宋体"/>
          <w:sz w:val="21"/>
          <w:szCs w:val="21"/>
        </w:rPr>
      </w:pPr>
      <w:r>
        <w:rPr>
          <w:rFonts w:ascii="宋体" w:hAnsi="宋体" w:eastAsia="宋体" w:cs="宋体"/>
          <w:spacing w:val="-1"/>
          <w:sz w:val="21"/>
          <w:szCs w:val="21"/>
        </w:rPr>
        <w:t>分子项：原煤生产用电量。见上述原煤生产</w:t>
      </w:r>
      <w:r>
        <w:rPr>
          <w:rFonts w:ascii="宋体" w:hAnsi="宋体" w:eastAsia="宋体" w:cs="宋体"/>
          <w:spacing w:val="-2"/>
          <w:sz w:val="21"/>
          <w:szCs w:val="21"/>
        </w:rPr>
        <w:t>综合能源消费量的说明。</w:t>
      </w:r>
    </w:p>
    <w:p w14:paraId="0D96F2EC">
      <w:pPr>
        <w:spacing w:before="111" w:line="219" w:lineRule="auto"/>
        <w:ind w:left="413"/>
        <w:rPr>
          <w:rFonts w:ascii="宋体" w:hAnsi="宋体" w:eastAsia="宋体" w:cs="宋体"/>
          <w:sz w:val="21"/>
          <w:szCs w:val="21"/>
        </w:rPr>
      </w:pPr>
      <w:r>
        <w:rPr>
          <w:rFonts w:ascii="宋体" w:hAnsi="宋体" w:eastAsia="宋体" w:cs="宋体"/>
          <w:spacing w:val="-3"/>
          <w:sz w:val="21"/>
          <w:szCs w:val="21"/>
        </w:rPr>
        <w:t>分母项：原煤产量。同原煤生产综合能源消费量的说明。</w:t>
      </w:r>
    </w:p>
    <w:p w14:paraId="799DEE48">
      <w:pPr>
        <w:spacing w:before="107" w:line="222" w:lineRule="auto"/>
        <w:ind w:left="416"/>
        <w:rPr>
          <w:rFonts w:ascii="黑体" w:hAnsi="黑体" w:eastAsia="黑体" w:cs="黑体"/>
          <w:sz w:val="21"/>
          <w:szCs w:val="21"/>
        </w:rPr>
      </w:pPr>
      <w:r>
        <w:rPr>
          <w:rFonts w:ascii="黑体" w:hAnsi="黑体" w:eastAsia="黑体" w:cs="黑体"/>
          <w:b/>
          <w:bCs/>
          <w:spacing w:val="-4"/>
          <w:sz w:val="21"/>
          <w:szCs w:val="21"/>
        </w:rPr>
        <w:t>洗煤电力单耗</w:t>
      </w:r>
    </w:p>
    <w:p w14:paraId="66E1558B">
      <w:pPr>
        <w:spacing w:before="111" w:line="219" w:lineRule="auto"/>
        <w:ind w:left="413"/>
        <w:rPr>
          <w:rFonts w:ascii="宋体" w:hAnsi="宋体" w:eastAsia="宋体" w:cs="宋体"/>
          <w:sz w:val="21"/>
          <w:szCs w:val="21"/>
        </w:rPr>
      </w:pPr>
      <w:r>
        <w:rPr>
          <w:rFonts w:ascii="宋体" w:hAnsi="宋体" w:eastAsia="宋体" w:cs="宋体"/>
          <w:spacing w:val="4"/>
          <w:sz w:val="21"/>
          <w:szCs w:val="21"/>
        </w:rPr>
        <w:t>计算公式：洗煤电力单耗(千瓦时/吨)=10000×洗煤生产过程耗电量(万千</w:t>
      </w:r>
      <w:r>
        <w:rPr>
          <w:rFonts w:ascii="宋体" w:hAnsi="宋体" w:eastAsia="宋体" w:cs="宋体"/>
          <w:spacing w:val="3"/>
          <w:sz w:val="21"/>
          <w:szCs w:val="21"/>
        </w:rPr>
        <w:t>瓦时)/入洗原煤量(吨)</w:t>
      </w:r>
    </w:p>
    <w:p w14:paraId="1EDE031B">
      <w:pPr>
        <w:spacing w:before="111" w:line="268" w:lineRule="auto"/>
        <w:ind w:left="3" w:right="113" w:firstLine="410"/>
        <w:rPr>
          <w:rFonts w:ascii="宋体" w:hAnsi="宋体" w:eastAsia="宋体" w:cs="宋体"/>
          <w:sz w:val="21"/>
          <w:szCs w:val="21"/>
        </w:rPr>
      </w:pPr>
      <w:r>
        <w:rPr>
          <w:rFonts w:ascii="宋体" w:hAnsi="宋体" w:eastAsia="宋体" w:cs="宋体"/>
          <w:spacing w:val="-2"/>
          <w:sz w:val="21"/>
          <w:szCs w:val="21"/>
        </w:rPr>
        <w:t>分子项：洗煤生产过程耗电量。按电力部门结算的电量计算，不包括洗煤厂向外转供的电量，以及</w:t>
      </w:r>
      <w:r>
        <w:rPr>
          <w:rFonts w:ascii="宋体" w:hAnsi="宋体" w:eastAsia="宋体" w:cs="宋体"/>
          <w:spacing w:val="6"/>
          <w:sz w:val="21"/>
          <w:szCs w:val="21"/>
        </w:rPr>
        <w:t xml:space="preserve"> </w:t>
      </w:r>
      <w:r>
        <w:rPr>
          <w:rFonts w:ascii="宋体" w:hAnsi="宋体" w:eastAsia="宋体" w:cs="宋体"/>
          <w:spacing w:val="4"/>
          <w:sz w:val="21"/>
          <w:szCs w:val="21"/>
        </w:rPr>
        <w:t>与洗煤生产无直接关系的各种用电量(如居民生活用电、基建工程用电、文化福</w:t>
      </w:r>
      <w:r>
        <w:rPr>
          <w:rFonts w:ascii="宋体" w:hAnsi="宋体" w:eastAsia="宋体" w:cs="宋体"/>
          <w:spacing w:val="3"/>
          <w:sz w:val="21"/>
          <w:szCs w:val="21"/>
        </w:rPr>
        <w:t>利设施用电等)。</w:t>
      </w:r>
    </w:p>
    <w:p w14:paraId="1AE569A8">
      <w:pPr>
        <w:spacing w:before="111" w:line="264" w:lineRule="auto"/>
        <w:ind w:left="3" w:right="89" w:firstLine="410"/>
        <w:rPr>
          <w:rFonts w:ascii="宋体" w:hAnsi="宋体" w:eastAsia="宋体" w:cs="宋体"/>
          <w:sz w:val="21"/>
          <w:szCs w:val="21"/>
        </w:rPr>
      </w:pPr>
      <w:r>
        <w:rPr>
          <w:rFonts w:ascii="宋体" w:hAnsi="宋体" w:eastAsia="宋体" w:cs="宋体"/>
          <w:spacing w:val="9"/>
          <w:sz w:val="21"/>
          <w:szCs w:val="21"/>
        </w:rPr>
        <w:t>分母项：入洗原煤量。指从入厂毛煤中拣出的</w:t>
      </w:r>
      <w:r>
        <w:rPr>
          <w:rFonts w:ascii="宋体" w:hAnsi="宋体" w:eastAsia="宋体" w:cs="宋体"/>
          <w:spacing w:val="8"/>
          <w:sz w:val="21"/>
          <w:szCs w:val="21"/>
        </w:rPr>
        <w:t>不计原煤产量的大块矸石(一般指50毫米以上)后</w:t>
      </w:r>
      <w:r>
        <w:rPr>
          <w:rFonts w:ascii="宋体" w:hAnsi="宋体" w:eastAsia="宋体" w:cs="宋体"/>
          <w:sz w:val="21"/>
          <w:szCs w:val="21"/>
        </w:rPr>
        <w:t xml:space="preserve"> </w:t>
      </w:r>
      <w:r>
        <w:rPr>
          <w:rFonts w:ascii="宋体" w:hAnsi="宋体" w:eastAsia="宋体" w:cs="宋体"/>
          <w:spacing w:val="-2"/>
          <w:sz w:val="21"/>
          <w:szCs w:val="21"/>
        </w:rPr>
        <w:t>进入洗选煤过程，进行加工处理的原煤量。</w:t>
      </w:r>
    </w:p>
    <w:p w14:paraId="1681F2A4">
      <w:pPr>
        <w:pStyle w:val="2"/>
        <w:spacing w:line="397" w:lineRule="auto"/>
      </w:pPr>
    </w:p>
    <w:p w14:paraId="05FBA2DE">
      <w:pPr>
        <w:spacing w:before="68" w:line="222" w:lineRule="auto"/>
        <w:ind w:left="413"/>
        <w:rPr>
          <w:rFonts w:ascii="黑体" w:hAnsi="黑体" w:eastAsia="黑体" w:cs="黑体"/>
          <w:sz w:val="21"/>
          <w:szCs w:val="21"/>
        </w:rPr>
      </w:pPr>
      <w:r>
        <w:rPr>
          <w:rFonts w:ascii="黑体" w:hAnsi="黑体" w:eastAsia="黑体" w:cs="黑体"/>
          <w:spacing w:val="11"/>
          <w:sz w:val="21"/>
          <w:szCs w:val="21"/>
        </w:rPr>
        <w:t>石油和天然气(07)</w:t>
      </w:r>
    </w:p>
    <w:p w14:paraId="1E4131EE">
      <w:pPr>
        <w:spacing w:before="118" w:line="222" w:lineRule="auto"/>
        <w:ind w:left="413"/>
        <w:rPr>
          <w:rFonts w:ascii="黑体" w:hAnsi="黑体" w:eastAsia="黑体" w:cs="黑体"/>
          <w:sz w:val="21"/>
          <w:szCs w:val="21"/>
        </w:rPr>
      </w:pPr>
      <w:r>
        <w:rPr>
          <w:rFonts w:ascii="黑体" w:hAnsi="黑体" w:eastAsia="黑体" w:cs="黑体"/>
          <w:spacing w:val="-2"/>
          <w:sz w:val="21"/>
          <w:szCs w:val="21"/>
        </w:rPr>
        <w:t>单位油气产量综合能耗</w:t>
      </w:r>
    </w:p>
    <w:p w14:paraId="0AA62434">
      <w:pPr>
        <w:spacing w:line="222" w:lineRule="auto"/>
        <w:rPr>
          <w:rFonts w:ascii="黑体" w:hAnsi="黑体" w:eastAsia="黑体" w:cs="黑体"/>
          <w:sz w:val="21"/>
          <w:szCs w:val="21"/>
        </w:rPr>
        <w:sectPr>
          <w:headerReference r:id="rId31" w:type="default"/>
          <w:pgSz w:w="11910" w:h="16840"/>
          <w:pgMar w:top="1048" w:right="1184" w:bottom="400" w:left="1246" w:header="838" w:footer="0" w:gutter="0"/>
          <w:cols w:space="720" w:num="1"/>
        </w:sectPr>
      </w:pPr>
    </w:p>
    <w:p w14:paraId="307F6C4D">
      <w:pPr>
        <w:pStyle w:val="2"/>
        <w:spacing w:line="355" w:lineRule="auto"/>
      </w:pPr>
    </w:p>
    <w:p w14:paraId="0C39A84C">
      <w:pPr>
        <w:spacing w:before="68" w:line="370" w:lineRule="exact"/>
        <w:ind w:right="36"/>
        <w:jc w:val="right"/>
        <w:rPr>
          <w:rFonts w:ascii="宋体" w:hAnsi="宋体" w:eastAsia="宋体" w:cs="宋体"/>
          <w:sz w:val="21"/>
          <w:szCs w:val="21"/>
        </w:rPr>
      </w:pPr>
      <w:r>
        <w:rPr>
          <w:rFonts w:ascii="宋体" w:hAnsi="宋体" w:eastAsia="宋体" w:cs="宋体"/>
          <w:spacing w:val="5"/>
          <w:position w:val="12"/>
          <w:sz w:val="21"/>
          <w:szCs w:val="21"/>
        </w:rPr>
        <w:t>计算公式：单位油气产量综合能耗(千克标准煤/吨)=1000×油气田生产综合能源消费量(吨标准</w:t>
      </w:r>
    </w:p>
    <w:p w14:paraId="52F97BA8">
      <w:pPr>
        <w:spacing w:line="219" w:lineRule="auto"/>
        <w:ind w:left="5470"/>
        <w:rPr>
          <w:rFonts w:ascii="宋体" w:hAnsi="宋体" w:eastAsia="宋体" w:cs="宋体"/>
          <w:sz w:val="21"/>
          <w:szCs w:val="21"/>
        </w:rPr>
      </w:pPr>
      <w:r>
        <w:rPr>
          <w:rFonts w:ascii="宋体" w:hAnsi="宋体" w:eastAsia="宋体" w:cs="宋体"/>
          <w:spacing w:val="15"/>
          <w:sz w:val="21"/>
          <w:szCs w:val="21"/>
        </w:rPr>
        <w:t>煤)/油气当量产量(吨)</w:t>
      </w:r>
    </w:p>
    <w:p w14:paraId="7C32F257">
      <w:pPr>
        <w:spacing w:before="110" w:line="263" w:lineRule="auto"/>
        <w:ind w:firstLine="430"/>
        <w:rPr>
          <w:rFonts w:ascii="宋体" w:hAnsi="宋体" w:eastAsia="宋体" w:cs="宋体"/>
          <w:sz w:val="21"/>
          <w:szCs w:val="21"/>
        </w:rPr>
      </w:pPr>
      <w:r>
        <w:rPr>
          <w:rFonts w:ascii="宋体" w:hAnsi="宋体" w:eastAsia="宋体" w:cs="宋体"/>
          <w:spacing w:val="4"/>
          <w:sz w:val="21"/>
          <w:szCs w:val="21"/>
        </w:rPr>
        <w:t>分子项：油气田生产综合能源消费量。指油气田采油(气)生产所消耗的各种能源，包括采油(</w:t>
      </w:r>
      <w:r>
        <w:rPr>
          <w:rFonts w:ascii="宋体" w:hAnsi="宋体" w:eastAsia="宋体" w:cs="宋体"/>
          <w:spacing w:val="3"/>
          <w:sz w:val="21"/>
          <w:szCs w:val="21"/>
        </w:rPr>
        <w:t>气)</w:t>
      </w:r>
      <w:r>
        <w:rPr>
          <w:rFonts w:ascii="宋体" w:hAnsi="宋体" w:eastAsia="宋体" w:cs="宋体"/>
          <w:sz w:val="21"/>
          <w:szCs w:val="21"/>
        </w:rPr>
        <w:t xml:space="preserve"> </w:t>
      </w:r>
      <w:r>
        <w:rPr>
          <w:rFonts w:ascii="宋体" w:hAnsi="宋体" w:eastAsia="宋体" w:cs="宋体"/>
          <w:spacing w:val="5"/>
          <w:sz w:val="21"/>
          <w:szCs w:val="21"/>
        </w:rPr>
        <w:t>生产和为采油(气)生产服务的辅助生产设施用能以及管理部门用能。</w:t>
      </w:r>
    </w:p>
    <w:p w14:paraId="37D28F85">
      <w:pPr>
        <w:spacing w:before="121" w:line="268" w:lineRule="auto"/>
        <w:ind w:left="430" w:right="1074"/>
        <w:rPr>
          <w:rFonts w:ascii="宋体" w:hAnsi="宋体" w:eastAsia="宋体" w:cs="宋体"/>
          <w:sz w:val="21"/>
          <w:szCs w:val="21"/>
        </w:rPr>
      </w:pPr>
      <w:r>
        <w:rPr>
          <w:rFonts w:ascii="宋体" w:hAnsi="宋体" w:eastAsia="宋体" w:cs="宋体"/>
          <w:spacing w:val="-2"/>
          <w:sz w:val="21"/>
          <w:szCs w:val="21"/>
        </w:rPr>
        <w:t>分母项：油气当量产量。指换算成统一计量单位的原油产量和天然气产量，换算关系：</w:t>
      </w:r>
      <w:r>
        <w:rPr>
          <w:rFonts w:ascii="宋体" w:hAnsi="宋体" w:eastAsia="宋体" w:cs="宋体"/>
          <w:spacing w:val="15"/>
          <w:sz w:val="21"/>
          <w:szCs w:val="21"/>
        </w:rPr>
        <w:t xml:space="preserve"> </w:t>
      </w:r>
      <w:r>
        <w:rPr>
          <w:rFonts w:ascii="宋体" w:hAnsi="宋体" w:eastAsia="宋体" w:cs="宋体"/>
          <w:spacing w:val="11"/>
          <w:sz w:val="21"/>
          <w:szCs w:val="21"/>
        </w:rPr>
        <w:t>1255立方米天然气=1吨原油</w:t>
      </w:r>
    </w:p>
    <w:p w14:paraId="77375626">
      <w:pPr>
        <w:spacing w:before="98" w:line="222" w:lineRule="auto"/>
        <w:ind w:left="433"/>
        <w:rPr>
          <w:rFonts w:ascii="黑体" w:hAnsi="黑体" w:eastAsia="黑体" w:cs="黑体"/>
          <w:sz w:val="21"/>
          <w:szCs w:val="21"/>
        </w:rPr>
      </w:pPr>
      <w:r>
        <w:rPr>
          <w:rFonts w:ascii="黑体" w:hAnsi="黑体" w:eastAsia="黑体" w:cs="黑体"/>
          <w:b/>
          <w:bCs/>
          <w:spacing w:val="-4"/>
          <w:sz w:val="21"/>
          <w:szCs w:val="21"/>
        </w:rPr>
        <w:t>单位油气产量耗电</w:t>
      </w:r>
    </w:p>
    <w:p w14:paraId="6E45394E">
      <w:pPr>
        <w:spacing w:before="121" w:line="266" w:lineRule="auto"/>
        <w:ind w:left="4719" w:right="73" w:hanging="4289"/>
        <w:rPr>
          <w:rFonts w:ascii="宋体" w:hAnsi="宋体" w:eastAsia="宋体" w:cs="宋体"/>
          <w:sz w:val="21"/>
          <w:szCs w:val="21"/>
        </w:rPr>
      </w:pPr>
      <w:r>
        <w:rPr>
          <w:rFonts w:ascii="宋体" w:hAnsi="宋体" w:eastAsia="宋体" w:cs="宋体"/>
          <w:spacing w:val="7"/>
          <w:sz w:val="21"/>
          <w:szCs w:val="21"/>
        </w:rPr>
        <w:t>计算公式：单位油气产量耗电(千瓦时/吨)=10000×油气</w:t>
      </w:r>
      <w:r>
        <w:rPr>
          <w:rFonts w:ascii="宋体" w:hAnsi="宋体" w:eastAsia="宋体" w:cs="宋体"/>
          <w:spacing w:val="6"/>
          <w:sz w:val="21"/>
          <w:szCs w:val="21"/>
        </w:rPr>
        <w:t>田生产用电量(万千瓦时)/油气当量产</w:t>
      </w:r>
      <w:r>
        <w:rPr>
          <w:rFonts w:ascii="宋体" w:hAnsi="宋体" w:eastAsia="宋体" w:cs="宋体"/>
          <w:sz w:val="21"/>
          <w:szCs w:val="21"/>
        </w:rPr>
        <w:t xml:space="preserve"> </w:t>
      </w:r>
      <w:r>
        <w:rPr>
          <w:rFonts w:ascii="宋体" w:hAnsi="宋体" w:eastAsia="宋体" w:cs="宋体"/>
          <w:spacing w:val="33"/>
          <w:sz w:val="21"/>
          <w:szCs w:val="21"/>
        </w:rPr>
        <w:t>量(吨)</w:t>
      </w:r>
    </w:p>
    <w:p w14:paraId="4DEFFEE3">
      <w:pPr>
        <w:spacing w:before="93" w:line="381" w:lineRule="exact"/>
        <w:ind w:right="37"/>
        <w:jc w:val="right"/>
        <w:rPr>
          <w:rFonts w:ascii="宋体" w:hAnsi="宋体" w:eastAsia="宋体" w:cs="宋体"/>
          <w:sz w:val="21"/>
          <w:szCs w:val="21"/>
        </w:rPr>
      </w:pPr>
      <w:r>
        <w:rPr>
          <w:rFonts w:ascii="宋体" w:hAnsi="宋体" w:eastAsia="宋体" w:cs="宋体"/>
          <w:spacing w:val="8"/>
          <w:position w:val="12"/>
          <w:sz w:val="21"/>
          <w:szCs w:val="21"/>
        </w:rPr>
        <w:t>分子项：油气田生产用电量。指油气田采油(气)生产所消耗的电力，包括采油(气)生产和为采</w:t>
      </w:r>
    </w:p>
    <w:p w14:paraId="7D67851B">
      <w:pPr>
        <w:spacing w:line="219" w:lineRule="auto"/>
        <w:rPr>
          <w:rFonts w:ascii="宋体" w:hAnsi="宋体" w:eastAsia="宋体" w:cs="宋体"/>
          <w:sz w:val="21"/>
          <w:szCs w:val="21"/>
        </w:rPr>
      </w:pPr>
      <w:r>
        <w:rPr>
          <w:rFonts w:ascii="宋体" w:hAnsi="宋体" w:eastAsia="宋体" w:cs="宋体"/>
          <w:spacing w:val="6"/>
          <w:sz w:val="21"/>
          <w:szCs w:val="21"/>
        </w:rPr>
        <w:t>油(气)生产服务的辅助生产设施用电以及管理部门用电。</w:t>
      </w:r>
    </w:p>
    <w:p w14:paraId="427D748D">
      <w:pPr>
        <w:spacing w:before="101" w:line="219" w:lineRule="auto"/>
        <w:ind w:left="430"/>
        <w:rPr>
          <w:rFonts w:ascii="宋体" w:hAnsi="宋体" w:eastAsia="宋体" w:cs="宋体"/>
          <w:sz w:val="21"/>
          <w:szCs w:val="21"/>
        </w:rPr>
      </w:pPr>
      <w:r>
        <w:rPr>
          <w:rFonts w:ascii="宋体" w:hAnsi="宋体" w:eastAsia="宋体" w:cs="宋体"/>
          <w:spacing w:val="-3"/>
          <w:sz w:val="21"/>
          <w:szCs w:val="21"/>
        </w:rPr>
        <w:t>分母项：油气当量产量。解释同上。</w:t>
      </w:r>
    </w:p>
    <w:p w14:paraId="7E9C6B6E">
      <w:pPr>
        <w:pStyle w:val="2"/>
        <w:spacing w:line="405" w:lineRule="auto"/>
      </w:pPr>
    </w:p>
    <w:p w14:paraId="23C30B6C">
      <w:pPr>
        <w:spacing w:before="69" w:line="222" w:lineRule="auto"/>
        <w:ind w:left="433"/>
        <w:rPr>
          <w:rFonts w:ascii="黑体" w:hAnsi="黑体" w:eastAsia="黑体" w:cs="黑体"/>
          <w:sz w:val="21"/>
          <w:szCs w:val="21"/>
        </w:rPr>
      </w:pPr>
      <w:r>
        <w:rPr>
          <w:rFonts w:ascii="黑体" w:hAnsi="黑体" w:eastAsia="黑体" w:cs="黑体"/>
          <w:b/>
          <w:bCs/>
          <w:spacing w:val="10"/>
          <w:sz w:val="21"/>
          <w:szCs w:val="21"/>
        </w:rPr>
        <w:t>黑色金属矿(08)</w:t>
      </w:r>
    </w:p>
    <w:p w14:paraId="343AFB47">
      <w:pPr>
        <w:spacing w:before="107" w:line="222" w:lineRule="auto"/>
        <w:ind w:left="433"/>
        <w:rPr>
          <w:rFonts w:ascii="黑体" w:hAnsi="黑体" w:eastAsia="黑体" w:cs="黑体"/>
          <w:sz w:val="21"/>
          <w:szCs w:val="21"/>
        </w:rPr>
      </w:pPr>
      <w:r>
        <w:rPr>
          <w:rFonts w:ascii="黑体" w:hAnsi="黑体" w:eastAsia="黑体" w:cs="黑体"/>
          <w:b/>
          <w:bCs/>
          <w:spacing w:val="-3"/>
          <w:sz w:val="21"/>
          <w:szCs w:val="21"/>
        </w:rPr>
        <w:t>铁矿采矿工序单位能耗</w:t>
      </w:r>
    </w:p>
    <w:p w14:paraId="6AE5217D">
      <w:pPr>
        <w:spacing w:before="110" w:line="268" w:lineRule="auto"/>
        <w:ind w:left="430" w:right="89"/>
        <w:jc w:val="right"/>
        <w:rPr>
          <w:rFonts w:ascii="宋体" w:hAnsi="宋体" w:eastAsia="宋体" w:cs="宋体"/>
          <w:sz w:val="21"/>
          <w:szCs w:val="21"/>
        </w:rPr>
      </w:pPr>
      <w:r>
        <w:rPr>
          <w:rFonts w:ascii="宋体" w:hAnsi="宋体" w:eastAsia="宋体" w:cs="宋体"/>
          <w:spacing w:val="7"/>
          <w:sz w:val="21"/>
          <w:szCs w:val="21"/>
        </w:rPr>
        <w:t>计算公式：铁矿采矿工序单位能耗(千克标</w:t>
      </w:r>
      <w:r>
        <w:rPr>
          <w:rFonts w:ascii="宋体" w:hAnsi="宋体" w:eastAsia="宋体" w:cs="宋体"/>
          <w:spacing w:val="6"/>
          <w:sz w:val="21"/>
          <w:szCs w:val="21"/>
        </w:rPr>
        <w:t>准煤/吨)=1000×铁矿采矿工序净耗能量(吨标准煤)</w:t>
      </w:r>
      <w:r>
        <w:rPr>
          <w:rFonts w:ascii="宋体" w:hAnsi="宋体" w:eastAsia="宋体" w:cs="宋体"/>
          <w:sz w:val="21"/>
          <w:szCs w:val="21"/>
        </w:rPr>
        <w:t xml:space="preserve"> </w:t>
      </w:r>
      <w:r>
        <w:rPr>
          <w:rFonts w:ascii="宋体" w:hAnsi="宋体" w:eastAsia="宋体" w:cs="宋体"/>
          <w:spacing w:val="15"/>
          <w:sz w:val="21"/>
          <w:szCs w:val="21"/>
        </w:rPr>
        <w:t>/铁矿采剥(掘)总量或采出原矿量(吨)</w:t>
      </w:r>
    </w:p>
    <w:p w14:paraId="6560D330">
      <w:pPr>
        <w:spacing w:before="110" w:line="266" w:lineRule="auto"/>
        <w:ind w:right="38" w:firstLine="430"/>
        <w:rPr>
          <w:rFonts w:ascii="宋体" w:hAnsi="宋体" w:eastAsia="宋体" w:cs="宋体"/>
          <w:sz w:val="21"/>
          <w:szCs w:val="21"/>
        </w:rPr>
      </w:pPr>
      <w:r>
        <w:rPr>
          <w:rFonts w:ascii="宋体" w:hAnsi="宋体" w:eastAsia="宋体" w:cs="宋体"/>
          <w:spacing w:val="-2"/>
          <w:sz w:val="21"/>
          <w:szCs w:val="21"/>
        </w:rPr>
        <w:t>分子项：铁矿采矿工序净耗能量。指报告期内铁矿采矿工序消耗的各种能源，扣除工序内向外提供</w:t>
      </w:r>
      <w:r>
        <w:rPr>
          <w:rFonts w:ascii="宋体" w:hAnsi="宋体" w:eastAsia="宋体" w:cs="宋体"/>
          <w:spacing w:val="12"/>
          <w:sz w:val="21"/>
          <w:szCs w:val="21"/>
        </w:rPr>
        <w:t xml:space="preserve"> </w:t>
      </w:r>
      <w:r>
        <w:rPr>
          <w:rFonts w:ascii="宋体" w:hAnsi="宋体" w:eastAsia="宋体" w:cs="宋体"/>
          <w:spacing w:val="-9"/>
          <w:sz w:val="21"/>
          <w:szCs w:val="21"/>
        </w:rPr>
        <w:t>的能源量。</w:t>
      </w:r>
    </w:p>
    <w:p w14:paraId="74DB2B45">
      <w:pPr>
        <w:spacing w:before="116" w:line="274" w:lineRule="auto"/>
        <w:ind w:right="37" w:firstLine="430"/>
        <w:rPr>
          <w:rFonts w:ascii="宋体" w:hAnsi="宋体" w:eastAsia="宋体" w:cs="宋体"/>
          <w:sz w:val="21"/>
          <w:szCs w:val="21"/>
        </w:rPr>
      </w:pPr>
      <w:r>
        <w:rPr>
          <w:rFonts w:ascii="宋体" w:hAnsi="宋体" w:eastAsia="宋体" w:cs="宋体"/>
          <w:spacing w:val="8"/>
          <w:sz w:val="21"/>
          <w:szCs w:val="21"/>
        </w:rPr>
        <w:t>分母项：铁矿采剥(掘)总量或采出原矿量。指露天采矿用采剥(掘)总量和地下采矿用采出原矿</w:t>
      </w:r>
      <w:r>
        <w:rPr>
          <w:rFonts w:ascii="宋体" w:hAnsi="宋体" w:eastAsia="宋体" w:cs="宋体"/>
          <w:spacing w:val="3"/>
          <w:sz w:val="21"/>
          <w:szCs w:val="21"/>
        </w:rPr>
        <w:t xml:space="preserve"> </w:t>
      </w:r>
      <w:r>
        <w:rPr>
          <w:rFonts w:ascii="宋体" w:hAnsi="宋体" w:eastAsia="宋体" w:cs="宋体"/>
          <w:spacing w:val="-10"/>
          <w:sz w:val="21"/>
          <w:szCs w:val="21"/>
        </w:rPr>
        <w:t>量。</w:t>
      </w:r>
    </w:p>
    <w:p w14:paraId="205D3674">
      <w:pPr>
        <w:spacing w:before="94" w:line="222" w:lineRule="auto"/>
        <w:ind w:left="433"/>
        <w:rPr>
          <w:rFonts w:ascii="黑体" w:hAnsi="黑体" w:eastAsia="黑体" w:cs="黑体"/>
          <w:sz w:val="21"/>
          <w:szCs w:val="21"/>
        </w:rPr>
      </w:pPr>
      <w:r>
        <w:rPr>
          <w:rFonts w:ascii="黑体" w:hAnsi="黑体" w:eastAsia="黑体" w:cs="黑体"/>
          <w:b/>
          <w:bCs/>
          <w:spacing w:val="-3"/>
          <w:sz w:val="21"/>
          <w:szCs w:val="21"/>
        </w:rPr>
        <w:t>铁矿选矿工序单位能耗</w:t>
      </w:r>
    </w:p>
    <w:p w14:paraId="4306F4D7">
      <w:pPr>
        <w:spacing w:before="111" w:line="268" w:lineRule="auto"/>
        <w:ind w:left="5569" w:right="89" w:hanging="5139"/>
        <w:rPr>
          <w:rFonts w:ascii="宋体" w:hAnsi="宋体" w:eastAsia="宋体" w:cs="宋体"/>
          <w:sz w:val="21"/>
          <w:szCs w:val="21"/>
        </w:rPr>
      </w:pPr>
      <w:r>
        <w:rPr>
          <w:rFonts w:ascii="宋体" w:hAnsi="宋体" w:eastAsia="宋体" w:cs="宋体"/>
          <w:spacing w:val="7"/>
          <w:sz w:val="21"/>
          <w:szCs w:val="21"/>
        </w:rPr>
        <w:t>计算公式：铁矿选矿工序单位能耗(千克标</w:t>
      </w:r>
      <w:r>
        <w:rPr>
          <w:rFonts w:ascii="宋体" w:hAnsi="宋体" w:eastAsia="宋体" w:cs="宋体"/>
          <w:spacing w:val="6"/>
          <w:sz w:val="21"/>
          <w:szCs w:val="21"/>
        </w:rPr>
        <w:t>准煤/吨)=1000×铁矿选矿工序净耗能量(吨标准煤)</w:t>
      </w:r>
      <w:r>
        <w:rPr>
          <w:rFonts w:ascii="宋体" w:hAnsi="宋体" w:eastAsia="宋体" w:cs="宋体"/>
          <w:sz w:val="21"/>
          <w:szCs w:val="21"/>
        </w:rPr>
        <w:t xml:space="preserve"> </w:t>
      </w:r>
      <w:r>
        <w:rPr>
          <w:rFonts w:ascii="宋体" w:hAnsi="宋体" w:eastAsia="宋体" w:cs="宋体"/>
          <w:spacing w:val="6"/>
          <w:sz w:val="21"/>
          <w:szCs w:val="21"/>
        </w:rPr>
        <w:t>/铁矿处理原矿量(吨)</w:t>
      </w:r>
    </w:p>
    <w:p w14:paraId="2642092B">
      <w:pPr>
        <w:spacing w:before="108" w:line="266" w:lineRule="auto"/>
        <w:ind w:right="38" w:firstLine="430"/>
        <w:rPr>
          <w:rFonts w:ascii="宋体" w:hAnsi="宋体" w:eastAsia="宋体" w:cs="宋体"/>
          <w:sz w:val="21"/>
          <w:szCs w:val="21"/>
        </w:rPr>
      </w:pPr>
      <w:r>
        <w:rPr>
          <w:rFonts w:ascii="宋体" w:hAnsi="宋体" w:eastAsia="宋体" w:cs="宋体"/>
          <w:spacing w:val="-2"/>
          <w:sz w:val="21"/>
          <w:szCs w:val="21"/>
        </w:rPr>
        <w:t>分子项：铁矿选矿工序净耗能量。指报告期内铁矿选矿工序消耗的各种能源，扣除工序内向外提供</w:t>
      </w:r>
      <w:r>
        <w:rPr>
          <w:rFonts w:ascii="宋体" w:hAnsi="宋体" w:eastAsia="宋体" w:cs="宋体"/>
          <w:spacing w:val="12"/>
          <w:sz w:val="21"/>
          <w:szCs w:val="21"/>
        </w:rPr>
        <w:t xml:space="preserve"> </w:t>
      </w:r>
      <w:r>
        <w:rPr>
          <w:rFonts w:ascii="宋体" w:hAnsi="宋体" w:eastAsia="宋体" w:cs="宋体"/>
          <w:spacing w:val="-9"/>
          <w:sz w:val="21"/>
          <w:szCs w:val="21"/>
        </w:rPr>
        <w:t>的能源量。</w:t>
      </w:r>
    </w:p>
    <w:p w14:paraId="33A51B5A">
      <w:pPr>
        <w:spacing w:before="116" w:line="218" w:lineRule="auto"/>
        <w:ind w:left="430"/>
        <w:rPr>
          <w:rFonts w:ascii="宋体" w:hAnsi="宋体" w:eastAsia="宋体" w:cs="宋体"/>
          <w:sz w:val="21"/>
          <w:szCs w:val="21"/>
        </w:rPr>
      </w:pPr>
      <w:r>
        <w:rPr>
          <w:rFonts w:ascii="宋体" w:hAnsi="宋体" w:eastAsia="宋体" w:cs="宋体"/>
          <w:spacing w:val="-2"/>
          <w:sz w:val="21"/>
          <w:szCs w:val="21"/>
        </w:rPr>
        <w:t>分母项：铁矿处理原矿量。指报告期内选矿工序所处理的原矿量。</w:t>
      </w:r>
    </w:p>
    <w:p w14:paraId="58F37FF1">
      <w:pPr>
        <w:pStyle w:val="2"/>
        <w:spacing w:line="408" w:lineRule="auto"/>
      </w:pPr>
    </w:p>
    <w:p w14:paraId="5551D3A8">
      <w:pPr>
        <w:spacing w:before="68" w:line="350" w:lineRule="exact"/>
        <w:ind w:left="433"/>
        <w:rPr>
          <w:rFonts w:ascii="黑体" w:hAnsi="黑体" w:eastAsia="黑体" w:cs="黑体"/>
          <w:sz w:val="21"/>
          <w:szCs w:val="21"/>
        </w:rPr>
      </w:pPr>
      <w:r>
        <w:rPr>
          <w:rFonts w:ascii="黑体" w:hAnsi="黑体" w:eastAsia="黑体" w:cs="黑体"/>
          <w:b/>
          <w:bCs/>
          <w:spacing w:val="14"/>
          <w:position w:val="10"/>
          <w:sz w:val="21"/>
          <w:szCs w:val="21"/>
        </w:rPr>
        <w:t>纺织品(17)</w:t>
      </w:r>
      <w:r>
        <w:rPr>
          <w:rFonts w:ascii="黑体" w:hAnsi="黑体" w:eastAsia="黑体" w:cs="黑体"/>
          <w:spacing w:val="34"/>
          <w:position w:val="10"/>
          <w:sz w:val="21"/>
          <w:szCs w:val="21"/>
        </w:rPr>
        <w:t xml:space="preserve">  </w:t>
      </w:r>
      <w:r>
        <w:rPr>
          <w:rFonts w:ascii="黑体" w:hAnsi="黑体" w:eastAsia="黑体" w:cs="黑体"/>
          <w:b/>
          <w:bCs/>
          <w:spacing w:val="14"/>
          <w:position w:val="10"/>
          <w:sz w:val="21"/>
          <w:szCs w:val="21"/>
        </w:rPr>
        <w:t>化学纤维(28)</w:t>
      </w:r>
    </w:p>
    <w:p w14:paraId="72CE7214">
      <w:pPr>
        <w:spacing w:before="1" w:line="220" w:lineRule="auto"/>
        <w:ind w:left="433"/>
        <w:rPr>
          <w:rFonts w:ascii="黑体" w:hAnsi="黑体" w:eastAsia="黑体" w:cs="黑体"/>
          <w:sz w:val="21"/>
          <w:szCs w:val="21"/>
        </w:rPr>
      </w:pPr>
      <w:r>
        <w:rPr>
          <w:rFonts w:ascii="黑体" w:hAnsi="黑体" w:eastAsia="黑体" w:cs="黑体"/>
          <w:b/>
          <w:bCs/>
          <w:spacing w:val="5"/>
          <w:sz w:val="21"/>
          <w:szCs w:val="21"/>
        </w:rPr>
        <w:t>吨粘胶纤维综合能耗(短纤)</w:t>
      </w:r>
    </w:p>
    <w:p w14:paraId="0B221C29">
      <w:pPr>
        <w:spacing w:before="113" w:line="268" w:lineRule="auto"/>
        <w:ind w:left="6219" w:right="35" w:hanging="5789"/>
        <w:rPr>
          <w:rFonts w:ascii="宋体" w:hAnsi="宋体" w:eastAsia="宋体" w:cs="宋体"/>
          <w:sz w:val="21"/>
          <w:szCs w:val="21"/>
        </w:rPr>
      </w:pPr>
      <w:r>
        <w:rPr>
          <w:rFonts w:ascii="宋体" w:hAnsi="宋体" w:eastAsia="宋体" w:cs="宋体"/>
          <w:spacing w:val="6"/>
          <w:sz w:val="21"/>
          <w:szCs w:val="21"/>
        </w:rPr>
        <w:t>计算公式：吨粘胶纤维综合能耗(短纤)</w:t>
      </w:r>
      <w:r>
        <w:rPr>
          <w:rFonts w:ascii="宋体" w:hAnsi="宋体" w:eastAsia="宋体" w:cs="宋体"/>
          <w:spacing w:val="73"/>
          <w:sz w:val="21"/>
          <w:szCs w:val="21"/>
        </w:rPr>
        <w:t xml:space="preserve"> </w:t>
      </w:r>
      <w:r>
        <w:rPr>
          <w:rFonts w:ascii="宋体" w:hAnsi="宋体" w:eastAsia="宋体" w:cs="宋体"/>
          <w:spacing w:val="6"/>
          <w:sz w:val="21"/>
          <w:szCs w:val="21"/>
        </w:rPr>
        <w:t>(千克标准煤/吨)=1000×企业生产综合能源消费量(吨</w:t>
      </w:r>
      <w:r>
        <w:rPr>
          <w:rFonts w:ascii="宋体" w:hAnsi="宋体" w:eastAsia="宋体" w:cs="宋体"/>
          <w:sz w:val="21"/>
          <w:szCs w:val="21"/>
        </w:rPr>
        <w:t xml:space="preserve"> </w:t>
      </w:r>
      <w:r>
        <w:rPr>
          <w:rFonts w:ascii="宋体" w:hAnsi="宋体" w:eastAsia="宋体" w:cs="宋体"/>
          <w:spacing w:val="11"/>
          <w:sz w:val="21"/>
          <w:szCs w:val="21"/>
        </w:rPr>
        <w:t>标准煤)/粘胶短纤维产量(吨)</w:t>
      </w:r>
    </w:p>
    <w:p w14:paraId="5BCEBA91">
      <w:pPr>
        <w:spacing w:before="106" w:line="221" w:lineRule="auto"/>
        <w:ind w:left="433"/>
        <w:rPr>
          <w:rFonts w:ascii="黑体" w:hAnsi="黑体" w:eastAsia="黑体" w:cs="黑体"/>
          <w:sz w:val="21"/>
          <w:szCs w:val="21"/>
        </w:rPr>
      </w:pPr>
      <w:r>
        <w:rPr>
          <w:rFonts w:ascii="黑体" w:hAnsi="黑体" w:eastAsia="黑体" w:cs="黑体"/>
          <w:b/>
          <w:bCs/>
          <w:spacing w:val="5"/>
          <w:sz w:val="21"/>
          <w:szCs w:val="21"/>
        </w:rPr>
        <w:t>吨粘胶纤维用电量(短纤)</w:t>
      </w:r>
    </w:p>
    <w:p w14:paraId="03682C70">
      <w:pPr>
        <w:spacing w:before="113" w:line="268" w:lineRule="auto"/>
        <w:ind w:left="5569" w:right="74" w:hanging="5139"/>
        <w:rPr>
          <w:rFonts w:ascii="宋体" w:hAnsi="宋体" w:eastAsia="宋体" w:cs="宋体"/>
          <w:sz w:val="21"/>
          <w:szCs w:val="21"/>
        </w:rPr>
      </w:pPr>
      <w:r>
        <w:rPr>
          <w:rFonts w:ascii="宋体" w:hAnsi="宋体" w:eastAsia="宋体" w:cs="宋体"/>
          <w:spacing w:val="8"/>
          <w:sz w:val="21"/>
          <w:szCs w:val="21"/>
        </w:rPr>
        <w:t>计算公式：吨粘胶纤维用电量(短纤)</w:t>
      </w:r>
      <w:r>
        <w:rPr>
          <w:rFonts w:ascii="宋体" w:hAnsi="宋体" w:eastAsia="宋体" w:cs="宋体"/>
          <w:spacing w:val="49"/>
          <w:sz w:val="21"/>
          <w:szCs w:val="21"/>
        </w:rPr>
        <w:t xml:space="preserve"> </w:t>
      </w:r>
      <w:r>
        <w:rPr>
          <w:rFonts w:ascii="宋体" w:hAnsi="宋体" w:eastAsia="宋体" w:cs="宋体"/>
          <w:spacing w:val="8"/>
          <w:sz w:val="21"/>
          <w:szCs w:val="21"/>
        </w:rPr>
        <w:t>(千瓦时/吨)=10000×企业生产用电</w:t>
      </w:r>
      <w:r>
        <w:rPr>
          <w:rFonts w:ascii="宋体" w:hAnsi="宋体" w:eastAsia="宋体" w:cs="宋体"/>
          <w:spacing w:val="7"/>
          <w:sz w:val="21"/>
          <w:szCs w:val="21"/>
        </w:rPr>
        <w:t>量(万千瓦时)/粘胶</w:t>
      </w:r>
      <w:r>
        <w:rPr>
          <w:rFonts w:ascii="宋体" w:hAnsi="宋体" w:eastAsia="宋体" w:cs="宋体"/>
          <w:sz w:val="21"/>
          <w:szCs w:val="21"/>
        </w:rPr>
        <w:t xml:space="preserve"> </w:t>
      </w:r>
      <w:r>
        <w:rPr>
          <w:rFonts w:ascii="宋体" w:hAnsi="宋体" w:eastAsia="宋体" w:cs="宋体"/>
          <w:spacing w:val="13"/>
          <w:sz w:val="21"/>
          <w:szCs w:val="21"/>
        </w:rPr>
        <w:t>短纤维产量(吨)</w:t>
      </w:r>
    </w:p>
    <w:p w14:paraId="3C2C336E">
      <w:pPr>
        <w:spacing w:before="111" w:line="278" w:lineRule="auto"/>
        <w:ind w:right="32" w:firstLine="430"/>
        <w:jc w:val="both"/>
        <w:rPr>
          <w:rFonts w:ascii="宋体" w:hAnsi="宋体" w:eastAsia="宋体" w:cs="宋体"/>
          <w:sz w:val="21"/>
          <w:szCs w:val="21"/>
        </w:rPr>
      </w:pPr>
      <w:r>
        <w:rPr>
          <w:rFonts w:ascii="宋体" w:hAnsi="宋体" w:eastAsia="宋体" w:cs="宋体"/>
          <w:spacing w:val="-2"/>
          <w:sz w:val="21"/>
          <w:szCs w:val="21"/>
        </w:rPr>
        <w:t>分子项：企业生产综合能源消费量是指企业生产消费的各种能源，主要包括煤、油、电、燃气和外</w:t>
      </w:r>
      <w:r>
        <w:rPr>
          <w:rFonts w:ascii="宋体" w:hAnsi="宋体" w:eastAsia="宋体" w:cs="宋体"/>
          <w:spacing w:val="17"/>
          <w:sz w:val="21"/>
          <w:szCs w:val="21"/>
        </w:rPr>
        <w:t xml:space="preserve"> </w:t>
      </w:r>
      <w:r>
        <w:rPr>
          <w:rFonts w:ascii="宋体" w:hAnsi="宋体" w:eastAsia="宋体" w:cs="宋体"/>
          <w:spacing w:val="-2"/>
          <w:sz w:val="21"/>
          <w:szCs w:val="21"/>
        </w:rPr>
        <w:t>购热力。生产消费包括与生产有关的直接或间接的消费量，即直接用于产品生产过程的消费量和辅助生</w:t>
      </w:r>
      <w:r>
        <w:rPr>
          <w:rFonts w:ascii="宋体" w:hAnsi="宋体" w:eastAsia="宋体" w:cs="宋体"/>
          <w:spacing w:val="8"/>
          <w:sz w:val="21"/>
          <w:szCs w:val="21"/>
        </w:rPr>
        <w:t xml:space="preserve"> </w:t>
      </w:r>
      <w:r>
        <w:rPr>
          <w:rFonts w:ascii="宋体" w:hAnsi="宋体" w:eastAsia="宋体" w:cs="宋体"/>
          <w:spacing w:val="-5"/>
          <w:sz w:val="21"/>
          <w:szCs w:val="21"/>
        </w:rPr>
        <w:t>产设施的消费量。</w:t>
      </w:r>
    </w:p>
    <w:p w14:paraId="2BBCFAFE">
      <w:pPr>
        <w:spacing w:before="131" w:line="219" w:lineRule="auto"/>
        <w:ind w:left="430"/>
        <w:rPr>
          <w:rFonts w:ascii="宋体" w:hAnsi="宋体" w:eastAsia="宋体" w:cs="宋体"/>
          <w:sz w:val="21"/>
          <w:szCs w:val="21"/>
        </w:rPr>
      </w:pPr>
      <w:r>
        <w:rPr>
          <w:rFonts w:ascii="宋体" w:hAnsi="宋体" w:eastAsia="宋体" w:cs="宋体"/>
          <w:spacing w:val="2"/>
          <w:sz w:val="21"/>
          <w:szCs w:val="21"/>
        </w:rPr>
        <w:t>企业生产综合能源消费量=各种能源用于生产消费折标准煤之和一</w:t>
      </w:r>
      <w:r>
        <w:rPr>
          <w:rFonts w:ascii="宋体" w:hAnsi="宋体" w:eastAsia="宋体" w:cs="宋体"/>
          <w:spacing w:val="1"/>
          <w:sz w:val="21"/>
          <w:szCs w:val="21"/>
        </w:rPr>
        <w:t>二次能源产出量折标准煤之和</w:t>
      </w:r>
    </w:p>
    <w:p w14:paraId="054FFD7F">
      <w:pPr>
        <w:spacing w:line="219" w:lineRule="auto"/>
        <w:rPr>
          <w:rFonts w:ascii="宋体" w:hAnsi="宋体" w:eastAsia="宋体" w:cs="宋体"/>
          <w:sz w:val="21"/>
          <w:szCs w:val="21"/>
        </w:rPr>
        <w:sectPr>
          <w:headerReference r:id="rId32" w:type="default"/>
          <w:pgSz w:w="11910" w:h="16840"/>
          <w:pgMar w:top="1052" w:right="1244" w:bottom="400" w:left="1239" w:header="838" w:footer="0" w:gutter="0"/>
          <w:cols w:space="720" w:num="1"/>
        </w:sectPr>
      </w:pPr>
    </w:p>
    <w:p w14:paraId="3F476147">
      <w:pPr>
        <w:pStyle w:val="2"/>
        <w:spacing w:line="345" w:lineRule="auto"/>
      </w:pPr>
    </w:p>
    <w:p w14:paraId="08694601">
      <w:pPr>
        <w:spacing w:before="69" w:line="219" w:lineRule="auto"/>
        <w:ind w:left="165"/>
        <w:rPr>
          <w:rFonts w:ascii="宋体" w:hAnsi="宋体" w:eastAsia="宋体" w:cs="宋体"/>
          <w:sz w:val="21"/>
          <w:szCs w:val="21"/>
        </w:rPr>
      </w:pPr>
      <w:r>
        <w:rPr>
          <w:rFonts w:ascii="宋体" w:hAnsi="宋体" w:eastAsia="宋体" w:cs="宋体"/>
          <w:spacing w:val="-7"/>
          <w:sz w:val="21"/>
          <w:szCs w:val="21"/>
        </w:rPr>
        <w:t>-回收利用的余热余能折标准煤。</w:t>
      </w:r>
    </w:p>
    <w:p w14:paraId="48F524E9">
      <w:pPr>
        <w:spacing w:before="118" w:line="264" w:lineRule="auto"/>
        <w:ind w:left="4" w:right="128" w:firstLine="430"/>
        <w:rPr>
          <w:rFonts w:ascii="宋体" w:hAnsi="宋体" w:eastAsia="宋体" w:cs="宋体"/>
          <w:sz w:val="21"/>
          <w:szCs w:val="21"/>
        </w:rPr>
      </w:pPr>
      <w:r>
        <w:rPr>
          <w:rFonts w:ascii="宋体" w:hAnsi="宋体" w:eastAsia="宋体" w:cs="宋体"/>
          <w:spacing w:val="-1"/>
          <w:sz w:val="21"/>
          <w:szCs w:val="21"/>
        </w:rPr>
        <w:t>企业生产用电量是指工业企业在统计报告期内为进行工业生产活动所使用的电量，包括生产系统、</w:t>
      </w:r>
      <w:r>
        <w:rPr>
          <w:rFonts w:ascii="宋体" w:hAnsi="宋体" w:eastAsia="宋体" w:cs="宋体"/>
          <w:sz w:val="21"/>
          <w:szCs w:val="21"/>
        </w:rPr>
        <w:t xml:space="preserve"> </w:t>
      </w:r>
      <w:r>
        <w:rPr>
          <w:rFonts w:ascii="宋体" w:hAnsi="宋体" w:eastAsia="宋体" w:cs="宋体"/>
          <w:spacing w:val="-3"/>
          <w:sz w:val="21"/>
          <w:szCs w:val="21"/>
        </w:rPr>
        <w:t>辅助生产系统、附属生产系统的用电量。</w:t>
      </w:r>
    </w:p>
    <w:p w14:paraId="34BDF5CD">
      <w:pPr>
        <w:spacing w:before="112" w:line="219" w:lineRule="auto"/>
        <w:ind w:left="435"/>
        <w:rPr>
          <w:rFonts w:ascii="宋体" w:hAnsi="宋体" w:eastAsia="宋体" w:cs="宋体"/>
          <w:sz w:val="21"/>
          <w:szCs w:val="21"/>
        </w:rPr>
      </w:pPr>
      <w:r>
        <w:rPr>
          <w:rFonts w:ascii="宋体" w:hAnsi="宋体" w:eastAsia="宋体" w:cs="宋体"/>
          <w:spacing w:val="-2"/>
          <w:sz w:val="21"/>
          <w:szCs w:val="21"/>
        </w:rPr>
        <w:t>企业生产综合能耗和用电量包括生产合格品、废次品</w:t>
      </w:r>
      <w:r>
        <w:rPr>
          <w:rFonts w:ascii="宋体" w:hAnsi="宋体" w:eastAsia="宋体" w:cs="宋体"/>
          <w:spacing w:val="-3"/>
          <w:sz w:val="21"/>
          <w:szCs w:val="21"/>
        </w:rPr>
        <w:t>的全部消耗。</w:t>
      </w:r>
    </w:p>
    <w:p w14:paraId="0A3CE6BA">
      <w:pPr>
        <w:spacing w:before="100" w:line="379" w:lineRule="exact"/>
        <w:ind w:left="435"/>
        <w:rPr>
          <w:rFonts w:ascii="宋体" w:hAnsi="宋体" w:eastAsia="宋体" w:cs="宋体"/>
          <w:sz w:val="21"/>
          <w:szCs w:val="21"/>
        </w:rPr>
      </w:pPr>
      <w:r>
        <w:rPr>
          <w:rFonts w:ascii="宋体" w:hAnsi="宋体" w:eastAsia="宋体" w:cs="宋体"/>
          <w:spacing w:val="-1"/>
          <w:position w:val="12"/>
          <w:sz w:val="21"/>
          <w:szCs w:val="21"/>
        </w:rPr>
        <w:t>分母项：粘胶短纤维产量指合格的产品产量。计算“产品单耗”的产品，只限于正式投产的产品。</w:t>
      </w:r>
    </w:p>
    <w:p w14:paraId="34A7BAAE">
      <w:pPr>
        <w:spacing w:line="218" w:lineRule="auto"/>
        <w:ind w:left="4"/>
        <w:rPr>
          <w:rFonts w:ascii="宋体" w:hAnsi="宋体" w:eastAsia="宋体" w:cs="宋体"/>
          <w:sz w:val="21"/>
          <w:szCs w:val="21"/>
        </w:rPr>
      </w:pPr>
      <w:r>
        <w:rPr>
          <w:rFonts w:ascii="宋体" w:hAnsi="宋体" w:eastAsia="宋体" w:cs="宋体"/>
          <w:spacing w:val="-1"/>
          <w:sz w:val="21"/>
          <w:szCs w:val="21"/>
        </w:rPr>
        <w:t>试制阶段的新产品、科研产品以及正式投产以前试验生产的产品，不计算单耗指</w:t>
      </w:r>
      <w:r>
        <w:rPr>
          <w:rFonts w:ascii="宋体" w:hAnsi="宋体" w:eastAsia="宋体" w:cs="宋体"/>
          <w:spacing w:val="-2"/>
          <w:sz w:val="21"/>
          <w:szCs w:val="21"/>
        </w:rPr>
        <w:t>标。</w:t>
      </w:r>
    </w:p>
    <w:p w14:paraId="659CC9F1">
      <w:pPr>
        <w:spacing w:before="110" w:line="284" w:lineRule="auto"/>
        <w:ind w:left="4" w:right="71" w:firstLine="430"/>
        <w:rPr>
          <w:rFonts w:ascii="宋体" w:hAnsi="宋体" w:eastAsia="宋体" w:cs="宋体"/>
          <w:sz w:val="21"/>
          <w:szCs w:val="21"/>
        </w:rPr>
      </w:pPr>
      <w:r>
        <w:rPr>
          <w:rFonts w:ascii="宋体" w:hAnsi="宋体" w:eastAsia="宋体" w:cs="宋体"/>
          <w:sz w:val="21"/>
          <w:szCs w:val="21"/>
        </w:rPr>
        <w:t>综合能耗类似的指标有：吨粘胶纤维综合能耗(长丝)、吨锦纶综合能耗、吨涤纶综合能耗(短纤)、</w:t>
      </w:r>
      <w:r>
        <w:rPr>
          <w:rFonts w:ascii="宋体" w:hAnsi="宋体" w:eastAsia="宋体" w:cs="宋体"/>
          <w:spacing w:val="14"/>
          <w:sz w:val="21"/>
          <w:szCs w:val="21"/>
        </w:rPr>
        <w:t xml:space="preserve"> </w:t>
      </w:r>
      <w:r>
        <w:rPr>
          <w:rFonts w:ascii="宋体" w:hAnsi="宋体" w:eastAsia="宋体" w:cs="宋体"/>
          <w:spacing w:val="8"/>
          <w:sz w:val="21"/>
          <w:szCs w:val="21"/>
        </w:rPr>
        <w:t>吨涤纶综合能耗(长丝)、吨腈纶综合能耗、吨维纶综合能耗、吨纱(线)混合数综</w:t>
      </w:r>
      <w:r>
        <w:rPr>
          <w:rFonts w:ascii="宋体" w:hAnsi="宋体" w:eastAsia="宋体" w:cs="宋体"/>
          <w:spacing w:val="7"/>
          <w:sz w:val="21"/>
          <w:szCs w:val="21"/>
        </w:rPr>
        <w:t xml:space="preserve">合能耗、万米布混 </w:t>
      </w:r>
      <w:r>
        <w:rPr>
          <w:rFonts w:ascii="宋体" w:hAnsi="宋体" w:eastAsia="宋体" w:cs="宋体"/>
          <w:spacing w:val="-3"/>
          <w:sz w:val="21"/>
          <w:szCs w:val="21"/>
        </w:rPr>
        <w:t>合数综合能耗、万米印染布综合能耗、万米丝织品综合能耗。</w:t>
      </w:r>
    </w:p>
    <w:p w14:paraId="6BFD972F">
      <w:pPr>
        <w:spacing w:before="115" w:line="304" w:lineRule="auto"/>
        <w:ind w:firstLine="435"/>
        <w:rPr>
          <w:rFonts w:ascii="宋体" w:hAnsi="宋体" w:eastAsia="宋体" w:cs="宋体"/>
          <w:sz w:val="21"/>
          <w:szCs w:val="21"/>
        </w:rPr>
      </w:pPr>
      <w:r>
        <w:rPr>
          <w:rFonts w:ascii="宋体" w:hAnsi="宋体" w:eastAsia="宋体" w:cs="宋体"/>
          <w:spacing w:val="8"/>
          <w:sz w:val="21"/>
          <w:szCs w:val="21"/>
        </w:rPr>
        <w:t>电耗类似的指标有：吨粘胶纤维用电量(长丝)、吨锦纶用电量、吨涤纶用电量(短纤)、吨涤纶</w:t>
      </w:r>
      <w:r>
        <w:rPr>
          <w:rFonts w:ascii="宋体" w:hAnsi="宋体" w:eastAsia="宋体" w:cs="宋体"/>
          <w:spacing w:val="7"/>
          <w:sz w:val="21"/>
          <w:szCs w:val="21"/>
        </w:rPr>
        <w:t xml:space="preserve">  </w:t>
      </w:r>
      <w:r>
        <w:rPr>
          <w:rFonts w:ascii="宋体" w:hAnsi="宋体" w:eastAsia="宋体" w:cs="宋体"/>
          <w:spacing w:val="8"/>
          <w:sz w:val="21"/>
          <w:szCs w:val="21"/>
        </w:rPr>
        <w:t>用电量(长丝)、吨腈纶用电量、吨维纶用电量、吨纱(线)混合数生产用电量、万米布混合数生产用</w:t>
      </w:r>
      <w:r>
        <w:rPr>
          <w:rFonts w:ascii="宋体" w:hAnsi="宋体" w:eastAsia="宋体" w:cs="宋体"/>
          <w:spacing w:val="4"/>
          <w:sz w:val="21"/>
          <w:szCs w:val="21"/>
        </w:rPr>
        <w:t xml:space="preserve">  </w:t>
      </w:r>
      <w:r>
        <w:rPr>
          <w:rFonts w:ascii="宋体" w:hAnsi="宋体" w:eastAsia="宋体" w:cs="宋体"/>
          <w:spacing w:val="3"/>
          <w:sz w:val="21"/>
          <w:szCs w:val="21"/>
        </w:rPr>
        <w:t>电量、万米丝织品用电量。其中“纱”指的是用天然纤维(</w:t>
      </w:r>
      <w:r>
        <w:rPr>
          <w:rFonts w:ascii="宋体" w:hAnsi="宋体" w:eastAsia="宋体" w:cs="宋体"/>
          <w:spacing w:val="2"/>
          <w:sz w:val="21"/>
          <w:szCs w:val="21"/>
        </w:rPr>
        <w:t xml:space="preserve">棉为主)和化学纤维经棉纺生产设备和工艺  </w:t>
      </w:r>
      <w:r>
        <w:rPr>
          <w:rFonts w:ascii="宋体" w:hAnsi="宋体" w:eastAsia="宋体" w:cs="宋体"/>
          <w:sz w:val="21"/>
          <w:szCs w:val="21"/>
        </w:rPr>
        <w:t>生产的纱。</w:t>
      </w:r>
      <w:r>
        <w:rPr>
          <w:rFonts w:ascii="宋体" w:hAnsi="宋体" w:eastAsia="宋体" w:cs="宋体"/>
          <w:spacing w:val="91"/>
          <w:sz w:val="21"/>
          <w:szCs w:val="21"/>
        </w:rPr>
        <w:t xml:space="preserve"> </w:t>
      </w:r>
      <w:r>
        <w:rPr>
          <w:rFonts w:ascii="宋体" w:hAnsi="宋体" w:eastAsia="宋体" w:cs="宋体"/>
          <w:sz w:val="21"/>
          <w:szCs w:val="21"/>
        </w:rPr>
        <w:t>“线”指使用捻线机对纱(棉型)加捻合股后的产品</w:t>
      </w:r>
      <w:r>
        <w:rPr>
          <w:rFonts w:ascii="宋体" w:hAnsi="宋体" w:eastAsia="宋体" w:cs="宋体"/>
          <w:spacing w:val="-1"/>
          <w:sz w:val="21"/>
          <w:szCs w:val="21"/>
        </w:rPr>
        <w:t>。包括棉纺厂、独立捻线厂、单织厂、</w:t>
      </w:r>
      <w:r>
        <w:rPr>
          <w:rFonts w:ascii="宋体" w:hAnsi="宋体" w:eastAsia="宋体" w:cs="宋体"/>
          <w:sz w:val="21"/>
          <w:szCs w:val="21"/>
        </w:rPr>
        <w:t xml:space="preserve">  </w:t>
      </w:r>
      <w:r>
        <w:rPr>
          <w:rFonts w:ascii="宋体" w:hAnsi="宋体" w:eastAsia="宋体" w:cs="宋体"/>
          <w:spacing w:val="-2"/>
          <w:sz w:val="21"/>
          <w:szCs w:val="21"/>
        </w:rPr>
        <w:t>针织厂等生产的线。</w:t>
      </w:r>
      <w:r>
        <w:rPr>
          <w:rFonts w:ascii="宋体" w:hAnsi="宋体" w:eastAsia="宋体" w:cs="宋体"/>
          <w:spacing w:val="105"/>
          <w:sz w:val="21"/>
          <w:szCs w:val="21"/>
        </w:rPr>
        <w:t xml:space="preserve"> </w:t>
      </w:r>
      <w:r>
        <w:rPr>
          <w:rFonts w:ascii="宋体" w:hAnsi="宋体" w:eastAsia="宋体" w:cs="宋体"/>
          <w:spacing w:val="-2"/>
          <w:sz w:val="21"/>
          <w:szCs w:val="21"/>
        </w:rPr>
        <w:t>“布”指用棉型纱、线(棉为主)在织机上织造的各种坯布、色织布。</w:t>
      </w:r>
      <w:r>
        <w:rPr>
          <w:rFonts w:ascii="宋体" w:hAnsi="宋体" w:eastAsia="宋体" w:cs="宋体"/>
          <w:spacing w:val="85"/>
          <w:sz w:val="21"/>
          <w:szCs w:val="21"/>
        </w:rPr>
        <w:t xml:space="preserve"> </w:t>
      </w:r>
      <w:r>
        <w:rPr>
          <w:rFonts w:ascii="宋体" w:hAnsi="宋体" w:eastAsia="宋体" w:cs="宋体"/>
          <w:spacing w:val="-2"/>
          <w:sz w:val="21"/>
          <w:szCs w:val="21"/>
        </w:rPr>
        <w:t>“印染布”</w:t>
      </w:r>
      <w:r>
        <w:rPr>
          <w:rFonts w:ascii="宋体" w:hAnsi="宋体" w:eastAsia="宋体" w:cs="宋体"/>
          <w:sz w:val="21"/>
          <w:szCs w:val="21"/>
        </w:rPr>
        <w:t xml:space="preserve"> </w:t>
      </w:r>
      <w:r>
        <w:rPr>
          <w:rFonts w:ascii="宋体" w:hAnsi="宋体" w:eastAsia="宋体" w:cs="宋体"/>
          <w:spacing w:val="-1"/>
          <w:sz w:val="21"/>
          <w:szCs w:val="21"/>
        </w:rPr>
        <w:t>指棉纺织厂生产的棉布、混纺布、纯化纤布经棉印染设备加工整理的漂白布、染色布、印花布的统称。</w:t>
      </w:r>
      <w:r>
        <w:rPr>
          <w:rFonts w:ascii="宋体" w:hAnsi="宋体" w:eastAsia="宋体" w:cs="宋体"/>
          <w:spacing w:val="3"/>
          <w:sz w:val="21"/>
          <w:szCs w:val="21"/>
        </w:rPr>
        <w:t xml:space="preserve">  </w:t>
      </w:r>
      <w:r>
        <w:rPr>
          <w:rFonts w:ascii="宋体" w:hAnsi="宋体" w:eastAsia="宋体" w:cs="宋体"/>
          <w:spacing w:val="-2"/>
          <w:sz w:val="21"/>
          <w:szCs w:val="21"/>
        </w:rPr>
        <w:t xml:space="preserve">“丝织品”指丝织厂以蚕丝或化纤长丝为原料经丝织机织成的丝织物，分为：桑蚕丝及其交织品、柞蚕  </w:t>
      </w:r>
      <w:r>
        <w:rPr>
          <w:rFonts w:ascii="宋体" w:hAnsi="宋体" w:eastAsia="宋体" w:cs="宋体"/>
          <w:spacing w:val="-1"/>
          <w:sz w:val="21"/>
          <w:szCs w:val="21"/>
        </w:rPr>
        <w:t>丝及其交织品、绢</w:t>
      </w:r>
      <w:r>
        <w:rPr>
          <w:rFonts w:ascii="宋体" w:hAnsi="宋体" w:eastAsia="宋体" w:cs="宋体"/>
          <w:spacing w:val="95"/>
          <w:sz w:val="21"/>
          <w:szCs w:val="21"/>
        </w:rPr>
        <w:t xml:space="preserve"> </w:t>
      </w:r>
      <w:r>
        <w:rPr>
          <w:rFonts w:ascii="宋体" w:hAnsi="宋体" w:eastAsia="宋体" w:cs="宋体"/>
          <w:spacing w:val="-1"/>
          <w:sz w:val="21"/>
          <w:szCs w:val="21"/>
        </w:rPr>
        <w:t>丝及其交织品、人造丝及其交</w:t>
      </w:r>
      <w:r>
        <w:rPr>
          <w:rFonts w:ascii="宋体" w:hAnsi="宋体" w:eastAsia="宋体" w:cs="宋体"/>
          <w:spacing w:val="-2"/>
          <w:sz w:val="21"/>
          <w:szCs w:val="21"/>
        </w:rPr>
        <w:t>织品、合纤丝及其交织品。</w:t>
      </w:r>
    </w:p>
    <w:p w14:paraId="755BC8B8">
      <w:pPr>
        <w:pStyle w:val="2"/>
        <w:spacing w:line="399" w:lineRule="auto"/>
      </w:pPr>
    </w:p>
    <w:p w14:paraId="5E80F934">
      <w:pPr>
        <w:spacing w:before="69" w:line="224" w:lineRule="auto"/>
        <w:ind w:left="438"/>
        <w:rPr>
          <w:rFonts w:ascii="黑体" w:hAnsi="黑体" w:eastAsia="黑体" w:cs="黑体"/>
          <w:sz w:val="21"/>
          <w:szCs w:val="21"/>
        </w:rPr>
      </w:pPr>
      <w:r>
        <w:rPr>
          <w:rFonts w:ascii="黑体" w:hAnsi="黑体" w:eastAsia="黑体" w:cs="黑体"/>
          <w:b/>
          <w:bCs/>
          <w:spacing w:val="8"/>
          <w:sz w:val="21"/>
          <w:szCs w:val="21"/>
        </w:rPr>
        <w:t>造纸及纸制品(22)</w:t>
      </w:r>
    </w:p>
    <w:p w14:paraId="5BFB9B7C">
      <w:pPr>
        <w:spacing w:before="101" w:line="221" w:lineRule="auto"/>
        <w:ind w:left="438"/>
        <w:rPr>
          <w:rFonts w:ascii="黑体" w:hAnsi="黑体" w:eastAsia="黑体" w:cs="黑体"/>
          <w:sz w:val="21"/>
          <w:szCs w:val="21"/>
        </w:rPr>
      </w:pPr>
      <w:r>
        <w:rPr>
          <w:rFonts w:ascii="黑体" w:hAnsi="黑体" w:eastAsia="黑体" w:cs="黑体"/>
          <w:b/>
          <w:bCs/>
          <w:spacing w:val="-3"/>
          <w:sz w:val="21"/>
          <w:szCs w:val="21"/>
        </w:rPr>
        <w:t>机制纸及纸板综合能耗</w:t>
      </w:r>
    </w:p>
    <w:p w14:paraId="6B532ABA">
      <w:pPr>
        <w:spacing w:before="112" w:line="268" w:lineRule="auto"/>
        <w:ind w:left="435" w:right="111"/>
        <w:jc w:val="right"/>
        <w:rPr>
          <w:rFonts w:ascii="宋体" w:hAnsi="宋体" w:eastAsia="宋体" w:cs="宋体"/>
          <w:sz w:val="21"/>
          <w:szCs w:val="21"/>
        </w:rPr>
      </w:pPr>
      <w:r>
        <w:rPr>
          <w:rFonts w:ascii="宋体" w:hAnsi="宋体" w:eastAsia="宋体" w:cs="宋体"/>
          <w:spacing w:val="1"/>
          <w:sz w:val="21"/>
          <w:szCs w:val="21"/>
        </w:rPr>
        <w:t>计算公式：机制纸及纸板综合能耗(千克标准煤</w:t>
      </w:r>
      <w:r>
        <w:rPr>
          <w:rFonts w:ascii="宋体" w:hAnsi="宋体" w:eastAsia="宋体" w:cs="宋体"/>
          <w:sz w:val="21"/>
          <w:szCs w:val="21"/>
        </w:rPr>
        <w:t xml:space="preserve">/吨)=1000×企业生产综合能源消费量(吨标准煤)/ </w:t>
      </w:r>
      <w:r>
        <w:rPr>
          <w:rFonts w:ascii="宋体" w:hAnsi="宋体" w:eastAsia="宋体" w:cs="宋体"/>
          <w:spacing w:val="-6"/>
          <w:sz w:val="21"/>
          <w:szCs w:val="21"/>
        </w:rPr>
        <w:t>机制纸及纸板(外购原纸加工除外)产量(吨)</w:t>
      </w:r>
    </w:p>
    <w:p w14:paraId="26509B4C">
      <w:pPr>
        <w:spacing w:before="113" w:line="292" w:lineRule="auto"/>
        <w:ind w:left="4" w:right="71" w:firstLine="430"/>
        <w:jc w:val="both"/>
        <w:rPr>
          <w:rFonts w:ascii="宋体" w:hAnsi="宋体" w:eastAsia="宋体" w:cs="宋体"/>
          <w:sz w:val="21"/>
          <w:szCs w:val="21"/>
        </w:rPr>
      </w:pPr>
      <w:r>
        <w:rPr>
          <w:rFonts w:ascii="宋体" w:hAnsi="宋体" w:eastAsia="宋体" w:cs="宋体"/>
          <w:spacing w:val="-2"/>
          <w:sz w:val="21"/>
          <w:szCs w:val="21"/>
        </w:rPr>
        <w:t>分子项：企业生产综合能耗。包括直接生产系统、辅助生产系统和附属生产系统的能源消耗。直接</w:t>
      </w:r>
      <w:r>
        <w:rPr>
          <w:rFonts w:ascii="宋体" w:hAnsi="宋体" w:eastAsia="宋体" w:cs="宋体"/>
          <w:spacing w:val="1"/>
          <w:sz w:val="21"/>
          <w:szCs w:val="21"/>
        </w:rPr>
        <w:t xml:space="preserve">  </w:t>
      </w:r>
      <w:r>
        <w:rPr>
          <w:rFonts w:ascii="宋体" w:hAnsi="宋体" w:eastAsia="宋体" w:cs="宋体"/>
          <w:spacing w:val="-2"/>
          <w:sz w:val="21"/>
          <w:szCs w:val="21"/>
        </w:rPr>
        <w:t>生产系统包括备料、制浆、造纸系统等。辅助生产系统包括动力、供电、机修、供水、仪表及厂内原料</w:t>
      </w:r>
      <w:r>
        <w:rPr>
          <w:rFonts w:ascii="宋体" w:hAnsi="宋体" w:eastAsia="宋体" w:cs="宋体"/>
          <w:spacing w:val="8"/>
          <w:sz w:val="21"/>
          <w:szCs w:val="21"/>
        </w:rPr>
        <w:t xml:space="preserve">  </w:t>
      </w:r>
      <w:r>
        <w:rPr>
          <w:rFonts w:ascii="宋体" w:hAnsi="宋体" w:eastAsia="宋体" w:cs="宋体"/>
          <w:spacing w:val="1"/>
          <w:sz w:val="21"/>
          <w:szCs w:val="21"/>
        </w:rPr>
        <w:t>厂等。附属生产系统包括生产指挥系统(厂部)和厂区</w:t>
      </w:r>
      <w:r>
        <w:rPr>
          <w:rFonts w:ascii="宋体" w:hAnsi="宋体" w:eastAsia="宋体" w:cs="宋体"/>
          <w:sz w:val="21"/>
          <w:szCs w:val="21"/>
        </w:rPr>
        <w:t xml:space="preserve">内为生产服务的部门和单位如车间浴室、开水站、 </w:t>
      </w:r>
      <w:r>
        <w:rPr>
          <w:rFonts w:ascii="宋体" w:hAnsi="宋体" w:eastAsia="宋体" w:cs="宋体"/>
          <w:spacing w:val="-3"/>
          <w:sz w:val="21"/>
          <w:szCs w:val="21"/>
        </w:rPr>
        <w:t>蒸饭站、保健站、哺乳室等。</w:t>
      </w:r>
    </w:p>
    <w:p w14:paraId="232A5DE5">
      <w:pPr>
        <w:spacing w:before="110" w:line="268" w:lineRule="auto"/>
        <w:ind w:left="2964" w:right="160" w:hanging="2529"/>
        <w:rPr>
          <w:rFonts w:ascii="宋体" w:hAnsi="宋体" w:eastAsia="宋体" w:cs="宋体"/>
          <w:sz w:val="21"/>
          <w:szCs w:val="21"/>
        </w:rPr>
      </w:pPr>
      <w:r>
        <w:rPr>
          <w:rFonts w:ascii="宋体" w:hAnsi="宋体" w:eastAsia="宋体" w:cs="宋体"/>
          <w:spacing w:val="11"/>
          <w:sz w:val="21"/>
          <w:szCs w:val="21"/>
        </w:rPr>
        <w:t>企业生产综合能源消费量=各种用于生产消费</w:t>
      </w:r>
      <w:r>
        <w:rPr>
          <w:rFonts w:ascii="宋体" w:hAnsi="宋体" w:eastAsia="宋体" w:cs="宋体"/>
          <w:spacing w:val="10"/>
          <w:sz w:val="21"/>
          <w:szCs w:val="21"/>
        </w:rPr>
        <w:t>的能源(标准煤)之和一二次能源产出量(标准煤)</w:t>
      </w:r>
      <w:r>
        <w:rPr>
          <w:rFonts w:ascii="宋体" w:hAnsi="宋体" w:eastAsia="宋体" w:cs="宋体"/>
          <w:sz w:val="21"/>
          <w:szCs w:val="21"/>
        </w:rPr>
        <w:t xml:space="preserve"> </w:t>
      </w:r>
      <w:r>
        <w:rPr>
          <w:rFonts w:ascii="宋体" w:hAnsi="宋体" w:eastAsia="宋体" w:cs="宋体"/>
          <w:spacing w:val="11"/>
          <w:sz w:val="21"/>
          <w:szCs w:val="21"/>
        </w:rPr>
        <w:t>之和一回收利用的余能(标准煤)之和</w:t>
      </w:r>
    </w:p>
    <w:p w14:paraId="6EBCDBA1">
      <w:pPr>
        <w:spacing w:before="112" w:line="297" w:lineRule="auto"/>
        <w:ind w:left="4" w:right="145" w:firstLine="430"/>
        <w:jc w:val="both"/>
        <w:rPr>
          <w:rFonts w:ascii="宋体" w:hAnsi="宋体" w:eastAsia="宋体" w:cs="宋体"/>
          <w:sz w:val="21"/>
          <w:szCs w:val="21"/>
        </w:rPr>
      </w:pPr>
      <w:r>
        <w:rPr>
          <w:rFonts w:ascii="宋体" w:hAnsi="宋体" w:eastAsia="宋体" w:cs="宋体"/>
          <w:spacing w:val="3"/>
          <w:sz w:val="21"/>
          <w:szCs w:val="21"/>
        </w:rPr>
        <w:t>分母项：机制纸及纸板(外购原纸加工除外)产量。指合格品产量，包括未涂布印刷书写用纸、涂</w:t>
      </w:r>
      <w:r>
        <w:rPr>
          <w:rFonts w:ascii="宋体" w:hAnsi="宋体" w:eastAsia="宋体" w:cs="宋体"/>
          <w:spacing w:val="1"/>
          <w:sz w:val="21"/>
          <w:szCs w:val="21"/>
        </w:rPr>
        <w:t xml:space="preserve"> 布类印刷用纸、卫生用纸原纸、包装用纸及纸板、感应纸及纸板(含光敏、热敏</w:t>
      </w:r>
      <w:r>
        <w:rPr>
          <w:rFonts w:ascii="宋体" w:hAnsi="宋体" w:eastAsia="宋体" w:cs="宋体"/>
          <w:sz w:val="21"/>
          <w:szCs w:val="21"/>
        </w:rPr>
        <w:t xml:space="preserve">、压敏及其他感应纸及 </w:t>
      </w:r>
      <w:r>
        <w:rPr>
          <w:rFonts w:ascii="宋体" w:hAnsi="宋体" w:eastAsia="宋体" w:cs="宋体"/>
          <w:spacing w:val="3"/>
          <w:sz w:val="21"/>
          <w:szCs w:val="21"/>
        </w:rPr>
        <w:t>纸板的原纸和原纸板)、纤维类过滤纸及纸板</w:t>
      </w:r>
      <w:bookmarkStart w:id="33" w:name="_GoBack"/>
      <w:bookmarkEnd w:id="33"/>
      <w:r>
        <w:rPr>
          <w:rFonts w:ascii="宋体" w:hAnsi="宋体" w:eastAsia="宋体" w:cs="宋体"/>
          <w:spacing w:val="3"/>
          <w:sz w:val="21"/>
          <w:szCs w:val="21"/>
        </w:rPr>
        <w:t>以及其他机制纸及纸板。不包括加工纸(指对原纸或纸</w:t>
      </w:r>
      <w:r>
        <w:rPr>
          <w:rFonts w:ascii="宋体" w:hAnsi="宋体" w:eastAsia="宋体" w:cs="宋体"/>
          <w:spacing w:val="5"/>
          <w:sz w:val="21"/>
          <w:szCs w:val="21"/>
        </w:rPr>
        <w:t xml:space="preserve"> </w:t>
      </w:r>
      <w:r>
        <w:rPr>
          <w:rFonts w:ascii="宋体" w:hAnsi="宋体" w:eastAsia="宋体" w:cs="宋体"/>
          <w:spacing w:val="6"/>
          <w:sz w:val="21"/>
          <w:szCs w:val="21"/>
        </w:rPr>
        <w:t>板等成品纸进行再次加工处理而成的纸),手工制纸及纸板，纸制品(指用纸或纸板为原料</w:t>
      </w:r>
      <w:r>
        <w:rPr>
          <w:rFonts w:ascii="宋体" w:hAnsi="宋体" w:eastAsia="宋体" w:cs="宋体"/>
          <w:spacing w:val="5"/>
          <w:sz w:val="21"/>
          <w:szCs w:val="21"/>
        </w:rPr>
        <w:t>进一步加工</w:t>
      </w:r>
      <w:r>
        <w:rPr>
          <w:rFonts w:ascii="宋体" w:hAnsi="宋体" w:eastAsia="宋体" w:cs="宋体"/>
          <w:sz w:val="21"/>
          <w:szCs w:val="21"/>
        </w:rPr>
        <w:t xml:space="preserve"> </w:t>
      </w:r>
      <w:r>
        <w:rPr>
          <w:rFonts w:ascii="宋体" w:hAnsi="宋体" w:eastAsia="宋体" w:cs="宋体"/>
          <w:spacing w:val="6"/>
          <w:sz w:val="21"/>
          <w:szCs w:val="21"/>
        </w:rPr>
        <w:t>而成的纸制品)。</w:t>
      </w:r>
    </w:p>
    <w:p w14:paraId="3784A448">
      <w:pPr>
        <w:spacing w:before="105" w:line="221" w:lineRule="auto"/>
        <w:ind w:left="438"/>
        <w:rPr>
          <w:rFonts w:ascii="黑体" w:hAnsi="黑体" w:eastAsia="黑体" w:cs="黑体"/>
          <w:sz w:val="21"/>
          <w:szCs w:val="21"/>
        </w:rPr>
      </w:pPr>
      <w:r>
        <w:rPr>
          <w:rFonts w:ascii="黑体" w:hAnsi="黑体" w:eastAsia="黑体" w:cs="黑体"/>
          <w:b/>
          <w:bCs/>
          <w:spacing w:val="-3"/>
          <w:sz w:val="21"/>
          <w:szCs w:val="21"/>
        </w:rPr>
        <w:t>机制纸及纸板耗电</w:t>
      </w:r>
    </w:p>
    <w:p w14:paraId="3A8C116A">
      <w:pPr>
        <w:spacing w:before="112" w:line="268" w:lineRule="auto"/>
        <w:ind w:left="4744" w:right="196" w:hanging="4309"/>
        <w:rPr>
          <w:rFonts w:ascii="宋体" w:hAnsi="宋体" w:eastAsia="宋体" w:cs="宋体"/>
          <w:sz w:val="21"/>
          <w:szCs w:val="21"/>
        </w:rPr>
      </w:pPr>
      <w:r>
        <w:rPr>
          <w:rFonts w:ascii="宋体" w:hAnsi="宋体" w:eastAsia="宋体" w:cs="宋体"/>
          <w:spacing w:val="7"/>
          <w:sz w:val="21"/>
          <w:szCs w:val="21"/>
        </w:rPr>
        <w:t>计算公式：机制纸及纸板耗电(千瓦时/吨)=10000×</w:t>
      </w:r>
      <w:r>
        <w:rPr>
          <w:rFonts w:ascii="宋体" w:hAnsi="宋体" w:eastAsia="宋体" w:cs="宋体"/>
          <w:spacing w:val="6"/>
          <w:sz w:val="21"/>
          <w:szCs w:val="21"/>
        </w:rPr>
        <w:t>企业生产用电量(万千瓦时)/机制纸及纸板</w:t>
      </w:r>
      <w:r>
        <w:rPr>
          <w:rFonts w:ascii="宋体" w:hAnsi="宋体" w:eastAsia="宋体" w:cs="宋体"/>
          <w:sz w:val="21"/>
          <w:szCs w:val="21"/>
        </w:rPr>
        <w:t xml:space="preserve"> </w:t>
      </w:r>
      <w:r>
        <w:rPr>
          <w:rFonts w:ascii="宋体" w:hAnsi="宋体" w:eastAsia="宋体" w:cs="宋体"/>
          <w:spacing w:val="15"/>
          <w:sz w:val="21"/>
          <w:szCs w:val="21"/>
        </w:rPr>
        <w:t>(外购原纸加工除外)产量(吨)</w:t>
      </w:r>
    </w:p>
    <w:p w14:paraId="0D52E509">
      <w:pPr>
        <w:spacing w:before="101" w:line="219" w:lineRule="auto"/>
        <w:ind w:left="435"/>
        <w:rPr>
          <w:rFonts w:ascii="宋体" w:hAnsi="宋体" w:eastAsia="宋体" w:cs="宋体"/>
          <w:sz w:val="21"/>
          <w:szCs w:val="21"/>
        </w:rPr>
      </w:pPr>
      <w:r>
        <w:rPr>
          <w:rFonts w:ascii="宋体" w:hAnsi="宋体" w:eastAsia="宋体" w:cs="宋体"/>
          <w:spacing w:val="-2"/>
          <w:sz w:val="21"/>
          <w:szCs w:val="21"/>
        </w:rPr>
        <w:t>分子项：企业生产用电量。计算和解释同上。</w:t>
      </w:r>
    </w:p>
    <w:p w14:paraId="5BB98917">
      <w:pPr>
        <w:spacing w:before="110" w:line="219" w:lineRule="auto"/>
        <w:ind w:left="435"/>
        <w:rPr>
          <w:rFonts w:ascii="宋体" w:hAnsi="宋体" w:eastAsia="宋体" w:cs="宋体"/>
          <w:sz w:val="21"/>
          <w:szCs w:val="21"/>
        </w:rPr>
      </w:pPr>
      <w:r>
        <w:rPr>
          <w:rFonts w:ascii="宋体" w:hAnsi="宋体" w:eastAsia="宋体" w:cs="宋体"/>
          <w:spacing w:val="5"/>
          <w:sz w:val="21"/>
          <w:szCs w:val="21"/>
        </w:rPr>
        <w:t>分母项：机制纸及纸板产量(外购原纸加工除外)。计算和解释同上。</w:t>
      </w:r>
    </w:p>
    <w:p w14:paraId="17EE5B7C">
      <w:pPr>
        <w:spacing w:line="219" w:lineRule="auto"/>
        <w:rPr>
          <w:rFonts w:ascii="宋体" w:hAnsi="宋体" w:eastAsia="宋体" w:cs="宋体"/>
          <w:sz w:val="21"/>
          <w:szCs w:val="21"/>
        </w:rPr>
        <w:sectPr>
          <w:headerReference r:id="rId33" w:type="default"/>
          <w:pgSz w:w="11910" w:h="16840"/>
          <w:pgMar w:top="1062" w:right="1123" w:bottom="400" w:left="1234" w:header="848" w:footer="0" w:gutter="0"/>
          <w:cols w:space="720" w:num="1"/>
        </w:sectPr>
      </w:pPr>
    </w:p>
    <w:p w14:paraId="04BFC066">
      <w:pPr>
        <w:pStyle w:val="2"/>
        <w:spacing w:line="327" w:lineRule="auto"/>
      </w:pPr>
    </w:p>
    <w:p w14:paraId="2F80F9BB">
      <w:pPr>
        <w:pStyle w:val="2"/>
        <w:spacing w:line="327" w:lineRule="auto"/>
      </w:pPr>
    </w:p>
    <w:p w14:paraId="06A7FAB6">
      <w:pPr>
        <w:spacing w:before="68" w:line="221" w:lineRule="auto"/>
        <w:ind w:left="420"/>
        <w:rPr>
          <w:rFonts w:ascii="黑体" w:hAnsi="黑体" w:eastAsia="黑体" w:cs="黑体"/>
          <w:sz w:val="21"/>
          <w:szCs w:val="21"/>
        </w:rPr>
      </w:pPr>
      <w:r>
        <w:rPr>
          <w:rFonts w:ascii="黑体" w:hAnsi="黑体" w:eastAsia="黑体" w:cs="黑体"/>
          <w:spacing w:val="21"/>
          <w:sz w:val="21"/>
          <w:szCs w:val="21"/>
        </w:rPr>
        <w:t>焦炭(25)</w:t>
      </w:r>
    </w:p>
    <w:p w14:paraId="26B7B71C">
      <w:pPr>
        <w:spacing w:before="108" w:line="221" w:lineRule="auto"/>
        <w:ind w:left="420"/>
        <w:rPr>
          <w:rFonts w:ascii="黑体" w:hAnsi="黑体" w:eastAsia="黑体" w:cs="黑体"/>
          <w:sz w:val="21"/>
          <w:szCs w:val="21"/>
        </w:rPr>
      </w:pPr>
      <w:r>
        <w:rPr>
          <w:rFonts w:ascii="黑体" w:hAnsi="黑体" w:eastAsia="黑体" w:cs="黑体"/>
          <w:spacing w:val="-1"/>
          <w:sz w:val="21"/>
          <w:szCs w:val="21"/>
        </w:rPr>
        <w:t>炼焦工序单位能耗</w:t>
      </w:r>
    </w:p>
    <w:p w14:paraId="5A4DDADE">
      <w:pPr>
        <w:spacing w:before="99" w:line="272" w:lineRule="auto"/>
        <w:ind w:left="5050" w:right="111" w:hanging="4630"/>
        <w:rPr>
          <w:rFonts w:ascii="宋体" w:hAnsi="宋体" w:eastAsia="宋体" w:cs="宋体"/>
          <w:sz w:val="21"/>
          <w:szCs w:val="21"/>
        </w:rPr>
      </w:pPr>
      <w:r>
        <w:rPr>
          <w:rFonts w:ascii="宋体" w:hAnsi="宋体" w:eastAsia="宋体" w:cs="宋体"/>
          <w:spacing w:val="5"/>
          <w:sz w:val="21"/>
          <w:szCs w:val="21"/>
        </w:rPr>
        <w:t>计算公式：炼焦工序单位能耗(千克标准煤/吨)=1000×炼焦工序净耗能量(吨标准煤)/全部焦炭</w:t>
      </w:r>
      <w:r>
        <w:rPr>
          <w:rFonts w:ascii="宋体" w:hAnsi="宋体" w:eastAsia="宋体" w:cs="宋体"/>
          <w:spacing w:val="2"/>
          <w:sz w:val="21"/>
          <w:szCs w:val="21"/>
        </w:rPr>
        <w:t xml:space="preserve"> </w:t>
      </w:r>
      <w:r>
        <w:rPr>
          <w:rFonts w:ascii="宋体" w:hAnsi="宋体" w:eastAsia="宋体" w:cs="宋体"/>
          <w:spacing w:val="19"/>
          <w:sz w:val="21"/>
          <w:szCs w:val="21"/>
        </w:rPr>
        <w:t>产量(干基)</w:t>
      </w:r>
      <w:r>
        <w:rPr>
          <w:rFonts w:ascii="宋体" w:hAnsi="宋体" w:eastAsia="宋体" w:cs="宋体"/>
          <w:spacing w:val="68"/>
          <w:sz w:val="21"/>
          <w:szCs w:val="21"/>
        </w:rPr>
        <w:t xml:space="preserve"> </w:t>
      </w:r>
      <w:r>
        <w:rPr>
          <w:rFonts w:ascii="宋体" w:hAnsi="宋体" w:eastAsia="宋体" w:cs="宋体"/>
          <w:spacing w:val="19"/>
          <w:sz w:val="21"/>
          <w:szCs w:val="21"/>
        </w:rPr>
        <w:t>(吨)</w:t>
      </w:r>
    </w:p>
    <w:p w14:paraId="3AEDE121">
      <w:pPr>
        <w:spacing w:before="100" w:line="297" w:lineRule="auto"/>
        <w:ind w:left="10" w:right="20" w:firstLine="410"/>
        <w:jc w:val="both"/>
        <w:rPr>
          <w:rFonts w:ascii="宋体" w:hAnsi="宋体" w:eastAsia="宋体" w:cs="宋体"/>
          <w:sz w:val="21"/>
          <w:szCs w:val="21"/>
        </w:rPr>
      </w:pPr>
      <w:r>
        <w:rPr>
          <w:rFonts w:ascii="宋体" w:hAnsi="宋体" w:eastAsia="宋体" w:cs="宋体"/>
          <w:spacing w:val="13"/>
          <w:sz w:val="21"/>
          <w:szCs w:val="21"/>
        </w:rPr>
        <w:t>分子项：炼焦工序净耗能量。指炼焦工艺生产系统的备煤车间(不包括洗煤)、厂内部原料煤</w:t>
      </w:r>
      <w:r>
        <w:rPr>
          <w:rFonts w:ascii="宋体" w:hAnsi="宋体" w:eastAsia="宋体" w:cs="宋体"/>
          <w:spacing w:val="7"/>
          <w:sz w:val="21"/>
          <w:szCs w:val="21"/>
        </w:rPr>
        <w:t xml:space="preserve">  </w:t>
      </w:r>
      <w:r>
        <w:rPr>
          <w:rFonts w:ascii="宋体" w:hAnsi="宋体" w:eastAsia="宋体" w:cs="宋体"/>
          <w:spacing w:val="13"/>
          <w:sz w:val="21"/>
          <w:szCs w:val="21"/>
        </w:rPr>
        <w:t>的损耗、炼焦车间、回收车间(冷凝鼓风、氨回收、粗苯、脱硫脱氰、黄血盐)、辅助生产系统的</w:t>
      </w:r>
      <w:r>
        <w:rPr>
          <w:rFonts w:ascii="宋体" w:hAnsi="宋体" w:eastAsia="宋体" w:cs="宋体"/>
          <w:spacing w:val="6"/>
          <w:sz w:val="21"/>
          <w:szCs w:val="21"/>
        </w:rPr>
        <w:t xml:space="preserve"> </w:t>
      </w:r>
      <w:r>
        <w:rPr>
          <w:rFonts w:ascii="宋体" w:hAnsi="宋体" w:eastAsia="宋体" w:cs="宋体"/>
          <w:spacing w:val="5"/>
          <w:sz w:val="21"/>
          <w:szCs w:val="21"/>
        </w:rPr>
        <w:t>机修、化验、计量、环保等，以及直接为生产服务的附属生产系统的食堂、浴池、保健</w:t>
      </w:r>
      <w:r>
        <w:rPr>
          <w:rFonts w:ascii="宋体" w:hAnsi="宋体" w:eastAsia="宋体" w:cs="宋体"/>
          <w:spacing w:val="4"/>
          <w:sz w:val="21"/>
          <w:szCs w:val="21"/>
        </w:rPr>
        <w:t>站、休息室、</w:t>
      </w:r>
      <w:r>
        <w:rPr>
          <w:rFonts w:ascii="宋体" w:hAnsi="宋体" w:eastAsia="宋体" w:cs="宋体"/>
          <w:sz w:val="21"/>
          <w:szCs w:val="21"/>
        </w:rPr>
        <w:t xml:space="preserve"> </w:t>
      </w:r>
      <w:r>
        <w:rPr>
          <w:rFonts w:ascii="宋体" w:hAnsi="宋体" w:eastAsia="宋体" w:cs="宋体"/>
          <w:spacing w:val="8"/>
          <w:sz w:val="21"/>
          <w:szCs w:val="21"/>
        </w:rPr>
        <w:t>生产管理和调度指挥系统等所消耗的各种能源合计，扣除焦化产品、回收利用余热余能产出的电力</w:t>
      </w:r>
      <w:r>
        <w:rPr>
          <w:rFonts w:ascii="宋体" w:hAnsi="宋体" w:eastAsia="宋体" w:cs="宋体"/>
          <w:spacing w:val="13"/>
          <w:sz w:val="21"/>
          <w:szCs w:val="21"/>
        </w:rPr>
        <w:t xml:space="preserve"> </w:t>
      </w:r>
      <w:r>
        <w:rPr>
          <w:rFonts w:ascii="宋体" w:hAnsi="宋体" w:eastAsia="宋体" w:cs="宋体"/>
          <w:spacing w:val="-3"/>
          <w:sz w:val="21"/>
          <w:szCs w:val="21"/>
        </w:rPr>
        <w:t>和外供热力。</w:t>
      </w:r>
    </w:p>
    <w:p w14:paraId="006E5819">
      <w:pPr>
        <w:spacing w:before="112" w:line="380" w:lineRule="exact"/>
        <w:ind w:left="420"/>
        <w:rPr>
          <w:rFonts w:ascii="宋体" w:hAnsi="宋体" w:eastAsia="宋体" w:cs="宋体"/>
          <w:sz w:val="21"/>
          <w:szCs w:val="21"/>
        </w:rPr>
      </w:pPr>
      <w:r>
        <w:rPr>
          <w:rFonts w:ascii="宋体" w:hAnsi="宋体" w:eastAsia="宋体" w:cs="宋体"/>
          <w:spacing w:val="23"/>
          <w:position w:val="12"/>
          <w:sz w:val="21"/>
          <w:szCs w:val="21"/>
        </w:rPr>
        <w:t>炼焦工序净耗能量(标准煤)=原料煤(标准煤)+燃料动力(标准煤)一焦化产品(标准煤)一</w:t>
      </w:r>
    </w:p>
    <w:p w14:paraId="0684D2CB">
      <w:pPr>
        <w:spacing w:line="218" w:lineRule="auto"/>
        <w:ind w:left="3370"/>
        <w:rPr>
          <w:rFonts w:ascii="宋体" w:hAnsi="宋体" w:eastAsia="宋体" w:cs="宋体"/>
          <w:sz w:val="21"/>
          <w:szCs w:val="21"/>
        </w:rPr>
      </w:pPr>
      <w:r>
        <w:rPr>
          <w:rFonts w:ascii="宋体" w:hAnsi="宋体" w:eastAsia="宋体" w:cs="宋体"/>
          <w:spacing w:val="12"/>
          <w:sz w:val="21"/>
          <w:szCs w:val="21"/>
        </w:rPr>
        <w:t>利用炼焦余能余热的发电量(标准煤)一外供热力(标准煤)</w:t>
      </w:r>
    </w:p>
    <w:p w14:paraId="728D4715">
      <w:pPr>
        <w:spacing w:before="111" w:line="268" w:lineRule="auto"/>
        <w:ind w:left="10" w:firstLine="410"/>
        <w:rPr>
          <w:rFonts w:ascii="宋体" w:hAnsi="宋体" w:eastAsia="宋体" w:cs="宋体"/>
          <w:sz w:val="21"/>
          <w:szCs w:val="21"/>
        </w:rPr>
      </w:pPr>
      <w:r>
        <w:rPr>
          <w:rFonts w:ascii="宋体" w:hAnsi="宋体" w:eastAsia="宋体" w:cs="宋体"/>
          <w:spacing w:val="1"/>
          <w:sz w:val="21"/>
          <w:szCs w:val="21"/>
        </w:rPr>
        <w:t>原料煤指装入焦炉的干洗精煤量；燃料动力指各类燃料(如加热用的煤、高炉煤气、发生炉煤气、</w:t>
      </w:r>
      <w:r>
        <w:rPr>
          <w:rFonts w:ascii="宋体" w:hAnsi="宋体" w:eastAsia="宋体" w:cs="宋体"/>
          <w:spacing w:val="2"/>
          <w:sz w:val="21"/>
          <w:szCs w:val="21"/>
        </w:rPr>
        <w:t xml:space="preserve">  </w:t>
      </w:r>
      <w:r>
        <w:rPr>
          <w:rFonts w:ascii="宋体" w:hAnsi="宋体" w:eastAsia="宋体" w:cs="宋体"/>
          <w:spacing w:val="-2"/>
          <w:sz w:val="21"/>
          <w:szCs w:val="21"/>
        </w:rPr>
        <w:t>焦炉煤气等)、电、外购蒸汽等；焦化产品指焦炭、回收的焦炉煤气、煤焦油、粗苯、其他焦化产品等。</w:t>
      </w:r>
    </w:p>
    <w:p w14:paraId="1EA522FD">
      <w:pPr>
        <w:spacing w:before="110" w:line="219" w:lineRule="auto"/>
        <w:ind w:left="420"/>
        <w:rPr>
          <w:rFonts w:ascii="宋体" w:hAnsi="宋体" w:eastAsia="宋体" w:cs="宋体"/>
          <w:sz w:val="21"/>
          <w:szCs w:val="21"/>
        </w:rPr>
      </w:pPr>
      <w:r>
        <w:rPr>
          <w:rFonts w:ascii="宋体" w:hAnsi="宋体" w:eastAsia="宋体" w:cs="宋体"/>
          <w:spacing w:val="9"/>
          <w:sz w:val="21"/>
          <w:szCs w:val="21"/>
        </w:rPr>
        <w:t>分母项：全部焦炭产量(干基)。</w:t>
      </w:r>
    </w:p>
    <w:p w14:paraId="0E128AE9">
      <w:pPr>
        <w:pStyle w:val="2"/>
        <w:spacing w:line="399" w:lineRule="auto"/>
      </w:pPr>
    </w:p>
    <w:p w14:paraId="20258221">
      <w:pPr>
        <w:spacing w:before="69" w:line="223" w:lineRule="auto"/>
        <w:ind w:left="423"/>
        <w:rPr>
          <w:rFonts w:ascii="黑体" w:hAnsi="黑体" w:eastAsia="黑体" w:cs="黑体"/>
          <w:sz w:val="21"/>
          <w:szCs w:val="21"/>
        </w:rPr>
      </w:pPr>
      <w:r>
        <w:rPr>
          <w:rFonts w:ascii="黑体" w:hAnsi="黑体" w:eastAsia="黑体" w:cs="黑体"/>
          <w:b/>
          <w:bCs/>
          <w:spacing w:val="10"/>
          <w:sz w:val="21"/>
          <w:szCs w:val="21"/>
        </w:rPr>
        <w:t>原油加工(25)</w:t>
      </w:r>
    </w:p>
    <w:p w14:paraId="23F3A6F0">
      <w:pPr>
        <w:spacing w:before="94" w:line="222" w:lineRule="auto"/>
        <w:ind w:left="423"/>
        <w:rPr>
          <w:rFonts w:ascii="黑体" w:hAnsi="黑体" w:eastAsia="黑体" w:cs="黑体"/>
          <w:sz w:val="21"/>
          <w:szCs w:val="21"/>
        </w:rPr>
      </w:pPr>
      <w:r>
        <w:rPr>
          <w:rFonts w:ascii="黑体" w:hAnsi="黑体" w:eastAsia="黑体" w:cs="黑体"/>
          <w:b/>
          <w:bCs/>
          <w:spacing w:val="-4"/>
          <w:sz w:val="21"/>
          <w:szCs w:val="21"/>
        </w:rPr>
        <w:t>原油加工单位综合能耗</w:t>
      </w:r>
    </w:p>
    <w:p w14:paraId="29956230">
      <w:pPr>
        <w:spacing w:before="121" w:line="269" w:lineRule="auto"/>
        <w:ind w:left="5580" w:right="263" w:hanging="5160"/>
        <w:rPr>
          <w:rFonts w:ascii="宋体" w:hAnsi="宋体" w:eastAsia="宋体" w:cs="宋体"/>
          <w:sz w:val="21"/>
          <w:szCs w:val="21"/>
        </w:rPr>
      </w:pPr>
      <w:r>
        <w:rPr>
          <w:rFonts w:ascii="宋体" w:hAnsi="宋体" w:eastAsia="宋体" w:cs="宋体"/>
          <w:spacing w:val="7"/>
          <w:sz w:val="21"/>
          <w:szCs w:val="21"/>
        </w:rPr>
        <w:t>计算公式：原油加工单位综合能耗(千克标</w:t>
      </w:r>
      <w:r>
        <w:rPr>
          <w:rFonts w:ascii="宋体" w:hAnsi="宋体" w:eastAsia="宋体" w:cs="宋体"/>
          <w:spacing w:val="6"/>
          <w:sz w:val="21"/>
          <w:szCs w:val="21"/>
        </w:rPr>
        <w:t>准油/吨)=1000×炼油综合能耗量(吨标准油)/原油</w:t>
      </w:r>
      <w:r>
        <w:rPr>
          <w:rFonts w:ascii="宋体" w:hAnsi="宋体" w:eastAsia="宋体" w:cs="宋体"/>
          <w:sz w:val="21"/>
          <w:szCs w:val="21"/>
        </w:rPr>
        <w:t xml:space="preserve"> </w:t>
      </w:r>
      <w:r>
        <w:rPr>
          <w:rFonts w:ascii="宋体" w:hAnsi="宋体" w:eastAsia="宋体" w:cs="宋体"/>
          <w:spacing w:val="9"/>
          <w:sz w:val="21"/>
          <w:szCs w:val="21"/>
        </w:rPr>
        <w:t>及外购原料油加工量(吨)</w:t>
      </w:r>
    </w:p>
    <w:p w14:paraId="099324F8">
      <w:pPr>
        <w:spacing w:before="88" w:line="292" w:lineRule="auto"/>
        <w:ind w:left="10" w:right="90" w:firstLine="410"/>
        <w:rPr>
          <w:rFonts w:ascii="宋体" w:hAnsi="宋体" w:eastAsia="宋体" w:cs="宋体"/>
          <w:sz w:val="21"/>
          <w:szCs w:val="21"/>
        </w:rPr>
      </w:pPr>
      <w:r>
        <w:rPr>
          <w:rFonts w:ascii="宋体" w:hAnsi="宋体" w:eastAsia="宋体" w:cs="宋体"/>
          <w:spacing w:val="-1"/>
          <w:sz w:val="21"/>
          <w:szCs w:val="21"/>
        </w:rPr>
        <w:t>分子项：炼油综合能耗量。主要指炼油加工能耗，包括</w:t>
      </w:r>
      <w:r>
        <w:rPr>
          <w:rFonts w:ascii="宋体" w:hAnsi="宋体" w:eastAsia="宋体" w:cs="宋体"/>
          <w:spacing w:val="-2"/>
          <w:sz w:val="21"/>
          <w:szCs w:val="21"/>
        </w:rPr>
        <w:t>炼油生产装置以及为之服务的辅助系统的全</w:t>
      </w:r>
      <w:r>
        <w:rPr>
          <w:rFonts w:ascii="宋体" w:hAnsi="宋体" w:eastAsia="宋体" w:cs="宋体"/>
          <w:sz w:val="21"/>
          <w:szCs w:val="21"/>
        </w:rPr>
        <w:t xml:space="preserve"> </w:t>
      </w:r>
      <w:r>
        <w:rPr>
          <w:rFonts w:ascii="宋体" w:hAnsi="宋体" w:eastAsia="宋体" w:cs="宋体"/>
          <w:spacing w:val="-1"/>
          <w:sz w:val="21"/>
          <w:szCs w:val="21"/>
        </w:rPr>
        <w:t>部耗能，不含聚丙烯的生产装置和库房的耗能。炼油生</w:t>
      </w:r>
      <w:r>
        <w:rPr>
          <w:rFonts w:ascii="宋体" w:hAnsi="宋体" w:eastAsia="宋体" w:cs="宋体"/>
          <w:spacing w:val="-2"/>
          <w:sz w:val="21"/>
          <w:szCs w:val="21"/>
        </w:rPr>
        <w:t>产装置包含：蒸馏、催化、焦化、制氢、加氢、</w:t>
      </w:r>
      <w:r>
        <w:rPr>
          <w:rFonts w:ascii="宋体" w:hAnsi="宋体" w:eastAsia="宋体" w:cs="宋体"/>
          <w:sz w:val="21"/>
          <w:szCs w:val="21"/>
        </w:rPr>
        <w:t xml:space="preserve"> </w:t>
      </w:r>
      <w:r>
        <w:rPr>
          <w:rFonts w:ascii="宋体" w:hAnsi="宋体" w:eastAsia="宋体" w:cs="宋体"/>
          <w:spacing w:val="-2"/>
          <w:sz w:val="21"/>
          <w:szCs w:val="21"/>
        </w:rPr>
        <w:t>精制、脱蜡、白土、气分、烷基化、脱硫、回收、降粘、汽提等工艺单元；炼油辅助系统包含炼油厂界</w:t>
      </w:r>
      <w:r>
        <w:rPr>
          <w:rFonts w:ascii="宋体" w:hAnsi="宋体" w:eastAsia="宋体" w:cs="宋体"/>
          <w:spacing w:val="18"/>
          <w:sz w:val="21"/>
          <w:szCs w:val="21"/>
        </w:rPr>
        <w:t xml:space="preserve"> </w:t>
      </w:r>
      <w:r>
        <w:rPr>
          <w:rFonts w:ascii="宋体" w:hAnsi="宋体" w:eastAsia="宋体" w:cs="宋体"/>
          <w:spacing w:val="1"/>
          <w:sz w:val="21"/>
          <w:szCs w:val="21"/>
        </w:rPr>
        <w:t>区内的储运、污水处理、化验、研究、消防、生产管理等。1吨标准煤等于0.7</w:t>
      </w:r>
      <w:r>
        <w:rPr>
          <w:rFonts w:ascii="宋体" w:hAnsi="宋体" w:eastAsia="宋体" w:cs="宋体"/>
          <w:sz w:val="21"/>
          <w:szCs w:val="21"/>
        </w:rPr>
        <w:t>吨标准油。</w:t>
      </w:r>
    </w:p>
    <w:p w14:paraId="17EA54AE">
      <w:pPr>
        <w:spacing w:before="131" w:line="219" w:lineRule="auto"/>
        <w:ind w:left="420"/>
        <w:rPr>
          <w:rFonts w:ascii="宋体" w:hAnsi="宋体" w:eastAsia="宋体" w:cs="宋体"/>
          <w:sz w:val="21"/>
          <w:szCs w:val="21"/>
        </w:rPr>
      </w:pPr>
      <w:r>
        <w:rPr>
          <w:rFonts w:ascii="宋体" w:hAnsi="宋体" w:eastAsia="宋体" w:cs="宋体"/>
          <w:spacing w:val="5"/>
          <w:sz w:val="21"/>
          <w:szCs w:val="21"/>
        </w:rPr>
        <w:t>不包括用于厂内、外生活福利设施(如食堂、浴室、采暖和宿舍等)的能耗。</w:t>
      </w:r>
    </w:p>
    <w:p w14:paraId="721D56F0">
      <w:pPr>
        <w:spacing w:before="113" w:line="263" w:lineRule="auto"/>
        <w:ind w:left="10" w:firstLine="410"/>
        <w:rPr>
          <w:rFonts w:ascii="宋体" w:hAnsi="宋体" w:eastAsia="宋体" w:cs="宋体"/>
          <w:sz w:val="21"/>
          <w:szCs w:val="21"/>
        </w:rPr>
      </w:pPr>
      <w:r>
        <w:rPr>
          <w:rFonts w:ascii="宋体" w:hAnsi="宋体" w:eastAsia="宋体" w:cs="宋体"/>
          <w:spacing w:val="-2"/>
          <w:sz w:val="21"/>
          <w:szCs w:val="21"/>
        </w:rPr>
        <w:t>不包括作为原料用途的能源(注：在填报《能源购进、消费与库存》和《能源加工转换与回收利用》</w:t>
      </w:r>
      <w:r>
        <w:rPr>
          <w:rFonts w:ascii="宋体" w:hAnsi="宋体" w:eastAsia="宋体" w:cs="宋体"/>
          <w:spacing w:val="16"/>
          <w:sz w:val="21"/>
          <w:szCs w:val="21"/>
        </w:rPr>
        <w:t xml:space="preserve"> </w:t>
      </w:r>
      <w:r>
        <w:rPr>
          <w:rFonts w:ascii="宋体" w:hAnsi="宋体" w:eastAsia="宋体" w:cs="宋体"/>
          <w:spacing w:val="4"/>
          <w:sz w:val="21"/>
          <w:szCs w:val="21"/>
        </w:rPr>
        <w:t>时，则要计算能源消费量)。</w:t>
      </w:r>
    </w:p>
    <w:p w14:paraId="46A47864">
      <w:pPr>
        <w:spacing w:before="120" w:line="264" w:lineRule="auto"/>
        <w:ind w:left="10" w:right="75" w:firstLine="410"/>
        <w:rPr>
          <w:rFonts w:ascii="宋体" w:hAnsi="宋体" w:eastAsia="宋体" w:cs="宋体"/>
          <w:sz w:val="21"/>
          <w:szCs w:val="21"/>
        </w:rPr>
      </w:pPr>
      <w:r>
        <w:rPr>
          <w:rFonts w:ascii="宋体" w:hAnsi="宋体" w:eastAsia="宋体" w:cs="宋体"/>
          <w:spacing w:val="-1"/>
          <w:sz w:val="21"/>
          <w:szCs w:val="21"/>
        </w:rPr>
        <w:t>炼油综合能耗统计的燃料动力品种主要有：原煤、原油、汽油、煤油、柴油、燃料用油、燃料气、</w:t>
      </w:r>
      <w:r>
        <w:rPr>
          <w:rFonts w:ascii="宋体" w:hAnsi="宋体" w:eastAsia="宋体" w:cs="宋体"/>
          <w:spacing w:val="1"/>
          <w:sz w:val="21"/>
          <w:szCs w:val="21"/>
        </w:rPr>
        <w:t xml:space="preserve"> </w:t>
      </w:r>
      <w:r>
        <w:rPr>
          <w:rFonts w:ascii="宋体" w:hAnsi="宋体" w:eastAsia="宋体" w:cs="宋体"/>
          <w:spacing w:val="-5"/>
          <w:sz w:val="21"/>
          <w:szCs w:val="21"/>
        </w:rPr>
        <w:t>电、蒸汽、水、石油焦等。</w:t>
      </w:r>
    </w:p>
    <w:p w14:paraId="52F96496">
      <w:pPr>
        <w:spacing w:before="121" w:line="267" w:lineRule="auto"/>
        <w:ind w:left="10" w:right="72" w:firstLine="410"/>
        <w:rPr>
          <w:rFonts w:ascii="宋体" w:hAnsi="宋体" w:eastAsia="宋体" w:cs="宋体"/>
          <w:sz w:val="21"/>
          <w:szCs w:val="21"/>
        </w:rPr>
      </w:pPr>
      <w:r>
        <w:rPr>
          <w:rFonts w:ascii="宋体" w:hAnsi="宋体" w:eastAsia="宋体" w:cs="宋体"/>
          <w:spacing w:val="11"/>
          <w:sz w:val="21"/>
          <w:szCs w:val="21"/>
        </w:rPr>
        <w:t>燃料用油主要有燃料油(仅指炼厂生产的)、碳五馏分(拨头油)、碳九馏分、乙烯焦油(裂解焦</w:t>
      </w:r>
      <w:r>
        <w:rPr>
          <w:rFonts w:ascii="宋体" w:hAnsi="宋体" w:eastAsia="宋体" w:cs="宋体"/>
          <w:spacing w:val="13"/>
          <w:sz w:val="21"/>
          <w:szCs w:val="21"/>
        </w:rPr>
        <w:t xml:space="preserve"> </w:t>
      </w:r>
      <w:r>
        <w:rPr>
          <w:rFonts w:ascii="宋体" w:hAnsi="宋体" w:eastAsia="宋体" w:cs="宋体"/>
          <w:spacing w:val="10"/>
          <w:sz w:val="21"/>
          <w:szCs w:val="21"/>
        </w:rPr>
        <w:t>油)、渣油(重油)、碳六馏分、苯乙烯焦油、聚烯烃焦油</w:t>
      </w:r>
      <w:r>
        <w:rPr>
          <w:rFonts w:ascii="宋体" w:hAnsi="宋体" w:eastAsia="宋体" w:cs="宋体"/>
          <w:spacing w:val="9"/>
          <w:sz w:val="21"/>
          <w:szCs w:val="21"/>
        </w:rPr>
        <w:t>等。</w:t>
      </w:r>
    </w:p>
    <w:p w14:paraId="14C4BEF3">
      <w:pPr>
        <w:spacing w:before="111" w:line="268" w:lineRule="auto"/>
        <w:ind w:left="10" w:right="76" w:firstLine="410"/>
        <w:rPr>
          <w:rFonts w:ascii="宋体" w:hAnsi="宋体" w:eastAsia="宋体" w:cs="宋体"/>
          <w:sz w:val="21"/>
          <w:szCs w:val="21"/>
        </w:rPr>
      </w:pPr>
      <w:r>
        <w:rPr>
          <w:rFonts w:ascii="宋体" w:hAnsi="宋体" w:eastAsia="宋体" w:cs="宋体"/>
          <w:spacing w:val="4"/>
          <w:sz w:val="21"/>
          <w:szCs w:val="21"/>
        </w:rPr>
        <w:t>燃料气主要有天然气、液化天然气、液化石油气(轻馏分、丁烯-2)、炼厂干</w:t>
      </w:r>
      <w:r>
        <w:rPr>
          <w:rFonts w:ascii="宋体" w:hAnsi="宋体" w:eastAsia="宋体" w:cs="宋体"/>
          <w:spacing w:val="3"/>
          <w:sz w:val="21"/>
          <w:szCs w:val="21"/>
        </w:rPr>
        <w:t>气、甲烷氢、回收火</w:t>
      </w:r>
      <w:r>
        <w:rPr>
          <w:rFonts w:ascii="宋体" w:hAnsi="宋体" w:eastAsia="宋体" w:cs="宋体"/>
          <w:sz w:val="21"/>
          <w:szCs w:val="21"/>
        </w:rPr>
        <w:t xml:space="preserve"> </w:t>
      </w:r>
      <w:r>
        <w:rPr>
          <w:rFonts w:ascii="宋体" w:hAnsi="宋体" w:eastAsia="宋体" w:cs="宋体"/>
          <w:spacing w:val="-5"/>
          <w:sz w:val="21"/>
          <w:szCs w:val="21"/>
        </w:rPr>
        <w:t>炬气、瓦斯气等。</w:t>
      </w:r>
    </w:p>
    <w:p w14:paraId="19BE44B2">
      <w:pPr>
        <w:spacing w:before="112" w:line="293" w:lineRule="auto"/>
        <w:ind w:left="10" w:right="54" w:firstLine="410"/>
        <w:rPr>
          <w:rFonts w:ascii="宋体" w:hAnsi="宋体" w:eastAsia="宋体" w:cs="宋体"/>
          <w:sz w:val="21"/>
          <w:szCs w:val="21"/>
        </w:rPr>
      </w:pPr>
      <w:r>
        <w:rPr>
          <w:rFonts w:ascii="宋体" w:hAnsi="宋体" w:eastAsia="宋体" w:cs="宋体"/>
          <w:spacing w:val="-1"/>
          <w:sz w:val="21"/>
          <w:szCs w:val="21"/>
        </w:rPr>
        <w:t>分母项：原油加工量及外购原料油加工量。原油加工</w:t>
      </w:r>
      <w:r>
        <w:rPr>
          <w:rFonts w:ascii="宋体" w:hAnsi="宋体" w:eastAsia="宋体" w:cs="宋体"/>
          <w:spacing w:val="-2"/>
          <w:sz w:val="21"/>
          <w:szCs w:val="21"/>
        </w:rPr>
        <w:t>量，指原油通过蒸馏设备加工处理的数量。裂</w:t>
      </w:r>
      <w:r>
        <w:rPr>
          <w:rFonts w:ascii="宋体" w:hAnsi="宋体" w:eastAsia="宋体" w:cs="宋体"/>
          <w:sz w:val="21"/>
          <w:szCs w:val="21"/>
        </w:rPr>
        <w:t xml:space="preserve"> </w:t>
      </w:r>
      <w:r>
        <w:rPr>
          <w:rFonts w:ascii="宋体" w:hAnsi="宋体" w:eastAsia="宋体" w:cs="宋体"/>
          <w:spacing w:val="-1"/>
          <w:sz w:val="21"/>
          <w:szCs w:val="21"/>
        </w:rPr>
        <w:t>化、焦化等设备处理原油时，这部分原油量</w:t>
      </w:r>
      <w:r>
        <w:rPr>
          <w:rFonts w:ascii="宋体" w:hAnsi="宋体" w:eastAsia="宋体" w:cs="宋体"/>
          <w:spacing w:val="-2"/>
          <w:sz w:val="21"/>
          <w:szCs w:val="21"/>
        </w:rPr>
        <w:t>也应计算在原油加工量内。外购原料油加工量，指企业外购</w:t>
      </w:r>
      <w:r>
        <w:rPr>
          <w:rFonts w:ascii="宋体" w:hAnsi="宋体" w:eastAsia="宋体" w:cs="宋体"/>
          <w:sz w:val="21"/>
          <w:szCs w:val="21"/>
        </w:rPr>
        <w:t xml:space="preserve"> </w:t>
      </w:r>
      <w:r>
        <w:rPr>
          <w:rFonts w:ascii="宋体" w:hAnsi="宋体" w:eastAsia="宋体" w:cs="宋体"/>
          <w:spacing w:val="-1"/>
          <w:sz w:val="21"/>
          <w:szCs w:val="21"/>
        </w:rPr>
        <w:t>的，进入装置加工生产石油产品的原料油量。外购原料包括外购的裂化</w:t>
      </w:r>
      <w:r>
        <w:rPr>
          <w:rFonts w:ascii="宋体" w:hAnsi="宋体" w:eastAsia="宋体" w:cs="宋体"/>
          <w:spacing w:val="-2"/>
          <w:sz w:val="21"/>
          <w:szCs w:val="21"/>
        </w:rPr>
        <w:t>料、重整料、润滑油料、溶剂油</w:t>
      </w:r>
      <w:r>
        <w:rPr>
          <w:rFonts w:ascii="宋体" w:hAnsi="宋体" w:eastAsia="宋体" w:cs="宋体"/>
          <w:sz w:val="21"/>
          <w:szCs w:val="21"/>
        </w:rPr>
        <w:t xml:space="preserve"> </w:t>
      </w:r>
      <w:r>
        <w:rPr>
          <w:rFonts w:ascii="宋体" w:hAnsi="宋体" w:eastAsia="宋体" w:cs="宋体"/>
          <w:spacing w:val="4"/>
          <w:sz w:val="21"/>
          <w:szCs w:val="21"/>
        </w:rPr>
        <w:t>等原料油，以及外供化工、化纤原料油返回炼油厂进一步加工的部</w:t>
      </w:r>
      <w:r>
        <w:rPr>
          <w:rFonts w:ascii="宋体" w:hAnsi="宋体" w:eastAsia="宋体" w:cs="宋体"/>
          <w:spacing w:val="3"/>
          <w:sz w:val="21"/>
          <w:szCs w:val="21"/>
        </w:rPr>
        <w:t>分。用于生产汽油的</w:t>
      </w:r>
      <w:r>
        <w:rPr>
          <w:rFonts w:ascii="Times New Roman" w:hAnsi="Times New Roman" w:eastAsia="Times New Roman" w:cs="Times New Roman"/>
          <w:sz w:val="21"/>
          <w:szCs w:val="21"/>
        </w:rPr>
        <w:t>MTBE</w:t>
      </w:r>
      <w:r>
        <w:rPr>
          <w:rFonts w:ascii="Times New Roman" w:hAnsi="Times New Roman" w:eastAsia="Times New Roman" w:cs="Times New Roman"/>
          <w:spacing w:val="-29"/>
          <w:sz w:val="21"/>
          <w:szCs w:val="21"/>
        </w:rPr>
        <w:t xml:space="preserve"> </w:t>
      </w:r>
      <w:r>
        <w:rPr>
          <w:rFonts w:ascii="宋体" w:hAnsi="宋体" w:eastAsia="宋体" w:cs="宋体"/>
          <w:spacing w:val="3"/>
          <w:sz w:val="21"/>
          <w:szCs w:val="21"/>
        </w:rPr>
        <w:t>、生产</w:t>
      </w:r>
      <w:r>
        <w:rPr>
          <w:rFonts w:ascii="宋体" w:hAnsi="宋体" w:eastAsia="宋体" w:cs="宋体"/>
          <w:sz w:val="21"/>
          <w:szCs w:val="21"/>
        </w:rPr>
        <w:t xml:space="preserve"> </w:t>
      </w:r>
      <w:r>
        <w:rPr>
          <w:rFonts w:ascii="Times New Roman" w:hAnsi="Times New Roman" w:eastAsia="Times New Roman" w:cs="Times New Roman"/>
          <w:sz w:val="21"/>
          <w:szCs w:val="21"/>
        </w:rPr>
        <w:t>MTBE</w:t>
      </w:r>
      <w:r>
        <w:rPr>
          <w:rFonts w:ascii="宋体" w:hAnsi="宋体" w:eastAsia="宋体" w:cs="宋体"/>
          <w:sz w:val="21"/>
          <w:szCs w:val="21"/>
        </w:rPr>
        <w:t>用的甲醇的外购量和外购氢气，也作为外购原料计算。但不包括用于生产添加剂、催化剂的外购</w:t>
      </w:r>
      <w:r>
        <w:rPr>
          <w:rFonts w:ascii="宋体" w:hAnsi="宋体" w:eastAsia="宋体" w:cs="宋体"/>
          <w:spacing w:val="15"/>
          <w:sz w:val="21"/>
          <w:szCs w:val="21"/>
        </w:rPr>
        <w:t xml:space="preserve"> </w:t>
      </w:r>
      <w:r>
        <w:rPr>
          <w:rFonts w:ascii="宋体" w:hAnsi="宋体" w:eastAsia="宋体" w:cs="宋体"/>
          <w:spacing w:val="-10"/>
          <w:sz w:val="21"/>
          <w:szCs w:val="21"/>
        </w:rPr>
        <w:t>原料。</w:t>
      </w:r>
    </w:p>
    <w:p w14:paraId="7F72F8C9">
      <w:pPr>
        <w:spacing w:line="293" w:lineRule="auto"/>
        <w:rPr>
          <w:rFonts w:ascii="宋体" w:hAnsi="宋体" w:eastAsia="宋体" w:cs="宋体"/>
          <w:sz w:val="21"/>
          <w:szCs w:val="21"/>
        </w:rPr>
        <w:sectPr>
          <w:headerReference r:id="rId34" w:type="default"/>
          <w:pgSz w:w="11910" w:h="16840"/>
          <w:pgMar w:top="1109" w:right="1185" w:bottom="400" w:left="1239" w:header="867" w:footer="0" w:gutter="0"/>
          <w:cols w:space="720" w:num="1"/>
        </w:sectPr>
      </w:pPr>
    </w:p>
    <w:p w14:paraId="75BCD453">
      <w:pPr>
        <w:pStyle w:val="2"/>
        <w:spacing w:line="309" w:lineRule="auto"/>
      </w:pPr>
    </w:p>
    <w:p w14:paraId="4BD15190">
      <w:pPr>
        <w:spacing w:before="68" w:line="359" w:lineRule="exact"/>
        <w:ind w:left="430"/>
        <w:rPr>
          <w:rFonts w:ascii="宋体" w:hAnsi="宋体" w:eastAsia="宋体" w:cs="宋体"/>
          <w:sz w:val="21"/>
          <w:szCs w:val="21"/>
        </w:rPr>
      </w:pPr>
      <w:r>
        <w:rPr>
          <w:rFonts w:ascii="宋体" w:hAnsi="宋体" w:eastAsia="宋体" w:cs="宋体"/>
          <w:spacing w:val="2"/>
          <w:position w:val="11"/>
          <w:sz w:val="21"/>
          <w:szCs w:val="21"/>
        </w:rPr>
        <w:t>原油及外购原料油加工量=原油加工量+外购原料油加工量。</w:t>
      </w:r>
    </w:p>
    <w:p w14:paraId="4D4995EC">
      <w:pPr>
        <w:spacing w:line="222" w:lineRule="auto"/>
        <w:ind w:left="430"/>
        <w:rPr>
          <w:rFonts w:ascii="黑体" w:hAnsi="黑体" w:eastAsia="黑体" w:cs="黑体"/>
          <w:sz w:val="21"/>
          <w:szCs w:val="21"/>
        </w:rPr>
      </w:pPr>
      <w:r>
        <w:rPr>
          <w:rFonts w:ascii="黑体" w:hAnsi="黑体" w:eastAsia="黑体" w:cs="黑体"/>
          <w:spacing w:val="-1"/>
          <w:sz w:val="21"/>
          <w:szCs w:val="21"/>
        </w:rPr>
        <w:t>原油加工单位耗电</w:t>
      </w:r>
    </w:p>
    <w:p w14:paraId="67A9C8DB">
      <w:pPr>
        <w:spacing w:before="87" w:line="371" w:lineRule="exact"/>
        <w:ind w:left="430"/>
        <w:rPr>
          <w:rFonts w:ascii="宋体" w:hAnsi="宋体" w:eastAsia="宋体" w:cs="宋体"/>
          <w:sz w:val="21"/>
          <w:szCs w:val="21"/>
        </w:rPr>
      </w:pPr>
      <w:r>
        <w:rPr>
          <w:rFonts w:ascii="宋体" w:hAnsi="宋体" w:eastAsia="宋体" w:cs="宋体"/>
          <w:spacing w:val="6"/>
          <w:position w:val="12"/>
          <w:sz w:val="21"/>
          <w:szCs w:val="21"/>
        </w:rPr>
        <w:t>计算公式：原油加工单位耗电(千瓦时/吨)=10000×炼油系统电消耗量(万千瓦时)/原油及外购</w:t>
      </w:r>
    </w:p>
    <w:p w14:paraId="17C9F4EA">
      <w:pPr>
        <w:spacing w:line="220" w:lineRule="auto"/>
        <w:ind w:left="4760"/>
        <w:rPr>
          <w:rFonts w:ascii="宋体" w:hAnsi="宋体" w:eastAsia="宋体" w:cs="宋体"/>
          <w:sz w:val="21"/>
          <w:szCs w:val="21"/>
        </w:rPr>
      </w:pPr>
      <w:r>
        <w:rPr>
          <w:rFonts w:ascii="宋体" w:hAnsi="宋体" w:eastAsia="宋体" w:cs="宋体"/>
          <w:spacing w:val="12"/>
          <w:sz w:val="21"/>
          <w:szCs w:val="21"/>
        </w:rPr>
        <w:t>原料油加工量(吨)</w:t>
      </w:r>
    </w:p>
    <w:p w14:paraId="16FCB03E">
      <w:pPr>
        <w:spacing w:before="117" w:line="284" w:lineRule="auto"/>
        <w:ind w:right="65" w:firstLine="430"/>
        <w:rPr>
          <w:rFonts w:ascii="宋体" w:hAnsi="宋体" w:eastAsia="宋体" w:cs="宋体"/>
          <w:sz w:val="21"/>
          <w:szCs w:val="21"/>
        </w:rPr>
      </w:pPr>
      <w:r>
        <w:rPr>
          <w:rFonts w:ascii="宋体" w:hAnsi="宋体" w:eastAsia="宋体" w:cs="宋体"/>
          <w:spacing w:val="4"/>
          <w:sz w:val="21"/>
          <w:szCs w:val="21"/>
        </w:rPr>
        <w:t>分子项：炼油系统电消耗量，指各套炼油装</w:t>
      </w:r>
      <w:r>
        <w:rPr>
          <w:rFonts w:ascii="宋体" w:hAnsi="宋体" w:eastAsia="宋体" w:cs="宋体"/>
          <w:spacing w:val="3"/>
          <w:sz w:val="21"/>
          <w:szCs w:val="21"/>
        </w:rPr>
        <w:t>置(包括添加剂、催化剂装置)和工艺炉以及为这些装</w:t>
      </w:r>
      <w:r>
        <w:rPr>
          <w:rFonts w:ascii="宋体" w:hAnsi="宋体" w:eastAsia="宋体" w:cs="宋体"/>
          <w:sz w:val="21"/>
          <w:szCs w:val="21"/>
        </w:rPr>
        <w:t xml:space="preserve"> </w:t>
      </w:r>
      <w:r>
        <w:rPr>
          <w:rFonts w:ascii="宋体" w:hAnsi="宋体" w:eastAsia="宋体" w:cs="宋体"/>
          <w:spacing w:val="3"/>
          <w:sz w:val="21"/>
          <w:szCs w:val="21"/>
        </w:rPr>
        <w:t>置服务的辅助系统，如储运、装卸油、供排水、供汽(包括自备电站供汽)、压缩空气、机修、仪修、</w:t>
      </w:r>
      <w:r>
        <w:rPr>
          <w:rFonts w:ascii="宋体" w:hAnsi="宋体" w:eastAsia="宋体" w:cs="宋体"/>
          <w:spacing w:val="9"/>
          <w:sz w:val="21"/>
          <w:szCs w:val="21"/>
        </w:rPr>
        <w:t xml:space="preserve"> </w:t>
      </w:r>
      <w:r>
        <w:rPr>
          <w:rFonts w:ascii="宋体" w:hAnsi="宋体" w:eastAsia="宋体" w:cs="宋体"/>
          <w:spacing w:val="-3"/>
          <w:sz w:val="21"/>
          <w:szCs w:val="21"/>
        </w:rPr>
        <w:t>电修、化验室、维修、厂区内采暖设施等消耗的电量。</w:t>
      </w:r>
    </w:p>
    <w:p w14:paraId="42BB674A">
      <w:pPr>
        <w:spacing w:before="112" w:line="219" w:lineRule="auto"/>
        <w:ind w:left="430"/>
        <w:rPr>
          <w:rFonts w:ascii="宋体" w:hAnsi="宋体" w:eastAsia="宋体" w:cs="宋体"/>
          <w:sz w:val="21"/>
          <w:szCs w:val="21"/>
        </w:rPr>
      </w:pPr>
      <w:r>
        <w:rPr>
          <w:rFonts w:ascii="宋体" w:hAnsi="宋体" w:eastAsia="宋体" w:cs="宋体"/>
          <w:spacing w:val="-2"/>
          <w:sz w:val="21"/>
          <w:szCs w:val="21"/>
        </w:rPr>
        <w:t>分母项：原油及外购原料油加工量。解释和说明同上。</w:t>
      </w:r>
    </w:p>
    <w:p w14:paraId="0EBF203A">
      <w:pPr>
        <w:pStyle w:val="2"/>
        <w:spacing w:line="388" w:lineRule="auto"/>
      </w:pPr>
    </w:p>
    <w:p w14:paraId="329FB469">
      <w:pPr>
        <w:spacing w:before="68" w:line="222" w:lineRule="auto"/>
        <w:ind w:left="430"/>
        <w:rPr>
          <w:rFonts w:ascii="黑体" w:hAnsi="黑体" w:eastAsia="黑体" w:cs="黑体"/>
          <w:sz w:val="21"/>
          <w:szCs w:val="21"/>
        </w:rPr>
      </w:pPr>
      <w:r>
        <w:rPr>
          <w:rFonts w:ascii="黑体" w:hAnsi="黑体" w:eastAsia="黑体" w:cs="黑体"/>
          <w:spacing w:val="15"/>
          <w:sz w:val="21"/>
          <w:szCs w:val="21"/>
        </w:rPr>
        <w:t>无机碱(26)</w:t>
      </w:r>
    </w:p>
    <w:p w14:paraId="4CB54A62">
      <w:pPr>
        <w:spacing w:before="118" w:line="222" w:lineRule="auto"/>
        <w:ind w:left="430"/>
        <w:rPr>
          <w:rFonts w:ascii="黑体" w:hAnsi="黑体" w:eastAsia="黑体" w:cs="黑体"/>
          <w:sz w:val="21"/>
          <w:szCs w:val="21"/>
        </w:rPr>
      </w:pPr>
      <w:r>
        <w:rPr>
          <w:rFonts w:ascii="黑体" w:hAnsi="黑体" w:eastAsia="黑体" w:cs="黑体"/>
          <w:spacing w:val="-2"/>
          <w:sz w:val="21"/>
          <w:szCs w:val="21"/>
        </w:rPr>
        <w:t>单位烧碱生产综合能耗</w:t>
      </w:r>
    </w:p>
    <w:p w14:paraId="252C69F1">
      <w:pPr>
        <w:spacing w:before="107" w:line="268" w:lineRule="auto"/>
        <w:ind w:left="5479" w:right="29" w:hanging="5049"/>
        <w:rPr>
          <w:rFonts w:ascii="宋体" w:hAnsi="宋体" w:eastAsia="宋体" w:cs="宋体"/>
          <w:sz w:val="21"/>
          <w:szCs w:val="21"/>
        </w:rPr>
      </w:pPr>
      <w:r>
        <w:rPr>
          <w:rFonts w:ascii="宋体" w:hAnsi="宋体" w:eastAsia="宋体" w:cs="宋体"/>
          <w:spacing w:val="4"/>
          <w:sz w:val="21"/>
          <w:szCs w:val="21"/>
        </w:rPr>
        <w:t>计算公式：单位烧碱生产综合能耗(千克标准煤/吨)=1000×液体烧碱综合能源消耗量(吨</w:t>
      </w:r>
      <w:r>
        <w:rPr>
          <w:rFonts w:ascii="宋体" w:hAnsi="宋体" w:eastAsia="宋体" w:cs="宋体"/>
          <w:spacing w:val="3"/>
          <w:sz w:val="21"/>
          <w:szCs w:val="21"/>
        </w:rPr>
        <w:t>标准煤)</w:t>
      </w:r>
      <w:r>
        <w:rPr>
          <w:rFonts w:ascii="宋体" w:hAnsi="宋体" w:eastAsia="宋体" w:cs="宋体"/>
          <w:sz w:val="21"/>
          <w:szCs w:val="21"/>
        </w:rPr>
        <w:t xml:space="preserve"> </w:t>
      </w:r>
      <w:r>
        <w:rPr>
          <w:rFonts w:ascii="宋体" w:hAnsi="宋体" w:eastAsia="宋体" w:cs="宋体"/>
          <w:spacing w:val="24"/>
          <w:sz w:val="21"/>
          <w:szCs w:val="21"/>
        </w:rPr>
        <w:t>/液体烧碱(折100%)产量(吨)</w:t>
      </w:r>
    </w:p>
    <w:p w14:paraId="6275585B">
      <w:pPr>
        <w:spacing w:before="112" w:line="263" w:lineRule="auto"/>
        <w:ind w:right="62" w:firstLine="430"/>
        <w:rPr>
          <w:rFonts w:ascii="宋体" w:hAnsi="宋体" w:eastAsia="宋体" w:cs="宋体"/>
          <w:sz w:val="21"/>
          <w:szCs w:val="21"/>
        </w:rPr>
      </w:pPr>
      <w:r>
        <w:rPr>
          <w:rFonts w:ascii="宋体" w:hAnsi="宋体" w:eastAsia="宋体" w:cs="宋体"/>
          <w:spacing w:val="-1"/>
          <w:sz w:val="21"/>
          <w:szCs w:val="21"/>
        </w:rPr>
        <w:t>分子项：烧碱综合能源消耗量。指用于烧碱生产的各种能源折</w:t>
      </w:r>
      <w:r>
        <w:rPr>
          <w:rFonts w:ascii="宋体" w:hAnsi="宋体" w:eastAsia="宋体" w:cs="宋体"/>
          <w:spacing w:val="-2"/>
          <w:sz w:val="21"/>
          <w:szCs w:val="21"/>
        </w:rPr>
        <w:t>标准煤后的总和。包括烧碱生产工艺</w:t>
      </w:r>
      <w:r>
        <w:rPr>
          <w:rFonts w:ascii="宋体" w:hAnsi="宋体" w:eastAsia="宋体" w:cs="宋体"/>
          <w:sz w:val="21"/>
          <w:szCs w:val="21"/>
        </w:rPr>
        <w:t xml:space="preserve"> </w:t>
      </w:r>
      <w:r>
        <w:rPr>
          <w:rFonts w:ascii="宋体" w:hAnsi="宋体" w:eastAsia="宋体" w:cs="宋体"/>
          <w:spacing w:val="-2"/>
          <w:sz w:val="21"/>
          <w:szCs w:val="21"/>
        </w:rPr>
        <w:t>系统、为烧碱生产服务的辅助系统和附属生产</w:t>
      </w:r>
      <w:r>
        <w:rPr>
          <w:rFonts w:ascii="宋体" w:hAnsi="宋体" w:eastAsia="宋体" w:cs="宋体"/>
          <w:spacing w:val="-3"/>
          <w:sz w:val="21"/>
          <w:szCs w:val="21"/>
        </w:rPr>
        <w:t>系统等的耗能量。</w:t>
      </w:r>
    </w:p>
    <w:p w14:paraId="3D6E0118">
      <w:pPr>
        <w:spacing w:before="121" w:line="263" w:lineRule="auto"/>
        <w:ind w:right="45" w:firstLine="430"/>
        <w:rPr>
          <w:rFonts w:ascii="宋体" w:hAnsi="宋体" w:eastAsia="宋体" w:cs="宋体"/>
          <w:sz w:val="21"/>
          <w:szCs w:val="21"/>
        </w:rPr>
      </w:pPr>
      <w:r>
        <w:rPr>
          <w:rFonts w:ascii="宋体" w:hAnsi="宋体" w:eastAsia="宋体" w:cs="宋体"/>
          <w:spacing w:val="-1"/>
          <w:sz w:val="21"/>
          <w:szCs w:val="21"/>
        </w:rPr>
        <w:t>烧碱生产系统耗能量的统计范围：从原料投入开始，包括盐水制备、整流、电解、蒸发、蒸煮至成</w:t>
      </w:r>
      <w:r>
        <w:rPr>
          <w:rFonts w:ascii="宋体" w:hAnsi="宋体" w:eastAsia="宋体" w:cs="宋体"/>
          <w:spacing w:val="1"/>
          <w:sz w:val="21"/>
          <w:szCs w:val="21"/>
        </w:rPr>
        <w:t xml:space="preserve"> </w:t>
      </w:r>
      <w:r>
        <w:rPr>
          <w:rFonts w:ascii="宋体" w:hAnsi="宋体" w:eastAsia="宋体" w:cs="宋体"/>
          <w:spacing w:val="-1"/>
          <w:sz w:val="21"/>
          <w:szCs w:val="21"/>
        </w:rPr>
        <w:t>品烧碱包装入库为止的所有工艺用的电解用交流电、动力用</w:t>
      </w:r>
      <w:r>
        <w:rPr>
          <w:rFonts w:ascii="宋体" w:hAnsi="宋体" w:eastAsia="宋体" w:cs="宋体"/>
          <w:spacing w:val="-2"/>
          <w:sz w:val="21"/>
          <w:szCs w:val="21"/>
        </w:rPr>
        <w:t>电、蒸汽、油、煤等实际消耗量。</w:t>
      </w:r>
    </w:p>
    <w:p w14:paraId="595E05E3">
      <w:pPr>
        <w:spacing w:before="121" w:line="264" w:lineRule="auto"/>
        <w:ind w:right="63" w:firstLine="430"/>
        <w:rPr>
          <w:rFonts w:ascii="宋体" w:hAnsi="宋体" w:eastAsia="宋体" w:cs="宋体"/>
          <w:sz w:val="21"/>
          <w:szCs w:val="21"/>
        </w:rPr>
      </w:pPr>
      <w:r>
        <w:rPr>
          <w:rFonts w:ascii="宋体" w:hAnsi="宋体" w:eastAsia="宋体" w:cs="宋体"/>
          <w:spacing w:val="-1"/>
          <w:sz w:val="21"/>
          <w:szCs w:val="21"/>
        </w:rPr>
        <w:t>烧碱生产的辅助和附属系统耗能量的统计范围包括：电槽修</w:t>
      </w:r>
      <w:r>
        <w:rPr>
          <w:rFonts w:ascii="宋体" w:hAnsi="宋体" w:eastAsia="宋体" w:cs="宋体"/>
          <w:spacing w:val="-2"/>
          <w:sz w:val="21"/>
          <w:szCs w:val="21"/>
        </w:rPr>
        <w:t>理、阳极组装、石棉绒回收、炭极加工</w:t>
      </w:r>
      <w:r>
        <w:rPr>
          <w:rFonts w:ascii="宋体" w:hAnsi="宋体" w:eastAsia="宋体" w:cs="宋体"/>
          <w:sz w:val="21"/>
          <w:szCs w:val="21"/>
        </w:rPr>
        <w:t xml:space="preserve"> </w:t>
      </w:r>
      <w:r>
        <w:rPr>
          <w:rFonts w:ascii="宋体" w:hAnsi="宋体" w:eastAsia="宋体" w:cs="宋体"/>
          <w:spacing w:val="-2"/>
          <w:sz w:val="21"/>
          <w:szCs w:val="21"/>
        </w:rPr>
        <w:t>以及车间检修、车间分析、车间办公室、休息室、更衣室等各种耗能量。</w:t>
      </w:r>
    </w:p>
    <w:p w14:paraId="79879B81">
      <w:pPr>
        <w:spacing w:before="121" w:line="290" w:lineRule="auto"/>
        <w:ind w:firstLine="430"/>
        <w:rPr>
          <w:rFonts w:ascii="宋体" w:hAnsi="宋体" w:eastAsia="宋体" w:cs="宋体"/>
          <w:sz w:val="21"/>
          <w:szCs w:val="21"/>
        </w:rPr>
      </w:pPr>
      <w:r>
        <w:rPr>
          <w:rFonts w:ascii="宋体" w:hAnsi="宋体" w:eastAsia="宋体" w:cs="宋体"/>
          <w:spacing w:val="13"/>
          <w:sz w:val="21"/>
          <w:szCs w:val="21"/>
        </w:rPr>
        <w:t>分母项：烧碱(折100%)产量。烧碱产量按折100%纯量计算。烧碱(折100%)</w:t>
      </w:r>
      <w:r>
        <w:rPr>
          <w:rFonts w:ascii="宋体" w:hAnsi="宋体" w:eastAsia="宋体" w:cs="宋体"/>
          <w:spacing w:val="69"/>
          <w:sz w:val="21"/>
          <w:szCs w:val="21"/>
        </w:rPr>
        <w:t xml:space="preserve"> </w:t>
      </w:r>
      <w:r>
        <w:rPr>
          <w:rFonts w:ascii="宋体" w:hAnsi="宋体" w:eastAsia="宋体" w:cs="宋体"/>
          <w:spacing w:val="13"/>
          <w:sz w:val="21"/>
          <w:szCs w:val="21"/>
        </w:rPr>
        <w:t>包括</w:t>
      </w:r>
      <w:r>
        <w:rPr>
          <w:rFonts w:ascii="宋体" w:hAnsi="宋体" w:eastAsia="宋体" w:cs="宋体"/>
          <w:spacing w:val="12"/>
          <w:sz w:val="21"/>
          <w:szCs w:val="21"/>
        </w:rPr>
        <w:t>由盐水电解</w:t>
      </w:r>
      <w:r>
        <w:rPr>
          <w:rFonts w:ascii="宋体" w:hAnsi="宋体" w:eastAsia="宋体" w:cs="宋体"/>
          <w:sz w:val="21"/>
          <w:szCs w:val="21"/>
        </w:rPr>
        <w:t xml:space="preserve"> </w:t>
      </w:r>
      <w:r>
        <w:rPr>
          <w:rFonts w:ascii="宋体" w:hAnsi="宋体" w:eastAsia="宋体" w:cs="宋体"/>
          <w:spacing w:val="-1"/>
          <w:sz w:val="21"/>
          <w:szCs w:val="21"/>
        </w:rPr>
        <w:t>法或由纯碱(或天然碱)苛化法生产的液体氢氧化钠、氢气干燥和本企业其他产品自用的合格烧碱。不同</w:t>
      </w:r>
      <w:r>
        <w:rPr>
          <w:rFonts w:ascii="宋体" w:hAnsi="宋体" w:eastAsia="宋体" w:cs="宋体"/>
          <w:spacing w:val="3"/>
          <w:sz w:val="21"/>
          <w:szCs w:val="21"/>
        </w:rPr>
        <w:t xml:space="preserve"> </w:t>
      </w:r>
      <w:r>
        <w:rPr>
          <w:rFonts w:ascii="宋体" w:hAnsi="宋体" w:eastAsia="宋体" w:cs="宋体"/>
          <w:spacing w:val="-2"/>
          <w:sz w:val="21"/>
          <w:szCs w:val="21"/>
        </w:rPr>
        <w:t>方法生产的各种烧碱，经检验符合国家标准</w:t>
      </w:r>
      <w:r>
        <w:rPr>
          <w:rFonts w:ascii="宋体" w:hAnsi="宋体" w:eastAsia="宋体" w:cs="宋体"/>
          <w:spacing w:val="-23"/>
          <w:sz w:val="21"/>
          <w:szCs w:val="21"/>
        </w:rPr>
        <w:t xml:space="preserve"> </w:t>
      </w:r>
      <w:r>
        <w:rPr>
          <w:rFonts w:ascii="宋体" w:hAnsi="宋体" w:eastAsia="宋体" w:cs="宋体"/>
          <w:spacing w:val="-2"/>
          <w:sz w:val="21"/>
          <w:szCs w:val="21"/>
        </w:rPr>
        <w:t>(GB209-93),</w:t>
      </w:r>
      <w:r>
        <w:rPr>
          <w:rFonts w:ascii="宋体" w:hAnsi="宋体" w:eastAsia="宋体" w:cs="宋体"/>
          <w:spacing w:val="35"/>
          <w:sz w:val="21"/>
          <w:szCs w:val="21"/>
        </w:rPr>
        <w:t xml:space="preserve">  </w:t>
      </w:r>
      <w:r>
        <w:rPr>
          <w:rFonts w:ascii="宋体" w:hAnsi="宋体" w:eastAsia="宋体" w:cs="宋体"/>
          <w:spacing w:val="-2"/>
          <w:sz w:val="21"/>
          <w:szCs w:val="21"/>
        </w:rPr>
        <w:t>方可统计产量。产量中不包括在使用烧碱过</w:t>
      </w:r>
      <w:r>
        <w:rPr>
          <w:rFonts w:ascii="宋体" w:hAnsi="宋体" w:eastAsia="宋体" w:cs="宋体"/>
          <w:sz w:val="21"/>
          <w:szCs w:val="21"/>
        </w:rPr>
        <w:t xml:space="preserve"> </w:t>
      </w:r>
      <w:r>
        <w:rPr>
          <w:rFonts w:ascii="宋体" w:hAnsi="宋体" w:eastAsia="宋体" w:cs="宋体"/>
          <w:spacing w:val="-9"/>
          <w:sz w:val="21"/>
          <w:szCs w:val="21"/>
        </w:rPr>
        <w:t>程中回收的烧碱和生产烧碱过程中自用的电解碱液、浓缩碱液、回收盐液中的含碱量。企业填报烧碱产量，</w:t>
      </w:r>
      <w:r>
        <w:rPr>
          <w:rFonts w:ascii="宋体" w:hAnsi="宋体" w:eastAsia="宋体" w:cs="宋体"/>
          <w:spacing w:val="17"/>
          <w:sz w:val="21"/>
          <w:szCs w:val="21"/>
        </w:rPr>
        <w:t xml:space="preserve"> </w:t>
      </w:r>
      <w:r>
        <w:rPr>
          <w:rFonts w:ascii="宋体" w:hAnsi="宋体" w:eastAsia="宋体" w:cs="宋体"/>
          <w:spacing w:val="3"/>
          <w:sz w:val="21"/>
          <w:szCs w:val="21"/>
        </w:rPr>
        <w:t>应将不同的生产方法(水银法、隔膜法、离子膜法</w:t>
      </w:r>
      <w:r>
        <w:rPr>
          <w:rFonts w:ascii="宋体" w:hAnsi="宋体" w:eastAsia="宋体" w:cs="宋体"/>
          <w:spacing w:val="2"/>
          <w:sz w:val="21"/>
          <w:szCs w:val="21"/>
        </w:rPr>
        <w:t>、苛化法)生产的液碱折成100%纯量后计算产量。</w:t>
      </w:r>
    </w:p>
    <w:p w14:paraId="3D6E4A6F">
      <w:pPr>
        <w:spacing w:before="136" w:line="221" w:lineRule="auto"/>
        <w:ind w:left="433"/>
        <w:rPr>
          <w:rFonts w:ascii="黑体" w:hAnsi="黑体" w:eastAsia="黑体" w:cs="黑体"/>
          <w:sz w:val="21"/>
          <w:szCs w:val="21"/>
        </w:rPr>
      </w:pPr>
      <w:r>
        <w:rPr>
          <w:rFonts w:ascii="黑体" w:hAnsi="黑体" w:eastAsia="黑体" w:cs="黑体"/>
          <w:b/>
          <w:bCs/>
          <w:spacing w:val="-4"/>
          <w:sz w:val="21"/>
          <w:szCs w:val="21"/>
        </w:rPr>
        <w:t>单位烧碱生产耗交流电</w:t>
      </w:r>
    </w:p>
    <w:p w14:paraId="3FF0EBB8">
      <w:pPr>
        <w:spacing w:before="122" w:line="264" w:lineRule="auto"/>
        <w:ind w:left="5169" w:right="347" w:hanging="4739"/>
        <w:rPr>
          <w:rFonts w:ascii="宋体" w:hAnsi="宋体" w:eastAsia="宋体" w:cs="宋体"/>
          <w:sz w:val="21"/>
          <w:szCs w:val="21"/>
        </w:rPr>
      </w:pPr>
      <w:r>
        <w:rPr>
          <w:rFonts w:ascii="宋体" w:hAnsi="宋体" w:eastAsia="宋体" w:cs="宋体"/>
          <w:spacing w:val="6"/>
          <w:sz w:val="21"/>
          <w:szCs w:val="21"/>
        </w:rPr>
        <w:t>计算公式：单位烧碱生产耗交流电(千瓦时/吨)=10000×交流电消耗量(万千瓦时)/液体烧碱</w:t>
      </w:r>
      <w:r>
        <w:rPr>
          <w:rFonts w:ascii="宋体" w:hAnsi="宋体" w:eastAsia="宋体" w:cs="宋体"/>
          <w:spacing w:val="10"/>
          <w:sz w:val="21"/>
          <w:szCs w:val="21"/>
        </w:rPr>
        <w:t xml:space="preserve"> </w:t>
      </w:r>
      <w:r>
        <w:rPr>
          <w:rFonts w:ascii="宋体" w:hAnsi="宋体" w:eastAsia="宋体" w:cs="宋体"/>
          <w:spacing w:val="28"/>
          <w:sz w:val="21"/>
          <w:szCs w:val="21"/>
        </w:rPr>
        <w:t>(折100%)产量(吨)</w:t>
      </w:r>
    </w:p>
    <w:p w14:paraId="133B07B9">
      <w:pPr>
        <w:spacing w:before="121" w:line="284" w:lineRule="auto"/>
        <w:ind w:right="46" w:firstLine="430"/>
        <w:rPr>
          <w:rFonts w:ascii="宋体" w:hAnsi="宋体" w:eastAsia="宋体" w:cs="宋体"/>
          <w:sz w:val="21"/>
          <w:szCs w:val="21"/>
        </w:rPr>
      </w:pPr>
      <w:r>
        <w:rPr>
          <w:rFonts w:ascii="宋体" w:hAnsi="宋体" w:eastAsia="宋体" w:cs="宋体"/>
          <w:spacing w:val="-1"/>
          <w:sz w:val="21"/>
          <w:szCs w:val="21"/>
        </w:rPr>
        <w:t>分子项：交流电消耗量。以电业局安装的直流耗交流电度表计</w:t>
      </w:r>
      <w:r>
        <w:rPr>
          <w:rFonts w:ascii="宋体" w:hAnsi="宋体" w:eastAsia="宋体" w:cs="宋体"/>
          <w:spacing w:val="-2"/>
          <w:sz w:val="21"/>
          <w:szCs w:val="21"/>
        </w:rPr>
        <w:t>量数值为准。没有安装电表的企业，</w:t>
      </w:r>
      <w:r>
        <w:rPr>
          <w:rFonts w:ascii="宋体" w:hAnsi="宋体" w:eastAsia="宋体" w:cs="宋体"/>
          <w:sz w:val="21"/>
          <w:szCs w:val="21"/>
        </w:rPr>
        <w:t xml:space="preserve"> </w:t>
      </w:r>
      <w:r>
        <w:rPr>
          <w:rFonts w:ascii="宋体" w:hAnsi="宋体" w:eastAsia="宋体" w:cs="宋体"/>
          <w:spacing w:val="-1"/>
          <w:sz w:val="21"/>
          <w:szCs w:val="21"/>
        </w:rPr>
        <w:t>以电业局安装的总交流电度表指示的交流电量，扣除动力系统安装的交流电度表的交流电量后，计算直</w:t>
      </w:r>
      <w:r>
        <w:rPr>
          <w:rFonts w:ascii="宋体" w:hAnsi="宋体" w:eastAsia="宋体" w:cs="宋体"/>
          <w:spacing w:val="12"/>
          <w:sz w:val="21"/>
          <w:szCs w:val="21"/>
        </w:rPr>
        <w:t xml:space="preserve"> </w:t>
      </w:r>
      <w:r>
        <w:rPr>
          <w:rFonts w:ascii="宋体" w:hAnsi="宋体" w:eastAsia="宋体" w:cs="宋体"/>
          <w:spacing w:val="-4"/>
          <w:sz w:val="21"/>
          <w:szCs w:val="21"/>
        </w:rPr>
        <w:t>流电所消耗的交流电量。</w:t>
      </w:r>
    </w:p>
    <w:p w14:paraId="09696AB8">
      <w:pPr>
        <w:spacing w:before="109" w:line="219" w:lineRule="auto"/>
        <w:ind w:left="430"/>
        <w:rPr>
          <w:rFonts w:ascii="宋体" w:hAnsi="宋体" w:eastAsia="宋体" w:cs="宋体"/>
          <w:sz w:val="21"/>
          <w:szCs w:val="21"/>
        </w:rPr>
      </w:pPr>
      <w:r>
        <w:rPr>
          <w:rFonts w:ascii="宋体" w:hAnsi="宋体" w:eastAsia="宋体" w:cs="宋体"/>
          <w:spacing w:val="11"/>
          <w:sz w:val="21"/>
          <w:szCs w:val="21"/>
        </w:rPr>
        <w:t>分母项：烧碱(折100%)产量。烧碱产量按折100%纯量计算。说明同上。</w:t>
      </w:r>
    </w:p>
    <w:p w14:paraId="04A991D0">
      <w:pPr>
        <w:spacing w:before="108" w:line="222" w:lineRule="auto"/>
        <w:ind w:left="433"/>
        <w:rPr>
          <w:rFonts w:ascii="黑体" w:hAnsi="黑体" w:eastAsia="黑体" w:cs="黑体"/>
          <w:sz w:val="21"/>
          <w:szCs w:val="21"/>
        </w:rPr>
      </w:pPr>
      <w:r>
        <w:rPr>
          <w:rFonts w:ascii="黑体" w:hAnsi="黑体" w:eastAsia="黑体" w:cs="黑体"/>
          <w:b/>
          <w:bCs/>
          <w:spacing w:val="-4"/>
          <w:sz w:val="21"/>
          <w:szCs w:val="21"/>
        </w:rPr>
        <w:t>单位纯碱生产综合能耗</w:t>
      </w:r>
    </w:p>
    <w:p w14:paraId="50911E6C">
      <w:pPr>
        <w:spacing w:before="110" w:line="264" w:lineRule="auto"/>
        <w:ind w:left="5580" w:right="138" w:hanging="5150"/>
        <w:rPr>
          <w:rFonts w:ascii="宋体" w:hAnsi="宋体" w:eastAsia="宋体" w:cs="宋体"/>
          <w:sz w:val="21"/>
          <w:szCs w:val="21"/>
        </w:rPr>
      </w:pPr>
      <w:r>
        <w:rPr>
          <w:rFonts w:ascii="宋体" w:hAnsi="宋体" w:eastAsia="宋体" w:cs="宋体"/>
          <w:spacing w:val="6"/>
          <w:sz w:val="21"/>
          <w:szCs w:val="21"/>
        </w:rPr>
        <w:t>计算公式：单位纯碱生产综合能耗(千克标准煤/吨)=1000×纯碱综合能源消耗总量(吨标准煤)</w:t>
      </w:r>
      <w:r>
        <w:rPr>
          <w:rFonts w:ascii="宋体" w:hAnsi="宋体" w:eastAsia="宋体" w:cs="宋体"/>
          <w:spacing w:val="9"/>
          <w:sz w:val="21"/>
          <w:szCs w:val="21"/>
        </w:rPr>
        <w:t xml:space="preserve"> </w:t>
      </w:r>
      <w:r>
        <w:rPr>
          <w:rFonts w:ascii="宋体" w:hAnsi="宋体" w:eastAsia="宋体" w:cs="宋体"/>
          <w:spacing w:val="21"/>
          <w:sz w:val="21"/>
          <w:szCs w:val="21"/>
        </w:rPr>
        <w:t>/纯碱(碳酸钠)产量(吨)</w:t>
      </w:r>
    </w:p>
    <w:p w14:paraId="0B0C22B1">
      <w:pPr>
        <w:spacing w:before="119" w:line="285" w:lineRule="auto"/>
        <w:ind w:right="46" w:firstLine="430"/>
        <w:jc w:val="both"/>
        <w:rPr>
          <w:rFonts w:ascii="宋体" w:hAnsi="宋体" w:eastAsia="宋体" w:cs="宋体"/>
          <w:sz w:val="21"/>
          <w:szCs w:val="21"/>
        </w:rPr>
      </w:pPr>
      <w:r>
        <w:rPr>
          <w:rFonts w:ascii="宋体" w:hAnsi="宋体" w:eastAsia="宋体" w:cs="宋体"/>
          <w:spacing w:val="-1"/>
          <w:sz w:val="21"/>
          <w:szCs w:val="21"/>
        </w:rPr>
        <w:t>分子项：纯碱综合能源消耗总量。指在报告期内，</w:t>
      </w:r>
      <w:r>
        <w:rPr>
          <w:rFonts w:ascii="宋体" w:hAnsi="宋体" w:eastAsia="宋体" w:cs="宋体"/>
          <w:spacing w:val="-2"/>
          <w:sz w:val="21"/>
          <w:szCs w:val="21"/>
        </w:rPr>
        <w:t>从能源投入开始，至成品入库为止的生产全过程</w:t>
      </w:r>
      <w:r>
        <w:rPr>
          <w:rFonts w:ascii="宋体" w:hAnsi="宋体" w:eastAsia="宋体" w:cs="宋体"/>
          <w:sz w:val="21"/>
          <w:szCs w:val="21"/>
        </w:rPr>
        <w:t xml:space="preserve"> </w:t>
      </w:r>
      <w:r>
        <w:rPr>
          <w:rFonts w:ascii="宋体" w:hAnsi="宋体" w:eastAsia="宋体" w:cs="宋体"/>
          <w:spacing w:val="-1"/>
          <w:sz w:val="21"/>
          <w:szCs w:val="21"/>
        </w:rPr>
        <w:t>以及中、小修，事故处理所耗用的能源。其中应扣除系统向外输出的物料及能源量。纯碱综合能源消耗</w:t>
      </w:r>
      <w:r>
        <w:rPr>
          <w:rFonts w:ascii="宋体" w:hAnsi="宋体" w:eastAsia="宋体" w:cs="宋体"/>
          <w:spacing w:val="12"/>
          <w:sz w:val="21"/>
          <w:szCs w:val="21"/>
        </w:rPr>
        <w:t xml:space="preserve"> </w:t>
      </w:r>
      <w:r>
        <w:rPr>
          <w:rFonts w:ascii="宋体" w:hAnsi="宋体" w:eastAsia="宋体" w:cs="宋体"/>
          <w:spacing w:val="-3"/>
          <w:sz w:val="21"/>
          <w:szCs w:val="21"/>
        </w:rPr>
        <w:t>分为氨碱法用能和联碱法用能两种。</w:t>
      </w:r>
    </w:p>
    <w:p w14:paraId="23CB8BA5">
      <w:pPr>
        <w:spacing w:before="99" w:line="370" w:lineRule="exact"/>
        <w:ind w:left="430"/>
        <w:rPr>
          <w:rFonts w:ascii="宋体" w:hAnsi="宋体" w:eastAsia="宋体" w:cs="宋体"/>
          <w:sz w:val="21"/>
          <w:szCs w:val="21"/>
        </w:rPr>
      </w:pPr>
      <w:r>
        <w:rPr>
          <w:rFonts w:ascii="宋体" w:hAnsi="宋体" w:eastAsia="宋体" w:cs="宋体"/>
          <w:spacing w:val="-1"/>
          <w:position w:val="12"/>
          <w:sz w:val="21"/>
          <w:szCs w:val="21"/>
        </w:rPr>
        <w:t>氨碱法用能：包括化盐及盐水精制、氨盐水制、碳化和重</w:t>
      </w:r>
      <w:r>
        <w:rPr>
          <w:rFonts w:ascii="宋体" w:hAnsi="宋体" w:eastAsia="宋体" w:cs="宋体"/>
          <w:spacing w:val="-2"/>
          <w:position w:val="12"/>
          <w:sz w:val="21"/>
          <w:szCs w:val="21"/>
        </w:rPr>
        <w:t>碱过滤、重碱煅烧、氨回收、石灰石煅烧</w:t>
      </w:r>
    </w:p>
    <w:p w14:paraId="0AA0FEA4">
      <w:pPr>
        <w:spacing w:before="1" w:line="219" w:lineRule="auto"/>
        <w:rPr>
          <w:rFonts w:ascii="宋体" w:hAnsi="宋体" w:eastAsia="宋体" w:cs="宋体"/>
          <w:sz w:val="21"/>
          <w:szCs w:val="21"/>
        </w:rPr>
      </w:pPr>
      <w:r>
        <w:rPr>
          <w:rFonts w:ascii="宋体" w:hAnsi="宋体" w:eastAsia="宋体" w:cs="宋体"/>
          <w:spacing w:val="-2"/>
          <w:sz w:val="21"/>
          <w:szCs w:val="21"/>
        </w:rPr>
        <w:t>等生产系统工序用能和辅助生产系统用能。不包括锅炉耗能。</w:t>
      </w:r>
    </w:p>
    <w:p w14:paraId="1306AB17">
      <w:pPr>
        <w:spacing w:line="219" w:lineRule="auto"/>
        <w:rPr>
          <w:rFonts w:ascii="宋体" w:hAnsi="宋体" w:eastAsia="宋体" w:cs="宋体"/>
          <w:sz w:val="21"/>
          <w:szCs w:val="21"/>
        </w:rPr>
        <w:sectPr>
          <w:headerReference r:id="rId35" w:type="default"/>
          <w:pgSz w:w="11910" w:h="16840"/>
          <w:pgMar w:top="1109" w:right="1214" w:bottom="400" w:left="1229" w:header="867" w:footer="0" w:gutter="0"/>
          <w:cols w:space="720" w:num="1"/>
        </w:sectPr>
      </w:pPr>
    </w:p>
    <w:p w14:paraId="679AE47F">
      <w:pPr>
        <w:pStyle w:val="2"/>
        <w:spacing w:line="349" w:lineRule="auto"/>
      </w:pPr>
    </w:p>
    <w:p w14:paraId="03B8CA3A">
      <w:pPr>
        <w:spacing w:before="68" w:line="371" w:lineRule="exact"/>
        <w:ind w:right="28"/>
        <w:jc w:val="right"/>
        <w:rPr>
          <w:rFonts w:ascii="宋体" w:hAnsi="宋体" w:eastAsia="宋体" w:cs="宋体"/>
          <w:sz w:val="21"/>
          <w:szCs w:val="21"/>
        </w:rPr>
      </w:pPr>
      <w:r>
        <w:rPr>
          <w:rFonts w:ascii="宋体" w:hAnsi="宋体" w:eastAsia="宋体" w:cs="宋体"/>
          <w:spacing w:val="-1"/>
          <w:position w:val="12"/>
          <w:sz w:val="21"/>
          <w:szCs w:val="21"/>
        </w:rPr>
        <w:t>联碱法用能：包括洗盐、氨母液制备、碳化和重碱过滤、重碱煅烧、氯化铵结晶等生产系统工</w:t>
      </w:r>
      <w:r>
        <w:rPr>
          <w:rFonts w:ascii="宋体" w:hAnsi="宋体" w:eastAsia="宋体" w:cs="宋体"/>
          <w:spacing w:val="-2"/>
          <w:position w:val="12"/>
          <w:sz w:val="21"/>
          <w:szCs w:val="21"/>
        </w:rPr>
        <w:t>序用</w:t>
      </w:r>
    </w:p>
    <w:p w14:paraId="0212D2D9">
      <w:pPr>
        <w:spacing w:line="219" w:lineRule="auto"/>
        <w:rPr>
          <w:rFonts w:ascii="宋体" w:hAnsi="宋体" w:eastAsia="宋体" w:cs="宋体"/>
          <w:sz w:val="21"/>
          <w:szCs w:val="21"/>
        </w:rPr>
      </w:pPr>
      <w:r>
        <w:rPr>
          <w:rFonts w:ascii="宋体" w:hAnsi="宋体" w:eastAsia="宋体" w:cs="宋体"/>
          <w:spacing w:val="-3"/>
          <w:sz w:val="21"/>
          <w:szCs w:val="21"/>
        </w:rPr>
        <w:t>能和辅助生产系统用能。不包括合成氨耗能。</w:t>
      </w:r>
    </w:p>
    <w:p w14:paraId="3B25B39A">
      <w:pPr>
        <w:spacing w:before="120" w:line="219" w:lineRule="auto"/>
        <w:ind w:left="430"/>
        <w:rPr>
          <w:rFonts w:ascii="宋体" w:hAnsi="宋体" w:eastAsia="宋体" w:cs="宋体"/>
          <w:sz w:val="21"/>
          <w:szCs w:val="21"/>
        </w:rPr>
      </w:pPr>
      <w:r>
        <w:rPr>
          <w:rFonts w:ascii="宋体" w:hAnsi="宋体" w:eastAsia="宋体" w:cs="宋体"/>
          <w:spacing w:val="-1"/>
          <w:sz w:val="21"/>
          <w:szCs w:val="21"/>
        </w:rPr>
        <w:t>仅生产单一纯碱产品的企业，产品能源消耗量就是企业的能源</w:t>
      </w:r>
      <w:r>
        <w:rPr>
          <w:rFonts w:ascii="宋体" w:hAnsi="宋体" w:eastAsia="宋体" w:cs="宋体"/>
          <w:spacing w:val="-2"/>
          <w:sz w:val="21"/>
          <w:szCs w:val="21"/>
        </w:rPr>
        <w:t>消耗总量。</w:t>
      </w:r>
    </w:p>
    <w:p w14:paraId="5897CA1A">
      <w:pPr>
        <w:spacing w:before="89" w:line="292" w:lineRule="auto"/>
        <w:ind w:firstLine="430"/>
        <w:rPr>
          <w:rFonts w:ascii="宋体" w:hAnsi="宋体" w:eastAsia="宋体" w:cs="宋体"/>
          <w:sz w:val="21"/>
          <w:szCs w:val="21"/>
        </w:rPr>
      </w:pPr>
      <w:r>
        <w:rPr>
          <w:rFonts w:ascii="宋体" w:hAnsi="宋体" w:eastAsia="宋体" w:cs="宋体"/>
          <w:spacing w:val="-5"/>
          <w:sz w:val="21"/>
          <w:szCs w:val="21"/>
        </w:rPr>
        <w:t>生产多个产品，辅助生产系统和附属生产系统用能，要按照产品的能耗比例合理分摊</w:t>
      </w:r>
      <w:r>
        <w:rPr>
          <w:rFonts w:ascii="宋体" w:hAnsi="宋体" w:eastAsia="宋体" w:cs="宋体"/>
          <w:spacing w:val="-6"/>
          <w:sz w:val="21"/>
          <w:szCs w:val="21"/>
        </w:rPr>
        <w:t>到各个产品中，</w:t>
      </w:r>
      <w:r>
        <w:rPr>
          <w:rFonts w:ascii="宋体" w:hAnsi="宋体" w:eastAsia="宋体" w:cs="宋体"/>
          <w:sz w:val="21"/>
          <w:szCs w:val="21"/>
        </w:rPr>
        <w:t xml:space="preserve"> </w:t>
      </w:r>
      <w:r>
        <w:rPr>
          <w:rFonts w:ascii="宋体" w:hAnsi="宋体" w:eastAsia="宋体" w:cs="宋体"/>
          <w:spacing w:val="-1"/>
          <w:sz w:val="21"/>
          <w:szCs w:val="21"/>
        </w:rPr>
        <w:t>通过计量表送入生产系统的以计量表计量的数量计算。现</w:t>
      </w:r>
      <w:r>
        <w:rPr>
          <w:rFonts w:ascii="宋体" w:hAnsi="宋体" w:eastAsia="宋体" w:cs="宋体"/>
          <w:spacing w:val="-2"/>
          <w:sz w:val="21"/>
          <w:szCs w:val="21"/>
        </w:rPr>
        <w:t>场检修、自备运输工具、附属生产系统用能的</w:t>
      </w:r>
      <w:r>
        <w:rPr>
          <w:rFonts w:ascii="宋体" w:hAnsi="宋体" w:eastAsia="宋体" w:cs="宋体"/>
          <w:sz w:val="21"/>
          <w:szCs w:val="21"/>
        </w:rPr>
        <w:t xml:space="preserve"> </w:t>
      </w:r>
      <w:r>
        <w:rPr>
          <w:rFonts w:ascii="宋体" w:hAnsi="宋体" w:eastAsia="宋体" w:cs="宋体"/>
          <w:spacing w:val="-5"/>
          <w:sz w:val="21"/>
          <w:szCs w:val="21"/>
        </w:rPr>
        <w:t>分摊，需要企业制定合理的分摊系数，</w:t>
      </w:r>
      <w:r>
        <w:rPr>
          <w:rFonts w:ascii="宋体" w:hAnsi="宋体" w:eastAsia="宋体" w:cs="宋体"/>
          <w:spacing w:val="58"/>
          <w:sz w:val="21"/>
          <w:szCs w:val="21"/>
        </w:rPr>
        <w:t xml:space="preserve"> </w:t>
      </w:r>
      <w:r>
        <w:rPr>
          <w:rFonts w:ascii="宋体" w:hAnsi="宋体" w:eastAsia="宋体" w:cs="宋体"/>
          <w:spacing w:val="-5"/>
          <w:sz w:val="21"/>
          <w:szCs w:val="21"/>
        </w:rPr>
        <w:t>一般根据产品能耗的大小、产量的多少、产品生产车间人员的多</w:t>
      </w:r>
      <w:r>
        <w:rPr>
          <w:rFonts w:ascii="宋体" w:hAnsi="宋体" w:eastAsia="宋体" w:cs="宋体"/>
          <w:sz w:val="21"/>
          <w:szCs w:val="21"/>
        </w:rPr>
        <w:t xml:space="preserve"> </w:t>
      </w:r>
      <w:r>
        <w:rPr>
          <w:rFonts w:ascii="宋体" w:hAnsi="宋体" w:eastAsia="宋体" w:cs="宋体"/>
          <w:spacing w:val="-3"/>
          <w:sz w:val="21"/>
          <w:szCs w:val="21"/>
        </w:rPr>
        <w:t>少，综合考虑确定分摊系数。</w:t>
      </w:r>
    </w:p>
    <w:p w14:paraId="3A8169F5">
      <w:pPr>
        <w:spacing w:before="110" w:line="326" w:lineRule="auto"/>
        <w:ind w:right="46" w:firstLine="430"/>
        <w:rPr>
          <w:rFonts w:ascii="宋体" w:hAnsi="宋体" w:eastAsia="宋体" w:cs="宋体"/>
          <w:sz w:val="21"/>
          <w:szCs w:val="21"/>
        </w:rPr>
      </w:pPr>
      <w:r>
        <w:rPr>
          <w:rFonts w:ascii="宋体" w:hAnsi="宋体" w:eastAsia="宋体" w:cs="宋体"/>
          <w:spacing w:val="3"/>
          <w:sz w:val="21"/>
          <w:szCs w:val="21"/>
        </w:rPr>
        <w:t>分母项：纯碱(碳酸钠)产量。指氨碱法和联碱法生产的无水碳酸钠，及以天然碱为原料加工的精</w:t>
      </w:r>
      <w:r>
        <w:rPr>
          <w:rFonts w:ascii="宋体" w:hAnsi="宋体" w:eastAsia="宋体" w:cs="宋体"/>
          <w:sz w:val="21"/>
          <w:szCs w:val="21"/>
        </w:rPr>
        <w:t xml:space="preserve"> 制碱。纯碱均按国家标准(GB210-92)</w:t>
      </w:r>
      <w:r>
        <w:rPr>
          <w:rFonts w:ascii="宋体" w:hAnsi="宋体" w:eastAsia="宋体" w:cs="宋体"/>
          <w:spacing w:val="80"/>
          <w:sz w:val="21"/>
          <w:szCs w:val="21"/>
        </w:rPr>
        <w:t xml:space="preserve"> </w:t>
      </w:r>
      <w:r>
        <w:rPr>
          <w:rFonts w:ascii="宋体" w:hAnsi="宋体" w:eastAsia="宋体" w:cs="宋体"/>
          <w:spacing w:val="-1"/>
          <w:sz w:val="21"/>
          <w:szCs w:val="21"/>
        </w:rPr>
        <w:t>检验，合格者统计产量。未经煅烧的重碱和清扫设备、场地收集</w:t>
      </w:r>
    </w:p>
    <w:p w14:paraId="2E5E97D6">
      <w:pPr>
        <w:spacing w:before="1" w:line="219" w:lineRule="auto"/>
        <w:rPr>
          <w:rFonts w:ascii="宋体" w:hAnsi="宋体" w:eastAsia="宋体" w:cs="宋体"/>
          <w:sz w:val="21"/>
          <w:szCs w:val="21"/>
        </w:rPr>
      </w:pPr>
      <w:r>
        <w:rPr>
          <w:rFonts w:ascii="宋体" w:hAnsi="宋体" w:eastAsia="宋体" w:cs="宋体"/>
          <w:spacing w:val="-2"/>
          <w:sz w:val="21"/>
          <w:szCs w:val="21"/>
        </w:rPr>
        <w:t>的不合格纯碱，均不统计纯碱产量。纯碱产量按合格品的实物量计算。</w:t>
      </w:r>
    </w:p>
    <w:p w14:paraId="40F58963">
      <w:pPr>
        <w:spacing w:before="110" w:line="219" w:lineRule="auto"/>
        <w:ind w:left="430"/>
        <w:rPr>
          <w:rFonts w:ascii="宋体" w:hAnsi="宋体" w:eastAsia="宋体" w:cs="宋体"/>
          <w:sz w:val="21"/>
          <w:szCs w:val="21"/>
        </w:rPr>
      </w:pPr>
      <w:r>
        <w:rPr>
          <w:rFonts w:ascii="宋体" w:hAnsi="宋体" w:eastAsia="宋体" w:cs="宋体"/>
          <w:spacing w:val="-4"/>
          <w:sz w:val="21"/>
          <w:szCs w:val="21"/>
        </w:rPr>
        <w:t>纯碱生产能耗计算有关问题的补充规定：</w:t>
      </w:r>
    </w:p>
    <w:p w14:paraId="72BE4D30">
      <w:pPr>
        <w:spacing w:before="111" w:line="219" w:lineRule="auto"/>
        <w:ind w:left="539"/>
        <w:rPr>
          <w:rFonts w:ascii="宋体" w:hAnsi="宋体" w:eastAsia="宋体" w:cs="宋体"/>
          <w:sz w:val="21"/>
          <w:szCs w:val="21"/>
        </w:rPr>
      </w:pPr>
      <w:r>
        <w:rPr>
          <w:rFonts w:ascii="宋体" w:hAnsi="宋体" w:eastAsia="宋体" w:cs="宋体"/>
          <w:spacing w:val="2"/>
          <w:sz w:val="21"/>
          <w:szCs w:val="21"/>
        </w:rPr>
        <w:t>(1)企业自用碱计入碱产量；</w:t>
      </w:r>
    </w:p>
    <w:p w14:paraId="45FD33C0">
      <w:pPr>
        <w:spacing w:before="111" w:line="219" w:lineRule="auto"/>
        <w:ind w:left="539"/>
        <w:rPr>
          <w:rFonts w:ascii="宋体" w:hAnsi="宋体" w:eastAsia="宋体" w:cs="宋体"/>
          <w:sz w:val="21"/>
          <w:szCs w:val="21"/>
        </w:rPr>
      </w:pPr>
      <w:r>
        <w:rPr>
          <w:rFonts w:ascii="宋体" w:hAnsi="宋体" w:eastAsia="宋体" w:cs="宋体"/>
          <w:spacing w:val="1"/>
          <w:sz w:val="21"/>
          <w:szCs w:val="21"/>
        </w:rPr>
        <w:t>(2)自备电站能耗不计入纯碱能耗统计范围；</w:t>
      </w:r>
    </w:p>
    <w:p w14:paraId="5104A871">
      <w:pPr>
        <w:spacing w:before="110" w:line="268" w:lineRule="auto"/>
        <w:ind w:right="47" w:firstLine="539"/>
        <w:rPr>
          <w:rFonts w:ascii="宋体" w:hAnsi="宋体" w:eastAsia="宋体" w:cs="宋体"/>
          <w:sz w:val="21"/>
          <w:szCs w:val="21"/>
        </w:rPr>
      </w:pPr>
      <w:r>
        <w:rPr>
          <w:rFonts w:ascii="宋体" w:hAnsi="宋体" w:eastAsia="宋体" w:cs="宋体"/>
          <w:spacing w:val="3"/>
          <w:sz w:val="21"/>
          <w:szCs w:val="21"/>
        </w:rPr>
        <w:t>(3)分别计算轻质纯碱和重质纯碱的能耗。重质纯碱的能耗应包括轻质纯碱的能耗和由轻质纯碱</w:t>
      </w:r>
      <w:r>
        <w:rPr>
          <w:rFonts w:ascii="宋体" w:hAnsi="宋体" w:eastAsia="宋体" w:cs="宋体"/>
          <w:spacing w:val="13"/>
          <w:sz w:val="21"/>
          <w:szCs w:val="21"/>
        </w:rPr>
        <w:t xml:space="preserve"> </w:t>
      </w:r>
      <w:r>
        <w:rPr>
          <w:rFonts w:ascii="宋体" w:hAnsi="宋体" w:eastAsia="宋体" w:cs="宋体"/>
          <w:spacing w:val="-5"/>
          <w:sz w:val="21"/>
          <w:szCs w:val="21"/>
        </w:rPr>
        <w:t>生产重质纯碱增加的能耗；</w:t>
      </w:r>
    </w:p>
    <w:p w14:paraId="73FE3E43">
      <w:pPr>
        <w:spacing w:before="110" w:line="278" w:lineRule="auto"/>
        <w:ind w:right="66" w:firstLine="539"/>
        <w:rPr>
          <w:rFonts w:ascii="宋体" w:hAnsi="宋体" w:eastAsia="宋体" w:cs="宋体"/>
          <w:sz w:val="21"/>
          <w:szCs w:val="21"/>
        </w:rPr>
      </w:pPr>
      <w:r>
        <w:rPr>
          <w:rFonts w:ascii="宋体" w:hAnsi="宋体" w:eastAsia="宋体" w:cs="宋体"/>
          <w:spacing w:val="3"/>
          <w:sz w:val="21"/>
          <w:szCs w:val="21"/>
        </w:rPr>
        <w:t>(4)计算联碱双吨能耗时，要注明氯化铵是干铵</w:t>
      </w:r>
      <w:r>
        <w:rPr>
          <w:rFonts w:ascii="宋体" w:hAnsi="宋体" w:eastAsia="宋体" w:cs="宋体"/>
          <w:spacing w:val="2"/>
          <w:sz w:val="21"/>
          <w:szCs w:val="21"/>
        </w:rPr>
        <w:t>还是湿铵。既生产干铵又生产湿铵的联碱企业，</w:t>
      </w:r>
      <w:r>
        <w:rPr>
          <w:rFonts w:ascii="宋体" w:hAnsi="宋体" w:eastAsia="宋体" w:cs="宋体"/>
          <w:sz w:val="21"/>
          <w:szCs w:val="21"/>
        </w:rPr>
        <w:t xml:space="preserve"> </w:t>
      </w:r>
      <w:r>
        <w:rPr>
          <w:rFonts w:ascii="宋体" w:hAnsi="宋体" w:eastAsia="宋体" w:cs="宋体"/>
          <w:spacing w:val="-2"/>
          <w:sz w:val="21"/>
          <w:szCs w:val="21"/>
        </w:rPr>
        <w:t>要分别计算生产干铵的双吨能耗和生产湿铵的双吨能耗。生产干铵的双吨能耗，应包括生产湿铵的能耗</w:t>
      </w:r>
      <w:r>
        <w:rPr>
          <w:rFonts w:ascii="宋体" w:hAnsi="宋体" w:eastAsia="宋体" w:cs="宋体"/>
          <w:spacing w:val="18"/>
          <w:sz w:val="21"/>
          <w:szCs w:val="21"/>
        </w:rPr>
        <w:t xml:space="preserve"> </w:t>
      </w:r>
      <w:r>
        <w:rPr>
          <w:rFonts w:ascii="宋体" w:hAnsi="宋体" w:eastAsia="宋体" w:cs="宋体"/>
          <w:spacing w:val="-4"/>
          <w:sz w:val="21"/>
          <w:szCs w:val="21"/>
        </w:rPr>
        <w:t>和由湿铵生产干铵增加的能耗；</w:t>
      </w:r>
    </w:p>
    <w:p w14:paraId="61904416">
      <w:pPr>
        <w:spacing w:before="132" w:line="268" w:lineRule="auto"/>
        <w:ind w:right="46" w:firstLine="539"/>
        <w:rPr>
          <w:rFonts w:ascii="宋体" w:hAnsi="宋体" w:eastAsia="宋体" w:cs="宋体"/>
          <w:sz w:val="21"/>
          <w:szCs w:val="21"/>
        </w:rPr>
      </w:pPr>
      <w:r>
        <w:rPr>
          <w:rFonts w:ascii="宋体" w:hAnsi="宋体" w:eastAsia="宋体" w:cs="宋体"/>
          <w:spacing w:val="3"/>
          <w:sz w:val="21"/>
          <w:szCs w:val="21"/>
        </w:rPr>
        <w:t>(5)纯碱系统没有单独设立取水系统和循环水系统的企业，纯碱与其他产品按实际用水量合理分</w:t>
      </w:r>
      <w:r>
        <w:rPr>
          <w:rFonts w:ascii="宋体" w:hAnsi="宋体" w:eastAsia="宋体" w:cs="宋体"/>
          <w:spacing w:val="13"/>
          <w:sz w:val="21"/>
          <w:szCs w:val="21"/>
        </w:rPr>
        <w:t xml:space="preserve"> </w:t>
      </w:r>
      <w:r>
        <w:rPr>
          <w:rFonts w:ascii="宋体" w:hAnsi="宋体" w:eastAsia="宋体" w:cs="宋体"/>
          <w:spacing w:val="-8"/>
          <w:sz w:val="21"/>
          <w:szCs w:val="21"/>
        </w:rPr>
        <w:t>摊用水能耗；</w:t>
      </w:r>
    </w:p>
    <w:p w14:paraId="5C975C7B">
      <w:pPr>
        <w:spacing w:before="109" w:line="268" w:lineRule="auto"/>
        <w:ind w:right="46" w:firstLine="539"/>
        <w:rPr>
          <w:rFonts w:ascii="宋体" w:hAnsi="宋体" w:eastAsia="宋体" w:cs="宋体"/>
          <w:sz w:val="21"/>
          <w:szCs w:val="21"/>
        </w:rPr>
      </w:pPr>
      <w:r>
        <w:rPr>
          <w:rFonts w:ascii="宋体" w:hAnsi="宋体" w:eastAsia="宋体" w:cs="宋体"/>
          <w:spacing w:val="3"/>
          <w:sz w:val="21"/>
          <w:szCs w:val="21"/>
        </w:rPr>
        <w:t>(6)采用浓气制碱的联碱企业，合成氨脱碳工序的能耗计入合成氨的能耗，不计入联碱能耗。往</w:t>
      </w:r>
      <w:r>
        <w:rPr>
          <w:rFonts w:ascii="宋体" w:hAnsi="宋体" w:eastAsia="宋体" w:cs="宋体"/>
          <w:spacing w:val="13"/>
          <w:sz w:val="21"/>
          <w:szCs w:val="21"/>
        </w:rPr>
        <w:t xml:space="preserve"> </w:t>
      </w:r>
      <w:r>
        <w:rPr>
          <w:rFonts w:ascii="宋体" w:hAnsi="宋体" w:eastAsia="宋体" w:cs="宋体"/>
          <w:spacing w:val="-3"/>
          <w:sz w:val="21"/>
          <w:szCs w:val="21"/>
        </w:rPr>
        <w:t>联碱输送二氧化碳的低压机的能耗计入联碱能耗；</w:t>
      </w:r>
    </w:p>
    <w:p w14:paraId="38F3C841">
      <w:pPr>
        <w:spacing w:before="112" w:line="267" w:lineRule="auto"/>
        <w:ind w:right="47" w:firstLine="539"/>
        <w:rPr>
          <w:rFonts w:ascii="宋体" w:hAnsi="宋体" w:eastAsia="宋体" w:cs="宋体"/>
          <w:sz w:val="21"/>
          <w:szCs w:val="21"/>
        </w:rPr>
      </w:pPr>
      <w:r>
        <w:rPr>
          <w:rFonts w:ascii="宋体" w:hAnsi="宋体" w:eastAsia="宋体" w:cs="宋体"/>
          <w:spacing w:val="3"/>
          <w:sz w:val="21"/>
          <w:szCs w:val="21"/>
        </w:rPr>
        <w:t>(7)采用变换气制碱的联碱企业，压缩机的能耗计入合成氨的能耗，不计入联碱能耗。设在联碱</w:t>
      </w:r>
      <w:r>
        <w:rPr>
          <w:rFonts w:ascii="宋体" w:hAnsi="宋体" w:eastAsia="宋体" w:cs="宋体"/>
          <w:spacing w:val="13"/>
          <w:sz w:val="21"/>
          <w:szCs w:val="21"/>
        </w:rPr>
        <w:t xml:space="preserve"> </w:t>
      </w:r>
      <w:r>
        <w:rPr>
          <w:rFonts w:ascii="宋体" w:hAnsi="宋体" w:eastAsia="宋体" w:cs="宋体"/>
          <w:spacing w:val="-2"/>
          <w:sz w:val="21"/>
          <w:szCs w:val="21"/>
        </w:rPr>
        <w:t>碳化塔前或塔后的升压机的能耗计入联碱能耗。</w:t>
      </w:r>
    </w:p>
    <w:p w14:paraId="5E1E8228">
      <w:pPr>
        <w:spacing w:before="98" w:line="222" w:lineRule="auto"/>
        <w:ind w:left="433"/>
        <w:rPr>
          <w:rFonts w:ascii="黑体" w:hAnsi="黑体" w:eastAsia="黑体" w:cs="黑体"/>
          <w:sz w:val="21"/>
          <w:szCs w:val="21"/>
        </w:rPr>
      </w:pPr>
      <w:r>
        <w:rPr>
          <w:rFonts w:ascii="黑体" w:hAnsi="黑体" w:eastAsia="黑体" w:cs="黑体"/>
          <w:b/>
          <w:bCs/>
          <w:spacing w:val="-4"/>
          <w:sz w:val="21"/>
          <w:szCs w:val="21"/>
        </w:rPr>
        <w:t>单位纯碱生产耗电</w:t>
      </w:r>
    </w:p>
    <w:p w14:paraId="2FD8BCF2">
      <w:pPr>
        <w:spacing w:before="123" w:line="263" w:lineRule="auto"/>
        <w:ind w:left="4739" w:right="316" w:hanging="4309"/>
        <w:rPr>
          <w:rFonts w:ascii="宋体" w:hAnsi="宋体" w:eastAsia="宋体" w:cs="宋体"/>
          <w:sz w:val="21"/>
          <w:szCs w:val="21"/>
        </w:rPr>
      </w:pPr>
      <w:r>
        <w:rPr>
          <w:rFonts w:ascii="宋体" w:hAnsi="宋体" w:eastAsia="宋体" w:cs="宋体"/>
          <w:spacing w:val="9"/>
          <w:sz w:val="21"/>
          <w:szCs w:val="21"/>
        </w:rPr>
        <w:t>计算公式：单位纯碱生产耗电(千瓦时/吨)=10000×纯碱生产耗电总</w:t>
      </w:r>
      <w:r>
        <w:rPr>
          <w:rFonts w:ascii="宋体" w:hAnsi="宋体" w:eastAsia="宋体" w:cs="宋体"/>
          <w:spacing w:val="8"/>
          <w:sz w:val="21"/>
          <w:szCs w:val="21"/>
        </w:rPr>
        <w:t>量(万千瓦时)/纯碱(碳</w:t>
      </w:r>
      <w:r>
        <w:rPr>
          <w:rFonts w:ascii="宋体" w:hAnsi="宋体" w:eastAsia="宋体" w:cs="宋体"/>
          <w:sz w:val="21"/>
          <w:szCs w:val="21"/>
        </w:rPr>
        <w:t xml:space="preserve"> </w:t>
      </w:r>
      <w:r>
        <w:rPr>
          <w:rFonts w:ascii="宋体" w:hAnsi="宋体" w:eastAsia="宋体" w:cs="宋体"/>
          <w:spacing w:val="27"/>
          <w:sz w:val="21"/>
          <w:szCs w:val="21"/>
        </w:rPr>
        <w:t>酸钠)产量(吨)</w:t>
      </w:r>
    </w:p>
    <w:p w14:paraId="71D52AD3">
      <w:pPr>
        <w:spacing w:before="120" w:line="274" w:lineRule="auto"/>
        <w:ind w:right="46" w:firstLine="430"/>
        <w:rPr>
          <w:rFonts w:ascii="宋体" w:hAnsi="宋体" w:eastAsia="宋体" w:cs="宋体"/>
          <w:sz w:val="21"/>
          <w:szCs w:val="21"/>
        </w:rPr>
      </w:pPr>
      <w:r>
        <w:rPr>
          <w:rFonts w:ascii="宋体" w:hAnsi="宋体" w:eastAsia="宋体" w:cs="宋体"/>
          <w:spacing w:val="-1"/>
          <w:sz w:val="21"/>
          <w:szCs w:val="21"/>
        </w:rPr>
        <w:t>分子项：纯碱生产耗电总量。包括纯碱生产系统以及</w:t>
      </w:r>
      <w:r>
        <w:rPr>
          <w:rFonts w:ascii="宋体" w:hAnsi="宋体" w:eastAsia="宋体" w:cs="宋体"/>
          <w:spacing w:val="-2"/>
          <w:sz w:val="21"/>
          <w:szCs w:val="21"/>
        </w:rPr>
        <w:t>为纯碱生产服务的辅助系统和附属生产系统耗</w:t>
      </w:r>
      <w:r>
        <w:rPr>
          <w:rFonts w:ascii="宋体" w:hAnsi="宋体" w:eastAsia="宋体" w:cs="宋体"/>
          <w:sz w:val="21"/>
          <w:szCs w:val="21"/>
        </w:rPr>
        <w:t xml:space="preserve"> </w:t>
      </w:r>
      <w:r>
        <w:rPr>
          <w:rFonts w:ascii="宋体" w:hAnsi="宋体" w:eastAsia="宋体" w:cs="宋体"/>
          <w:spacing w:val="-15"/>
          <w:sz w:val="21"/>
          <w:szCs w:val="21"/>
        </w:rPr>
        <w:t>电量。</w:t>
      </w:r>
    </w:p>
    <w:p w14:paraId="1FF9B988">
      <w:pPr>
        <w:spacing w:before="87" w:line="219" w:lineRule="auto"/>
        <w:ind w:left="430"/>
        <w:rPr>
          <w:rFonts w:ascii="宋体" w:hAnsi="宋体" w:eastAsia="宋体" w:cs="宋体"/>
          <w:sz w:val="21"/>
          <w:szCs w:val="21"/>
        </w:rPr>
      </w:pPr>
      <w:r>
        <w:rPr>
          <w:rFonts w:ascii="宋体" w:hAnsi="宋体" w:eastAsia="宋体" w:cs="宋体"/>
          <w:spacing w:val="7"/>
          <w:sz w:val="21"/>
          <w:szCs w:val="21"/>
        </w:rPr>
        <w:t>分母项：纯碱(碳酸钠)产量。说明同上。</w:t>
      </w:r>
    </w:p>
    <w:p w14:paraId="09F3A670">
      <w:pPr>
        <w:pStyle w:val="2"/>
        <w:spacing w:line="397" w:lineRule="auto"/>
      </w:pPr>
    </w:p>
    <w:p w14:paraId="5F75B38D">
      <w:pPr>
        <w:spacing w:before="69" w:line="222" w:lineRule="auto"/>
        <w:ind w:left="433"/>
        <w:rPr>
          <w:rFonts w:ascii="黑体" w:hAnsi="黑体" w:eastAsia="黑体" w:cs="黑体"/>
          <w:sz w:val="21"/>
          <w:szCs w:val="21"/>
        </w:rPr>
      </w:pPr>
      <w:r>
        <w:rPr>
          <w:rFonts w:ascii="黑体" w:hAnsi="黑体" w:eastAsia="黑体" w:cs="黑体"/>
          <w:b/>
          <w:bCs/>
          <w:spacing w:val="12"/>
          <w:sz w:val="21"/>
          <w:szCs w:val="21"/>
        </w:rPr>
        <w:t>无机盐(26)</w:t>
      </w:r>
    </w:p>
    <w:p w14:paraId="32DCFD71">
      <w:pPr>
        <w:spacing w:before="116" w:line="222" w:lineRule="auto"/>
        <w:ind w:left="433"/>
        <w:rPr>
          <w:rFonts w:ascii="黑体" w:hAnsi="黑体" w:eastAsia="黑体" w:cs="黑体"/>
          <w:sz w:val="21"/>
          <w:szCs w:val="21"/>
        </w:rPr>
      </w:pPr>
      <w:r>
        <w:rPr>
          <w:rFonts w:ascii="黑体" w:hAnsi="黑体" w:eastAsia="黑体" w:cs="黑体"/>
          <w:b/>
          <w:bCs/>
          <w:spacing w:val="-4"/>
          <w:sz w:val="21"/>
          <w:szCs w:val="21"/>
        </w:rPr>
        <w:t>单位电石生产综合能耗</w:t>
      </w:r>
    </w:p>
    <w:p w14:paraId="2DFAD443">
      <w:pPr>
        <w:spacing w:before="111" w:line="268" w:lineRule="auto"/>
        <w:ind w:left="5580" w:right="9" w:hanging="5150"/>
        <w:rPr>
          <w:rFonts w:ascii="宋体" w:hAnsi="宋体" w:eastAsia="宋体" w:cs="宋体"/>
          <w:sz w:val="21"/>
          <w:szCs w:val="21"/>
        </w:rPr>
      </w:pPr>
      <w:r>
        <w:rPr>
          <w:rFonts w:ascii="宋体" w:hAnsi="宋体" w:eastAsia="宋体" w:cs="宋体"/>
          <w:spacing w:val="6"/>
          <w:sz w:val="21"/>
          <w:szCs w:val="21"/>
        </w:rPr>
        <w:t>计算公式：单位电石生产综合能耗(千克标准煤/吨)=1000×电石综合能源消耗总量(吨标准煤)</w:t>
      </w:r>
      <w:r>
        <w:rPr>
          <w:rFonts w:ascii="宋体" w:hAnsi="宋体" w:eastAsia="宋体" w:cs="宋体"/>
          <w:spacing w:val="4"/>
          <w:sz w:val="21"/>
          <w:szCs w:val="21"/>
        </w:rPr>
        <w:t xml:space="preserve">  </w:t>
      </w:r>
      <w:r>
        <w:rPr>
          <w:rFonts w:ascii="宋体" w:hAnsi="宋体" w:eastAsia="宋体" w:cs="宋体"/>
          <w:spacing w:val="8"/>
          <w:sz w:val="21"/>
          <w:szCs w:val="21"/>
        </w:rPr>
        <w:t>/碳化钙(电石，折300升/千克)产量(吨)</w:t>
      </w:r>
    </w:p>
    <w:p w14:paraId="28F506AB">
      <w:pPr>
        <w:spacing w:before="101" w:line="284" w:lineRule="auto"/>
        <w:ind w:right="45" w:firstLine="430"/>
        <w:jc w:val="both"/>
        <w:rPr>
          <w:rFonts w:ascii="宋体" w:hAnsi="宋体" w:eastAsia="宋体" w:cs="宋体"/>
          <w:sz w:val="21"/>
          <w:szCs w:val="21"/>
        </w:rPr>
      </w:pPr>
      <w:r>
        <w:rPr>
          <w:rFonts w:ascii="宋体" w:hAnsi="宋体" w:eastAsia="宋体" w:cs="宋体"/>
          <w:spacing w:val="-1"/>
          <w:sz w:val="21"/>
          <w:szCs w:val="21"/>
        </w:rPr>
        <w:t>分子项：电石综合能源消耗总量。指从焦炭等原材料和</w:t>
      </w:r>
      <w:r>
        <w:rPr>
          <w:rFonts w:ascii="宋体" w:hAnsi="宋体" w:eastAsia="宋体" w:cs="宋体"/>
          <w:spacing w:val="-2"/>
          <w:sz w:val="21"/>
          <w:szCs w:val="21"/>
        </w:rPr>
        <w:t>能源，经计量进入电石生产开始，到电石成</w:t>
      </w:r>
      <w:r>
        <w:rPr>
          <w:rFonts w:ascii="宋体" w:hAnsi="宋体" w:eastAsia="宋体" w:cs="宋体"/>
          <w:sz w:val="21"/>
          <w:szCs w:val="21"/>
        </w:rPr>
        <w:t xml:space="preserve"> </w:t>
      </w:r>
      <w:r>
        <w:rPr>
          <w:rFonts w:ascii="宋体" w:hAnsi="宋体" w:eastAsia="宋体" w:cs="宋体"/>
          <w:spacing w:val="-2"/>
          <w:sz w:val="21"/>
          <w:szCs w:val="21"/>
        </w:rPr>
        <w:t>品计量入库的电石产品的整个生产过程的用能量。生产过程是由生产系统工艺装置、辅助生产系统和附</w:t>
      </w:r>
      <w:r>
        <w:rPr>
          <w:rFonts w:ascii="宋体" w:hAnsi="宋体" w:eastAsia="宋体" w:cs="宋体"/>
          <w:spacing w:val="18"/>
          <w:sz w:val="21"/>
          <w:szCs w:val="21"/>
        </w:rPr>
        <w:t xml:space="preserve"> </w:t>
      </w:r>
      <w:r>
        <w:rPr>
          <w:rFonts w:ascii="宋体" w:hAnsi="宋体" w:eastAsia="宋体" w:cs="宋体"/>
          <w:spacing w:val="-3"/>
          <w:sz w:val="21"/>
          <w:szCs w:val="21"/>
        </w:rPr>
        <w:t>属生产系统设施三部分组成。</w:t>
      </w:r>
    </w:p>
    <w:p w14:paraId="47AEB776">
      <w:pPr>
        <w:spacing w:before="121" w:line="219" w:lineRule="auto"/>
        <w:ind w:left="430"/>
        <w:rPr>
          <w:rFonts w:ascii="宋体" w:hAnsi="宋体" w:eastAsia="宋体" w:cs="宋体"/>
          <w:sz w:val="21"/>
          <w:szCs w:val="21"/>
        </w:rPr>
      </w:pPr>
      <w:r>
        <w:rPr>
          <w:rFonts w:ascii="宋体" w:hAnsi="宋体" w:eastAsia="宋体" w:cs="宋体"/>
          <w:spacing w:val="-1"/>
          <w:sz w:val="21"/>
          <w:szCs w:val="21"/>
        </w:rPr>
        <w:t>综合能耗应扣除向外输出的能源。向电石生产界区外输出的密</w:t>
      </w:r>
      <w:r>
        <w:rPr>
          <w:rFonts w:ascii="宋体" w:hAnsi="宋体" w:eastAsia="宋体" w:cs="宋体"/>
          <w:spacing w:val="-2"/>
          <w:sz w:val="21"/>
          <w:szCs w:val="21"/>
        </w:rPr>
        <w:t>闭炉气和回收的余热，按向外输出能</w:t>
      </w:r>
    </w:p>
    <w:p w14:paraId="590EF08B">
      <w:pPr>
        <w:spacing w:line="219" w:lineRule="auto"/>
        <w:rPr>
          <w:rFonts w:ascii="宋体" w:hAnsi="宋体" w:eastAsia="宋体" w:cs="宋体"/>
          <w:sz w:val="21"/>
          <w:szCs w:val="21"/>
        </w:rPr>
        <w:sectPr>
          <w:headerReference r:id="rId36" w:type="default"/>
          <w:pgSz w:w="11910" w:h="16840"/>
          <w:pgMar w:top="1048" w:right="1224" w:bottom="400" w:left="1239" w:header="838" w:footer="0" w:gutter="0"/>
          <w:cols w:space="720" w:num="1"/>
        </w:sectPr>
      </w:pPr>
    </w:p>
    <w:p w14:paraId="6CFD795A">
      <w:pPr>
        <w:pStyle w:val="2"/>
        <w:spacing w:line="288" w:lineRule="auto"/>
      </w:pPr>
    </w:p>
    <w:p w14:paraId="6F8FDA4C">
      <w:pPr>
        <w:spacing w:before="68" w:line="380" w:lineRule="exact"/>
        <w:rPr>
          <w:rFonts w:ascii="宋体" w:hAnsi="宋体" w:eastAsia="宋体" w:cs="宋体"/>
          <w:sz w:val="21"/>
          <w:szCs w:val="21"/>
        </w:rPr>
      </w:pPr>
      <w:r>
        <w:rPr>
          <w:rFonts w:ascii="宋体" w:hAnsi="宋体" w:eastAsia="宋体" w:cs="宋体"/>
          <w:spacing w:val="3"/>
          <w:position w:val="12"/>
          <w:sz w:val="21"/>
          <w:szCs w:val="21"/>
        </w:rPr>
        <w:t>源计算。调出的焦(煤)粉，自产自用的石灰，按向外输出的能源计算，其热值按实测低位热值计算。</w:t>
      </w:r>
    </w:p>
    <w:p w14:paraId="59EBD12E">
      <w:pPr>
        <w:spacing w:line="219" w:lineRule="auto"/>
        <w:ind w:left="440"/>
        <w:rPr>
          <w:rFonts w:ascii="宋体" w:hAnsi="宋体" w:eastAsia="宋体" w:cs="宋体"/>
          <w:sz w:val="21"/>
          <w:szCs w:val="21"/>
        </w:rPr>
      </w:pPr>
      <w:r>
        <w:rPr>
          <w:rFonts w:ascii="宋体" w:hAnsi="宋体" w:eastAsia="宋体" w:cs="宋体"/>
          <w:spacing w:val="-7"/>
          <w:sz w:val="21"/>
          <w:szCs w:val="21"/>
        </w:rPr>
        <w:t>电石产品综合能耗包括：</w:t>
      </w:r>
    </w:p>
    <w:p w14:paraId="09B5F560">
      <w:pPr>
        <w:spacing w:before="110" w:line="219" w:lineRule="auto"/>
        <w:ind w:left="550"/>
        <w:rPr>
          <w:rFonts w:ascii="宋体" w:hAnsi="宋体" w:eastAsia="宋体" w:cs="宋体"/>
          <w:sz w:val="21"/>
          <w:szCs w:val="21"/>
        </w:rPr>
      </w:pPr>
      <w:r>
        <w:rPr>
          <w:rFonts w:ascii="宋体" w:hAnsi="宋体" w:eastAsia="宋体" w:cs="宋体"/>
          <w:spacing w:val="2"/>
          <w:sz w:val="21"/>
          <w:szCs w:val="21"/>
        </w:rPr>
        <w:t>(1)电力消耗包括电炉、动力、除尘和照明用电。</w:t>
      </w:r>
    </w:p>
    <w:p w14:paraId="3989BD0E">
      <w:pPr>
        <w:spacing w:before="89" w:line="373" w:lineRule="exact"/>
        <w:ind w:right="53"/>
        <w:jc w:val="right"/>
        <w:rPr>
          <w:rFonts w:ascii="宋体" w:hAnsi="宋体" w:eastAsia="宋体" w:cs="宋体"/>
          <w:sz w:val="21"/>
          <w:szCs w:val="21"/>
        </w:rPr>
      </w:pPr>
      <w:r>
        <w:rPr>
          <w:rFonts w:ascii="宋体" w:hAnsi="宋体" w:eastAsia="宋体" w:cs="宋体"/>
          <w:spacing w:val="3"/>
          <w:position w:val="12"/>
          <w:sz w:val="21"/>
          <w:szCs w:val="21"/>
        </w:rPr>
        <w:t>(2)碳素原料包括焦炭、石油焦、无烟煤、电极糊和其他碳素还原剂等。以进入生产后第一道工</w:t>
      </w:r>
    </w:p>
    <w:p w14:paraId="7C4278BF">
      <w:pPr>
        <w:spacing w:line="220" w:lineRule="auto"/>
        <w:rPr>
          <w:rFonts w:ascii="宋体" w:hAnsi="宋体" w:eastAsia="宋体" w:cs="宋体"/>
          <w:sz w:val="21"/>
          <w:szCs w:val="21"/>
        </w:rPr>
      </w:pPr>
      <w:r>
        <w:rPr>
          <w:rFonts w:ascii="宋体" w:hAnsi="宋体" w:eastAsia="宋体" w:cs="宋体"/>
          <w:spacing w:val="-6"/>
          <w:sz w:val="21"/>
          <w:szCs w:val="21"/>
        </w:rPr>
        <w:t>序为计量点。</w:t>
      </w:r>
    </w:p>
    <w:p w14:paraId="177682AA">
      <w:pPr>
        <w:spacing w:before="97" w:line="381" w:lineRule="exact"/>
        <w:ind w:left="550"/>
        <w:rPr>
          <w:rFonts w:ascii="宋体" w:hAnsi="宋体" w:eastAsia="宋体" w:cs="宋体"/>
          <w:sz w:val="21"/>
          <w:szCs w:val="21"/>
        </w:rPr>
      </w:pPr>
      <w:r>
        <w:rPr>
          <w:rFonts w:ascii="宋体" w:hAnsi="宋体" w:eastAsia="宋体" w:cs="宋体"/>
          <w:spacing w:val="3"/>
          <w:position w:val="12"/>
          <w:sz w:val="21"/>
          <w:szCs w:val="21"/>
        </w:rPr>
        <w:t>(3)干燥焦炭耗燃料，计算起点同上。如果使用电石生产的余热干燥焦炭时，其余热不计算燃料</w:t>
      </w:r>
    </w:p>
    <w:p w14:paraId="3F4F66E1">
      <w:pPr>
        <w:spacing w:line="219" w:lineRule="auto"/>
        <w:rPr>
          <w:rFonts w:ascii="宋体" w:hAnsi="宋体" w:eastAsia="宋体" w:cs="宋体"/>
          <w:sz w:val="21"/>
          <w:szCs w:val="21"/>
        </w:rPr>
      </w:pPr>
      <w:r>
        <w:rPr>
          <w:rFonts w:ascii="宋体" w:hAnsi="宋体" w:eastAsia="宋体" w:cs="宋体"/>
          <w:spacing w:val="-10"/>
          <w:sz w:val="21"/>
          <w:szCs w:val="21"/>
        </w:rPr>
        <w:t>消耗。</w:t>
      </w:r>
    </w:p>
    <w:p w14:paraId="042372C0">
      <w:pPr>
        <w:spacing w:before="91" w:line="380" w:lineRule="exact"/>
        <w:ind w:right="51"/>
        <w:jc w:val="right"/>
        <w:rPr>
          <w:rFonts w:ascii="宋体" w:hAnsi="宋体" w:eastAsia="宋体" w:cs="宋体"/>
          <w:sz w:val="21"/>
          <w:szCs w:val="21"/>
        </w:rPr>
      </w:pPr>
      <w:r>
        <w:rPr>
          <w:rFonts w:ascii="宋体" w:hAnsi="宋体" w:eastAsia="宋体" w:cs="宋体"/>
          <w:spacing w:val="6"/>
          <w:position w:val="12"/>
          <w:sz w:val="21"/>
          <w:szCs w:val="21"/>
        </w:rPr>
        <w:t>(4)辅助生产系统消耗的能源，指各辅助工序(包括电石生</w:t>
      </w:r>
      <w:r>
        <w:rPr>
          <w:rFonts w:ascii="宋体" w:hAnsi="宋体" w:eastAsia="宋体" w:cs="宋体"/>
          <w:spacing w:val="5"/>
          <w:position w:val="12"/>
          <w:sz w:val="21"/>
          <w:szCs w:val="21"/>
        </w:rPr>
        <w:t>产界区内自石灰进厂到电石成品入库</w:t>
      </w:r>
    </w:p>
    <w:p w14:paraId="461CA689">
      <w:pPr>
        <w:spacing w:line="219" w:lineRule="auto"/>
        <w:rPr>
          <w:rFonts w:ascii="宋体" w:hAnsi="宋体" w:eastAsia="宋体" w:cs="宋体"/>
          <w:sz w:val="21"/>
          <w:szCs w:val="21"/>
        </w:rPr>
      </w:pPr>
      <w:r>
        <w:rPr>
          <w:rFonts w:ascii="宋体" w:hAnsi="宋体" w:eastAsia="宋体" w:cs="宋体"/>
          <w:spacing w:val="1"/>
          <w:sz w:val="21"/>
          <w:szCs w:val="21"/>
        </w:rPr>
        <w:t>止)所消耗的能源。</w:t>
      </w:r>
      <w:r>
        <w:rPr>
          <w:rFonts w:ascii="宋体" w:hAnsi="宋体" w:eastAsia="宋体" w:cs="宋体"/>
          <w:spacing w:val="104"/>
          <w:sz w:val="21"/>
          <w:szCs w:val="21"/>
        </w:rPr>
        <w:t xml:space="preserve"> </w:t>
      </w:r>
      <w:r>
        <w:rPr>
          <w:rFonts w:ascii="宋体" w:hAnsi="宋体" w:eastAsia="宋体" w:cs="宋体"/>
          <w:spacing w:val="1"/>
          <w:sz w:val="21"/>
          <w:szCs w:val="21"/>
        </w:rPr>
        <w:t>(前项中计算过的不得重</w:t>
      </w:r>
      <w:r>
        <w:rPr>
          <w:rFonts w:ascii="宋体" w:hAnsi="宋体" w:eastAsia="宋体" w:cs="宋体"/>
          <w:sz w:val="21"/>
          <w:szCs w:val="21"/>
        </w:rPr>
        <w:t>复统计)</w:t>
      </w:r>
    </w:p>
    <w:p w14:paraId="5AB41623">
      <w:pPr>
        <w:spacing w:before="90" w:line="371" w:lineRule="exact"/>
        <w:ind w:right="52"/>
        <w:jc w:val="right"/>
        <w:rPr>
          <w:rFonts w:ascii="宋体" w:hAnsi="宋体" w:eastAsia="宋体" w:cs="宋体"/>
          <w:sz w:val="21"/>
          <w:szCs w:val="21"/>
        </w:rPr>
      </w:pPr>
      <w:r>
        <w:rPr>
          <w:rFonts w:ascii="宋体" w:hAnsi="宋体" w:eastAsia="宋体" w:cs="宋体"/>
          <w:spacing w:val="3"/>
          <w:position w:val="12"/>
          <w:sz w:val="21"/>
          <w:szCs w:val="21"/>
        </w:rPr>
        <w:t>(5)附属生产系统消耗的能源，包括电石生产界区内维修工段、化验室、控制室、库房及车间办</w:t>
      </w:r>
    </w:p>
    <w:p w14:paraId="593D3083">
      <w:pPr>
        <w:spacing w:line="219" w:lineRule="auto"/>
        <w:rPr>
          <w:rFonts w:ascii="宋体" w:hAnsi="宋体" w:eastAsia="宋体" w:cs="宋体"/>
          <w:sz w:val="21"/>
          <w:szCs w:val="21"/>
        </w:rPr>
      </w:pPr>
      <w:r>
        <w:rPr>
          <w:rFonts w:ascii="宋体" w:hAnsi="宋体" w:eastAsia="宋体" w:cs="宋体"/>
          <w:spacing w:val="-5"/>
          <w:sz w:val="21"/>
          <w:szCs w:val="21"/>
        </w:rPr>
        <w:t>公室等消耗的能源。</w:t>
      </w:r>
    </w:p>
    <w:p w14:paraId="3DC742E5">
      <w:pPr>
        <w:spacing w:before="121" w:line="278" w:lineRule="auto"/>
        <w:ind w:right="53" w:firstLine="440"/>
        <w:rPr>
          <w:rFonts w:ascii="宋体" w:hAnsi="宋体" w:eastAsia="宋体" w:cs="宋体"/>
          <w:sz w:val="21"/>
          <w:szCs w:val="21"/>
        </w:rPr>
      </w:pPr>
      <w:r>
        <w:rPr>
          <w:rFonts w:ascii="宋体" w:hAnsi="宋体" w:eastAsia="宋体" w:cs="宋体"/>
          <w:spacing w:val="3"/>
          <w:sz w:val="21"/>
          <w:szCs w:val="21"/>
        </w:rPr>
        <w:t>由于各种能源的热值不同，计算综合能耗时要将各种能源折成标准能源单位(标准煤)。企业外购</w:t>
      </w:r>
      <w:r>
        <w:rPr>
          <w:rFonts w:ascii="宋体" w:hAnsi="宋体" w:eastAsia="宋体" w:cs="宋体"/>
          <w:spacing w:val="11"/>
          <w:sz w:val="21"/>
          <w:szCs w:val="21"/>
        </w:rPr>
        <w:t xml:space="preserve"> </w:t>
      </w:r>
      <w:r>
        <w:rPr>
          <w:rFonts w:ascii="宋体" w:hAnsi="宋体" w:eastAsia="宋体" w:cs="宋体"/>
          <w:spacing w:val="-2"/>
          <w:sz w:val="21"/>
          <w:szCs w:val="21"/>
        </w:rPr>
        <w:t>的各种能源，其热值采用该地区或该企业在报告期内实测的低位热值。没有实测条件的，可采用能源统</w:t>
      </w:r>
      <w:r>
        <w:rPr>
          <w:rFonts w:ascii="宋体" w:hAnsi="宋体" w:eastAsia="宋体" w:cs="宋体"/>
          <w:spacing w:val="18"/>
          <w:sz w:val="21"/>
          <w:szCs w:val="21"/>
        </w:rPr>
        <w:t xml:space="preserve"> </w:t>
      </w:r>
      <w:r>
        <w:rPr>
          <w:rFonts w:ascii="宋体" w:hAnsi="宋体" w:eastAsia="宋体" w:cs="宋体"/>
          <w:spacing w:val="-5"/>
          <w:sz w:val="21"/>
          <w:szCs w:val="21"/>
        </w:rPr>
        <w:t>计报表制度中的参考折标系数。</w:t>
      </w:r>
    </w:p>
    <w:p w14:paraId="47FCF1D9">
      <w:pPr>
        <w:spacing w:before="130" w:line="219" w:lineRule="auto"/>
        <w:ind w:left="440"/>
        <w:rPr>
          <w:rFonts w:ascii="宋体" w:hAnsi="宋体" w:eastAsia="宋体" w:cs="宋体"/>
          <w:sz w:val="21"/>
          <w:szCs w:val="21"/>
        </w:rPr>
      </w:pPr>
      <w:r>
        <w:rPr>
          <w:rFonts w:ascii="宋体" w:hAnsi="宋体" w:eastAsia="宋体" w:cs="宋体"/>
          <w:spacing w:val="-1"/>
          <w:sz w:val="21"/>
          <w:szCs w:val="21"/>
        </w:rPr>
        <w:t>企业外购电力采用当量热值折标系数，即1.229吨标</w:t>
      </w:r>
      <w:r>
        <w:rPr>
          <w:rFonts w:ascii="宋体" w:hAnsi="宋体" w:eastAsia="宋体" w:cs="宋体"/>
          <w:spacing w:val="-2"/>
          <w:sz w:val="21"/>
          <w:szCs w:val="21"/>
        </w:rPr>
        <w:t>准煤/万千瓦时。</w:t>
      </w:r>
    </w:p>
    <w:p w14:paraId="1E54D03D">
      <w:pPr>
        <w:spacing w:before="112" w:line="292" w:lineRule="auto"/>
        <w:ind w:right="47" w:firstLine="440"/>
        <w:rPr>
          <w:rFonts w:ascii="宋体" w:hAnsi="宋体" w:eastAsia="宋体" w:cs="宋体"/>
          <w:sz w:val="21"/>
          <w:szCs w:val="21"/>
        </w:rPr>
      </w:pPr>
      <w:r>
        <w:rPr>
          <w:rFonts w:ascii="宋体" w:hAnsi="宋体" w:eastAsia="宋体" w:cs="宋体"/>
          <w:spacing w:val="3"/>
          <w:sz w:val="21"/>
          <w:szCs w:val="21"/>
        </w:rPr>
        <w:t>分母项：碳化钙(电石，折300升/千克)产量。电石是用碳素材料和生石灰在高温电炉中化合而制</w:t>
      </w:r>
      <w:r>
        <w:rPr>
          <w:rFonts w:ascii="宋体" w:hAnsi="宋体" w:eastAsia="宋体" w:cs="宋体"/>
          <w:spacing w:val="11"/>
          <w:sz w:val="21"/>
          <w:szCs w:val="21"/>
        </w:rPr>
        <w:t xml:space="preserve"> </w:t>
      </w:r>
      <w:r>
        <w:rPr>
          <w:rFonts w:ascii="宋体" w:hAnsi="宋体" w:eastAsia="宋体" w:cs="宋体"/>
          <w:spacing w:val="10"/>
          <w:sz w:val="21"/>
          <w:szCs w:val="21"/>
        </w:rPr>
        <w:t>得的碳化钙。凡符合国家标准</w:t>
      </w:r>
      <w:r>
        <w:rPr>
          <w:rFonts w:ascii="宋体" w:hAnsi="宋体" w:eastAsia="宋体" w:cs="宋体"/>
          <w:spacing w:val="-9"/>
          <w:sz w:val="21"/>
          <w:szCs w:val="21"/>
        </w:rPr>
        <w:t xml:space="preserve"> </w:t>
      </w:r>
      <w:r>
        <w:rPr>
          <w:rFonts w:ascii="宋体" w:hAnsi="宋体" w:eastAsia="宋体" w:cs="宋体"/>
          <w:spacing w:val="10"/>
          <w:sz w:val="21"/>
          <w:szCs w:val="21"/>
        </w:rPr>
        <w:t>(</w:t>
      </w:r>
      <w:r>
        <w:rPr>
          <w:rFonts w:ascii="宋体" w:hAnsi="宋体" w:eastAsia="宋体" w:cs="宋体"/>
          <w:sz w:val="21"/>
          <w:szCs w:val="21"/>
        </w:rPr>
        <w:t>GB</w:t>
      </w:r>
      <w:r>
        <w:rPr>
          <w:rFonts w:ascii="宋体" w:hAnsi="宋体" w:eastAsia="宋体" w:cs="宋体"/>
          <w:spacing w:val="10"/>
          <w:sz w:val="21"/>
          <w:szCs w:val="21"/>
        </w:rPr>
        <w:t>10665-89)</w:t>
      </w:r>
      <w:r>
        <w:rPr>
          <w:rFonts w:ascii="宋体" w:hAnsi="宋体" w:eastAsia="宋体" w:cs="宋体"/>
          <w:spacing w:val="90"/>
          <w:sz w:val="21"/>
          <w:szCs w:val="21"/>
        </w:rPr>
        <w:t xml:space="preserve"> </w:t>
      </w:r>
      <w:r>
        <w:rPr>
          <w:rFonts w:ascii="宋体" w:hAnsi="宋体" w:eastAsia="宋体" w:cs="宋体"/>
          <w:spacing w:val="10"/>
          <w:sz w:val="21"/>
          <w:szCs w:val="21"/>
        </w:rPr>
        <w:t>规定技术条件1(电石粒度)和2(电石质量)要求的电</w:t>
      </w:r>
      <w:r>
        <w:rPr>
          <w:rFonts w:ascii="宋体" w:hAnsi="宋体" w:eastAsia="宋体" w:cs="宋体"/>
          <w:sz w:val="21"/>
          <w:szCs w:val="21"/>
        </w:rPr>
        <w:t xml:space="preserve"> </w:t>
      </w:r>
      <w:r>
        <w:rPr>
          <w:rFonts w:ascii="宋体" w:hAnsi="宋体" w:eastAsia="宋体" w:cs="宋体"/>
          <w:spacing w:val="-1"/>
          <w:sz w:val="21"/>
          <w:szCs w:val="21"/>
        </w:rPr>
        <w:t>石，均可统计产量。电石产量包括商品量和自用量。商品量应在包装检验合格</w:t>
      </w:r>
      <w:r>
        <w:rPr>
          <w:rFonts w:ascii="宋体" w:hAnsi="宋体" w:eastAsia="宋体" w:cs="宋体"/>
          <w:spacing w:val="-2"/>
          <w:sz w:val="21"/>
          <w:szCs w:val="21"/>
        </w:rPr>
        <w:t>入库以后计算产量，自用</w:t>
      </w:r>
      <w:r>
        <w:rPr>
          <w:rFonts w:ascii="宋体" w:hAnsi="宋体" w:eastAsia="宋体" w:cs="宋体"/>
          <w:sz w:val="21"/>
          <w:szCs w:val="21"/>
        </w:rPr>
        <w:t xml:space="preserve"> </w:t>
      </w:r>
      <w:r>
        <w:rPr>
          <w:rFonts w:ascii="宋体" w:hAnsi="宋体" w:eastAsia="宋体" w:cs="宋体"/>
          <w:spacing w:val="-2"/>
          <w:sz w:val="21"/>
          <w:szCs w:val="21"/>
        </w:rPr>
        <w:t>量按输送到使用车间头道工序的数量计算产量。</w:t>
      </w:r>
    </w:p>
    <w:p w14:paraId="13D5FFBF">
      <w:pPr>
        <w:spacing w:before="112" w:line="267" w:lineRule="auto"/>
        <w:ind w:right="55" w:firstLine="440"/>
        <w:rPr>
          <w:rFonts w:ascii="宋体" w:hAnsi="宋体" w:eastAsia="宋体" w:cs="宋体"/>
          <w:sz w:val="21"/>
          <w:szCs w:val="21"/>
        </w:rPr>
      </w:pPr>
      <w:r>
        <w:rPr>
          <w:rFonts w:ascii="宋体" w:hAnsi="宋体" w:eastAsia="宋体" w:cs="宋体"/>
          <w:spacing w:val="5"/>
          <w:sz w:val="21"/>
          <w:szCs w:val="21"/>
        </w:rPr>
        <w:t>电石产量按折合标准发气量(300升/千克)计算。电石发气量，指每一千克电石在20℃、760毫米</w:t>
      </w:r>
      <w:r>
        <w:rPr>
          <w:rFonts w:ascii="宋体" w:hAnsi="宋体" w:eastAsia="宋体" w:cs="宋体"/>
          <w:spacing w:val="8"/>
          <w:sz w:val="21"/>
          <w:szCs w:val="21"/>
        </w:rPr>
        <w:t xml:space="preserve"> </w:t>
      </w:r>
      <w:r>
        <w:rPr>
          <w:rFonts w:ascii="宋体" w:hAnsi="宋体" w:eastAsia="宋体" w:cs="宋体"/>
          <w:spacing w:val="5"/>
          <w:sz w:val="21"/>
          <w:szCs w:val="21"/>
        </w:rPr>
        <w:t>汞柱压力下与水作用，所发生的干乙炔气体体积(以升计量)。</w:t>
      </w:r>
    </w:p>
    <w:p w14:paraId="5E5F190F">
      <w:pPr>
        <w:spacing w:before="102" w:line="390" w:lineRule="exact"/>
        <w:ind w:right="51"/>
        <w:jc w:val="right"/>
        <w:rPr>
          <w:rFonts w:ascii="宋体" w:hAnsi="宋体" w:eastAsia="宋体" w:cs="宋体"/>
          <w:sz w:val="21"/>
          <w:szCs w:val="21"/>
        </w:rPr>
      </w:pPr>
      <w:r>
        <w:rPr>
          <w:rFonts w:ascii="宋体" w:hAnsi="宋体" w:eastAsia="宋体" w:cs="宋体"/>
          <w:spacing w:val="13"/>
          <w:position w:val="13"/>
          <w:sz w:val="21"/>
          <w:szCs w:val="21"/>
        </w:rPr>
        <w:t>碳化钙(电石，折300升/千克)产量(吨)=</w:t>
      </w:r>
      <w:r>
        <w:rPr>
          <w:rFonts w:ascii="Times New Roman" w:hAnsi="Times New Roman" w:eastAsia="Times New Roman" w:cs="Times New Roman"/>
          <w:spacing w:val="13"/>
          <w:position w:val="13"/>
          <w:sz w:val="21"/>
          <w:szCs w:val="21"/>
        </w:rPr>
        <w:t>Z</w:t>
      </w:r>
      <w:r>
        <w:rPr>
          <w:rFonts w:ascii="Times New Roman" w:hAnsi="Times New Roman" w:eastAsia="Times New Roman" w:cs="Times New Roman"/>
          <w:spacing w:val="-6"/>
          <w:position w:val="13"/>
          <w:sz w:val="21"/>
          <w:szCs w:val="21"/>
        </w:rPr>
        <w:t xml:space="preserve"> </w:t>
      </w:r>
      <w:r>
        <w:rPr>
          <w:rFonts w:ascii="宋体" w:hAnsi="宋体" w:eastAsia="宋体" w:cs="宋体"/>
          <w:spacing w:val="13"/>
          <w:position w:val="13"/>
          <w:sz w:val="21"/>
          <w:szCs w:val="21"/>
        </w:rPr>
        <w:t>各批合格电石实物产量(吨)×[各批电石实际发气</w:t>
      </w:r>
    </w:p>
    <w:p w14:paraId="6CDBED3A">
      <w:pPr>
        <w:spacing w:line="219" w:lineRule="auto"/>
        <w:rPr>
          <w:rFonts w:ascii="宋体" w:hAnsi="宋体" w:eastAsia="宋体" w:cs="宋体"/>
          <w:sz w:val="21"/>
          <w:szCs w:val="21"/>
        </w:rPr>
      </w:pPr>
      <w:r>
        <w:rPr>
          <w:rFonts w:ascii="宋体" w:hAnsi="宋体" w:eastAsia="宋体" w:cs="宋体"/>
          <w:spacing w:val="14"/>
          <w:sz w:val="21"/>
          <w:szCs w:val="21"/>
        </w:rPr>
        <w:t>量(升/千克)/300(升/千克)]</w:t>
      </w:r>
    </w:p>
    <w:p w14:paraId="2E9110A6">
      <w:pPr>
        <w:spacing w:before="88" w:line="222" w:lineRule="auto"/>
        <w:ind w:left="443"/>
        <w:rPr>
          <w:rFonts w:ascii="黑体" w:hAnsi="黑体" w:eastAsia="黑体" w:cs="黑体"/>
          <w:sz w:val="21"/>
          <w:szCs w:val="21"/>
        </w:rPr>
      </w:pPr>
      <w:r>
        <w:rPr>
          <w:rFonts w:ascii="黑体" w:hAnsi="黑体" w:eastAsia="黑体" w:cs="黑体"/>
          <w:b/>
          <w:bCs/>
          <w:spacing w:val="-4"/>
          <w:sz w:val="21"/>
          <w:szCs w:val="21"/>
        </w:rPr>
        <w:t>单位电石生产耗电</w:t>
      </w:r>
    </w:p>
    <w:p w14:paraId="57B5EFF5">
      <w:pPr>
        <w:spacing w:before="110" w:line="268" w:lineRule="auto"/>
        <w:ind w:left="4649" w:right="92" w:hanging="4209"/>
        <w:rPr>
          <w:rFonts w:ascii="宋体" w:hAnsi="宋体" w:eastAsia="宋体" w:cs="宋体"/>
          <w:sz w:val="21"/>
          <w:szCs w:val="21"/>
        </w:rPr>
      </w:pPr>
      <w:r>
        <w:rPr>
          <w:rFonts w:ascii="宋体" w:hAnsi="宋体" w:eastAsia="宋体" w:cs="宋体"/>
          <w:spacing w:val="9"/>
          <w:sz w:val="21"/>
          <w:szCs w:val="21"/>
        </w:rPr>
        <w:t>计算公式：单位电石生产耗电(千瓦时/吨)=10000×电石生产耗电总量(万千瓦时</w:t>
      </w:r>
      <w:r>
        <w:rPr>
          <w:rFonts w:ascii="宋体" w:hAnsi="宋体" w:eastAsia="宋体" w:cs="宋体"/>
          <w:spacing w:val="8"/>
          <w:sz w:val="21"/>
          <w:szCs w:val="21"/>
        </w:rPr>
        <w:t>)/碳化钙(电</w:t>
      </w:r>
      <w:r>
        <w:rPr>
          <w:rFonts w:ascii="宋体" w:hAnsi="宋体" w:eastAsia="宋体" w:cs="宋体"/>
          <w:sz w:val="21"/>
          <w:szCs w:val="21"/>
        </w:rPr>
        <w:t xml:space="preserve"> </w:t>
      </w:r>
      <w:r>
        <w:rPr>
          <w:rFonts w:ascii="宋体" w:hAnsi="宋体" w:eastAsia="宋体" w:cs="宋体"/>
          <w:spacing w:val="16"/>
          <w:sz w:val="21"/>
          <w:szCs w:val="21"/>
        </w:rPr>
        <w:t>石，折300升/千克)产量(吨)</w:t>
      </w:r>
    </w:p>
    <w:p w14:paraId="184AFEFD">
      <w:pPr>
        <w:spacing w:before="110" w:line="268" w:lineRule="auto"/>
        <w:ind w:right="52" w:firstLine="440"/>
        <w:rPr>
          <w:rFonts w:ascii="宋体" w:hAnsi="宋体" w:eastAsia="宋体" w:cs="宋体"/>
          <w:sz w:val="21"/>
          <w:szCs w:val="21"/>
        </w:rPr>
      </w:pPr>
      <w:r>
        <w:rPr>
          <w:rFonts w:ascii="宋体" w:hAnsi="宋体" w:eastAsia="宋体" w:cs="宋体"/>
          <w:spacing w:val="-2"/>
          <w:sz w:val="21"/>
          <w:szCs w:val="21"/>
        </w:rPr>
        <w:t>分子项：电石生产耗电量。包括电石生产系统以及为电石生产服务的辅助系统和附属生产系统耗电</w:t>
      </w:r>
      <w:r>
        <w:rPr>
          <w:rFonts w:ascii="宋体" w:hAnsi="宋体" w:eastAsia="宋体" w:cs="宋体"/>
          <w:spacing w:val="17"/>
          <w:sz w:val="21"/>
          <w:szCs w:val="21"/>
        </w:rPr>
        <w:t xml:space="preserve"> </w:t>
      </w:r>
      <w:r>
        <w:rPr>
          <w:rFonts w:ascii="宋体" w:hAnsi="宋体" w:eastAsia="宋体" w:cs="宋体"/>
          <w:spacing w:val="-3"/>
          <w:sz w:val="21"/>
          <w:szCs w:val="21"/>
        </w:rPr>
        <w:t>量，包括电炉工艺用电和动力电。</w:t>
      </w:r>
    </w:p>
    <w:p w14:paraId="4E061C09">
      <w:pPr>
        <w:spacing w:before="111" w:line="219" w:lineRule="auto"/>
        <w:ind w:left="440"/>
        <w:rPr>
          <w:rFonts w:ascii="宋体" w:hAnsi="宋体" w:eastAsia="宋体" w:cs="宋体"/>
          <w:sz w:val="21"/>
          <w:szCs w:val="21"/>
        </w:rPr>
      </w:pPr>
      <w:r>
        <w:rPr>
          <w:rFonts w:ascii="宋体" w:hAnsi="宋体" w:eastAsia="宋体" w:cs="宋体"/>
          <w:spacing w:val="7"/>
          <w:sz w:val="21"/>
          <w:szCs w:val="21"/>
        </w:rPr>
        <w:t>分母项：碳化钙(电石，折300升/千克)产量。说明同上。</w:t>
      </w:r>
    </w:p>
    <w:p w14:paraId="4ED8DEE7">
      <w:pPr>
        <w:spacing w:before="106" w:line="222" w:lineRule="auto"/>
        <w:ind w:left="443"/>
        <w:rPr>
          <w:rFonts w:ascii="黑体" w:hAnsi="黑体" w:eastAsia="黑体" w:cs="黑体"/>
          <w:sz w:val="21"/>
          <w:szCs w:val="21"/>
        </w:rPr>
      </w:pPr>
      <w:r>
        <w:rPr>
          <w:rFonts w:ascii="黑体" w:hAnsi="黑体" w:eastAsia="黑体" w:cs="黑体"/>
          <w:b/>
          <w:bCs/>
          <w:spacing w:val="-4"/>
          <w:sz w:val="21"/>
          <w:szCs w:val="21"/>
        </w:rPr>
        <w:t>单位黄磷生产综合能耗</w:t>
      </w:r>
    </w:p>
    <w:p w14:paraId="4635B996">
      <w:pPr>
        <w:spacing w:before="112" w:line="268" w:lineRule="auto"/>
        <w:ind w:left="5579" w:right="118" w:hanging="5139"/>
        <w:rPr>
          <w:rFonts w:ascii="宋体" w:hAnsi="宋体" w:eastAsia="宋体" w:cs="宋体"/>
          <w:sz w:val="21"/>
          <w:szCs w:val="21"/>
        </w:rPr>
      </w:pPr>
      <w:r>
        <w:rPr>
          <w:rFonts w:ascii="宋体" w:hAnsi="宋体" w:eastAsia="宋体" w:cs="宋体"/>
          <w:spacing w:val="6"/>
          <w:sz w:val="21"/>
          <w:szCs w:val="21"/>
        </w:rPr>
        <w:t>计算公式：单位黄磷生产综合能耗(千克标准煤/吨)=1000×黄磷综合能源消耗总量(吨标准煤)</w:t>
      </w:r>
      <w:r>
        <w:rPr>
          <w:rFonts w:ascii="宋体" w:hAnsi="宋体" w:eastAsia="宋体" w:cs="宋体"/>
          <w:spacing w:val="9"/>
          <w:sz w:val="21"/>
          <w:szCs w:val="21"/>
        </w:rPr>
        <w:t xml:space="preserve"> </w:t>
      </w:r>
      <w:r>
        <w:rPr>
          <w:rFonts w:ascii="宋体" w:hAnsi="宋体" w:eastAsia="宋体" w:cs="宋体"/>
          <w:spacing w:val="8"/>
          <w:sz w:val="21"/>
          <w:szCs w:val="21"/>
        </w:rPr>
        <w:t>/黄磷产量(吨)</w:t>
      </w:r>
    </w:p>
    <w:p w14:paraId="1A024012">
      <w:pPr>
        <w:spacing w:before="110" w:line="292" w:lineRule="auto"/>
        <w:ind w:firstLine="440"/>
        <w:jc w:val="both"/>
        <w:rPr>
          <w:rFonts w:ascii="宋体" w:hAnsi="宋体" w:eastAsia="宋体" w:cs="宋体"/>
          <w:sz w:val="21"/>
          <w:szCs w:val="21"/>
        </w:rPr>
      </w:pPr>
      <w:r>
        <w:rPr>
          <w:rFonts w:ascii="宋体" w:hAnsi="宋体" w:eastAsia="宋体" w:cs="宋体"/>
          <w:spacing w:val="1"/>
          <w:sz w:val="21"/>
          <w:szCs w:val="21"/>
        </w:rPr>
        <w:t>分子项：黄磷综合能源消耗总量。指黄磷生产界区(从磷矿、焦炭、硅石、电力、蒸汽等原材</w:t>
      </w:r>
      <w:r>
        <w:rPr>
          <w:rFonts w:ascii="宋体" w:hAnsi="宋体" w:eastAsia="宋体" w:cs="宋体"/>
          <w:sz w:val="21"/>
          <w:szCs w:val="21"/>
        </w:rPr>
        <w:t xml:space="preserve">料和 </w:t>
      </w:r>
      <w:r>
        <w:rPr>
          <w:rFonts w:ascii="宋体" w:hAnsi="宋体" w:eastAsia="宋体" w:cs="宋体"/>
          <w:spacing w:val="1"/>
          <w:sz w:val="21"/>
          <w:szCs w:val="21"/>
        </w:rPr>
        <w:t>能源经计量进入工序开始，到成品黄磷计量入库和黄磷“三废”经处理送出为止的整个生产过程)消耗</w:t>
      </w:r>
      <w:r>
        <w:rPr>
          <w:rFonts w:ascii="宋体" w:hAnsi="宋体" w:eastAsia="宋体" w:cs="宋体"/>
          <w:spacing w:val="8"/>
          <w:sz w:val="21"/>
          <w:szCs w:val="21"/>
        </w:rPr>
        <w:t xml:space="preserve"> </w:t>
      </w:r>
      <w:r>
        <w:rPr>
          <w:rFonts w:ascii="宋体" w:hAnsi="宋体" w:eastAsia="宋体" w:cs="宋体"/>
          <w:spacing w:val="-4"/>
          <w:sz w:val="21"/>
          <w:szCs w:val="21"/>
        </w:rPr>
        <w:t>的能源。包括黄磷生产系统、辅助生产系统和附属生产</w:t>
      </w:r>
      <w:r>
        <w:rPr>
          <w:rFonts w:ascii="宋体" w:hAnsi="宋体" w:eastAsia="宋体" w:cs="宋体"/>
          <w:spacing w:val="-5"/>
          <w:sz w:val="21"/>
          <w:szCs w:val="21"/>
        </w:rPr>
        <w:t>系统的各种能源消耗量和损失量，以及用作原料、</w:t>
      </w:r>
      <w:r>
        <w:rPr>
          <w:rFonts w:ascii="宋体" w:hAnsi="宋体" w:eastAsia="宋体" w:cs="宋体"/>
          <w:sz w:val="21"/>
          <w:szCs w:val="21"/>
        </w:rPr>
        <w:t xml:space="preserve"> </w:t>
      </w:r>
      <w:r>
        <w:rPr>
          <w:rFonts w:ascii="宋体" w:hAnsi="宋体" w:eastAsia="宋体" w:cs="宋体"/>
          <w:spacing w:val="-1"/>
          <w:sz w:val="21"/>
          <w:szCs w:val="21"/>
        </w:rPr>
        <w:t>材料的能源。不包括基建、技改项目建设及以生活为目的的能耗；不包括向外输出的能源。</w:t>
      </w:r>
    </w:p>
    <w:p w14:paraId="3976A51F">
      <w:pPr>
        <w:spacing w:before="100" w:line="284" w:lineRule="auto"/>
        <w:ind w:right="44" w:firstLine="440"/>
        <w:jc w:val="both"/>
        <w:rPr>
          <w:rFonts w:ascii="宋体" w:hAnsi="宋体" w:eastAsia="宋体" w:cs="宋体"/>
          <w:sz w:val="21"/>
          <w:szCs w:val="21"/>
        </w:rPr>
      </w:pPr>
      <w:r>
        <w:rPr>
          <w:rFonts w:ascii="宋体" w:hAnsi="宋体" w:eastAsia="宋体" w:cs="宋体"/>
          <w:spacing w:val="-1"/>
          <w:sz w:val="21"/>
          <w:szCs w:val="21"/>
        </w:rPr>
        <w:t>黄磷生产消耗的能源主要有煤炭、石油、天然气、电力、</w:t>
      </w:r>
      <w:r>
        <w:rPr>
          <w:rFonts w:ascii="宋体" w:hAnsi="宋体" w:eastAsia="宋体" w:cs="宋体"/>
          <w:spacing w:val="-2"/>
          <w:sz w:val="21"/>
          <w:szCs w:val="21"/>
        </w:rPr>
        <w:t>焦炭、煤气、电石、碳素制品、蒸汽；消</w:t>
      </w:r>
      <w:r>
        <w:rPr>
          <w:rFonts w:ascii="宋体" w:hAnsi="宋体" w:eastAsia="宋体" w:cs="宋体"/>
          <w:sz w:val="21"/>
          <w:szCs w:val="21"/>
        </w:rPr>
        <w:t xml:space="preserve"> </w:t>
      </w:r>
      <w:r>
        <w:rPr>
          <w:rFonts w:ascii="宋体" w:hAnsi="宋体" w:eastAsia="宋体" w:cs="宋体"/>
          <w:spacing w:val="-1"/>
          <w:sz w:val="21"/>
          <w:szCs w:val="21"/>
        </w:rPr>
        <w:t>耗的耗能工质有水、氧气、氮气、压缩空气等。耗能工质不包括自产的耗能工质，但包括</w:t>
      </w:r>
      <w:r>
        <w:rPr>
          <w:rFonts w:ascii="宋体" w:hAnsi="宋体" w:eastAsia="宋体" w:cs="宋体"/>
          <w:spacing w:val="-2"/>
          <w:sz w:val="21"/>
          <w:szCs w:val="21"/>
        </w:rPr>
        <w:t>其所消耗的能</w:t>
      </w:r>
      <w:r>
        <w:rPr>
          <w:rFonts w:ascii="宋体" w:hAnsi="宋体" w:eastAsia="宋体" w:cs="宋体"/>
          <w:sz w:val="21"/>
          <w:szCs w:val="21"/>
        </w:rPr>
        <w:t xml:space="preserve"> </w:t>
      </w:r>
      <w:r>
        <w:rPr>
          <w:rFonts w:ascii="宋体" w:hAnsi="宋体" w:eastAsia="宋体" w:cs="宋体"/>
          <w:spacing w:val="-1"/>
          <w:sz w:val="21"/>
          <w:szCs w:val="21"/>
        </w:rPr>
        <w:t>源。企业黄磷生产界区外的辅助生产系统、附属生产系统能源消耗量和损失量应按能耗</w:t>
      </w:r>
      <w:r>
        <w:rPr>
          <w:rFonts w:ascii="宋体" w:hAnsi="宋体" w:eastAsia="宋体" w:cs="宋体"/>
          <w:spacing w:val="-2"/>
          <w:sz w:val="21"/>
          <w:szCs w:val="21"/>
        </w:rPr>
        <w:t>比例法分摊。碳</w:t>
      </w:r>
    </w:p>
    <w:p w14:paraId="1B6CCFF4">
      <w:pPr>
        <w:spacing w:line="284" w:lineRule="auto"/>
        <w:rPr>
          <w:rFonts w:ascii="宋体" w:hAnsi="宋体" w:eastAsia="宋体" w:cs="宋体"/>
          <w:sz w:val="21"/>
          <w:szCs w:val="21"/>
        </w:rPr>
        <w:sectPr>
          <w:headerReference r:id="rId37" w:type="default"/>
          <w:pgSz w:w="11910" w:h="16840"/>
          <w:pgMar w:top="1109" w:right="1214" w:bottom="400" w:left="1239" w:header="838" w:footer="0" w:gutter="0"/>
          <w:cols w:space="720" w:num="1"/>
        </w:sectPr>
      </w:pPr>
    </w:p>
    <w:p w14:paraId="1ACE0199">
      <w:pPr>
        <w:pStyle w:val="2"/>
        <w:spacing w:line="360" w:lineRule="auto"/>
      </w:pPr>
    </w:p>
    <w:p w14:paraId="787D2199">
      <w:pPr>
        <w:spacing w:before="68" w:line="219" w:lineRule="auto"/>
        <w:rPr>
          <w:rFonts w:ascii="宋体" w:hAnsi="宋体" w:eastAsia="宋体" w:cs="宋体"/>
          <w:sz w:val="21"/>
          <w:szCs w:val="21"/>
        </w:rPr>
      </w:pPr>
      <w:r>
        <w:rPr>
          <w:rFonts w:ascii="宋体" w:hAnsi="宋体" w:eastAsia="宋体" w:cs="宋体"/>
          <w:spacing w:val="-3"/>
          <w:sz w:val="21"/>
          <w:szCs w:val="21"/>
        </w:rPr>
        <w:t>素砖、润滑油的消耗不计入产品综合能耗。</w:t>
      </w:r>
    </w:p>
    <w:p w14:paraId="2B4E50BA">
      <w:pPr>
        <w:spacing w:before="119" w:line="264" w:lineRule="auto"/>
        <w:ind w:right="48" w:firstLine="410"/>
        <w:rPr>
          <w:rFonts w:ascii="宋体" w:hAnsi="宋体" w:eastAsia="宋体" w:cs="宋体"/>
          <w:sz w:val="21"/>
          <w:szCs w:val="21"/>
        </w:rPr>
      </w:pPr>
      <w:r>
        <w:rPr>
          <w:rFonts w:ascii="宋体" w:hAnsi="宋体" w:eastAsia="宋体" w:cs="宋体"/>
          <w:spacing w:val="8"/>
          <w:sz w:val="21"/>
          <w:szCs w:val="21"/>
        </w:rPr>
        <w:t>焦炭(或无烟煤)消耗，包括实际入炉量和损失量，不包括调出的焦(煤)粉。供辅助、附属生产</w:t>
      </w:r>
      <w:r>
        <w:rPr>
          <w:rFonts w:ascii="宋体" w:hAnsi="宋体" w:eastAsia="宋体" w:cs="宋体"/>
          <w:spacing w:val="18"/>
          <w:sz w:val="21"/>
          <w:szCs w:val="21"/>
        </w:rPr>
        <w:t xml:space="preserve"> </w:t>
      </w:r>
      <w:r>
        <w:rPr>
          <w:rFonts w:ascii="宋体" w:hAnsi="宋体" w:eastAsia="宋体" w:cs="宋体"/>
          <w:spacing w:val="6"/>
          <w:sz w:val="21"/>
          <w:szCs w:val="21"/>
        </w:rPr>
        <w:t>系统的焦(煤)粉按比例分摊法计入总能耗。</w:t>
      </w:r>
    </w:p>
    <w:p w14:paraId="6B4CF29E">
      <w:pPr>
        <w:spacing w:before="99" w:line="370" w:lineRule="exact"/>
        <w:ind w:right="53"/>
        <w:jc w:val="right"/>
        <w:rPr>
          <w:rFonts w:ascii="宋体" w:hAnsi="宋体" w:eastAsia="宋体" w:cs="宋体"/>
          <w:sz w:val="21"/>
          <w:szCs w:val="21"/>
        </w:rPr>
      </w:pPr>
      <w:r>
        <w:rPr>
          <w:rFonts w:ascii="宋体" w:hAnsi="宋体" w:eastAsia="宋体" w:cs="宋体"/>
          <w:spacing w:val="-1"/>
          <w:position w:val="12"/>
          <w:sz w:val="21"/>
          <w:szCs w:val="21"/>
        </w:rPr>
        <w:t>黄磷生产界区内回收本界区内产生的余热、余能及化</w:t>
      </w:r>
      <w:r>
        <w:rPr>
          <w:rFonts w:ascii="宋体" w:hAnsi="宋体" w:eastAsia="宋体" w:cs="宋体"/>
          <w:spacing w:val="-2"/>
          <w:position w:val="12"/>
          <w:sz w:val="21"/>
          <w:szCs w:val="21"/>
        </w:rPr>
        <w:t>学反应热，不计入能源消耗量。供界区外装置</w:t>
      </w:r>
    </w:p>
    <w:p w14:paraId="5076FD1C">
      <w:pPr>
        <w:spacing w:line="218" w:lineRule="auto"/>
        <w:rPr>
          <w:rFonts w:ascii="宋体" w:hAnsi="宋体" w:eastAsia="宋体" w:cs="宋体"/>
          <w:sz w:val="21"/>
          <w:szCs w:val="21"/>
        </w:rPr>
      </w:pPr>
      <w:r>
        <w:rPr>
          <w:rFonts w:ascii="宋体" w:hAnsi="宋体" w:eastAsia="宋体" w:cs="宋体"/>
          <w:spacing w:val="-2"/>
          <w:sz w:val="21"/>
          <w:szCs w:val="21"/>
        </w:rPr>
        <w:t>回收利用的，应按其实际回收的能量从本界区</w:t>
      </w:r>
      <w:r>
        <w:rPr>
          <w:rFonts w:ascii="宋体" w:hAnsi="宋体" w:eastAsia="宋体" w:cs="宋体"/>
          <w:spacing w:val="-3"/>
          <w:sz w:val="21"/>
          <w:szCs w:val="21"/>
        </w:rPr>
        <w:t>能耗中扣除。</w:t>
      </w:r>
    </w:p>
    <w:p w14:paraId="299F0BE3">
      <w:pPr>
        <w:spacing w:before="101" w:line="284" w:lineRule="auto"/>
        <w:ind w:right="50" w:firstLine="410"/>
        <w:rPr>
          <w:rFonts w:ascii="宋体" w:hAnsi="宋体" w:eastAsia="宋体" w:cs="宋体"/>
          <w:sz w:val="21"/>
          <w:szCs w:val="21"/>
        </w:rPr>
      </w:pPr>
      <w:r>
        <w:rPr>
          <w:rFonts w:ascii="宋体" w:hAnsi="宋体" w:eastAsia="宋体" w:cs="宋体"/>
          <w:spacing w:val="-2"/>
          <w:sz w:val="21"/>
          <w:szCs w:val="21"/>
        </w:rPr>
        <w:t>分母项：黄磷产量。包括黄磷产品产量和泥磷回收折元素磷两部分。即粗磷精制、过滤所得的，以</w:t>
      </w:r>
      <w:r>
        <w:rPr>
          <w:rFonts w:ascii="宋体" w:hAnsi="宋体" w:eastAsia="宋体" w:cs="宋体"/>
          <w:spacing w:val="13"/>
          <w:sz w:val="21"/>
          <w:szCs w:val="21"/>
        </w:rPr>
        <w:t xml:space="preserve"> </w:t>
      </w:r>
      <w:r>
        <w:rPr>
          <w:rFonts w:ascii="宋体" w:hAnsi="宋体" w:eastAsia="宋体" w:cs="宋体"/>
          <w:spacing w:val="-2"/>
          <w:sz w:val="21"/>
          <w:szCs w:val="21"/>
        </w:rPr>
        <w:t>及泥磷通过真空过滤或蒸磷等方法得到的符合国家标准GB7816-1998</w:t>
      </w:r>
      <w:r>
        <w:rPr>
          <w:rFonts w:ascii="宋体" w:hAnsi="宋体" w:eastAsia="宋体" w:cs="宋体"/>
          <w:spacing w:val="30"/>
          <w:sz w:val="21"/>
          <w:szCs w:val="21"/>
        </w:rPr>
        <w:t xml:space="preserve"> </w:t>
      </w:r>
      <w:r>
        <w:rPr>
          <w:rFonts w:ascii="宋体" w:hAnsi="宋体" w:eastAsia="宋体" w:cs="宋体"/>
          <w:spacing w:val="-2"/>
          <w:sz w:val="21"/>
          <w:szCs w:val="21"/>
        </w:rPr>
        <w:t>的黄磷产品；泥磷回收折磷，指泥</w:t>
      </w:r>
      <w:r>
        <w:rPr>
          <w:rFonts w:ascii="宋体" w:hAnsi="宋体" w:eastAsia="宋体" w:cs="宋体"/>
          <w:sz w:val="21"/>
          <w:szCs w:val="21"/>
        </w:rPr>
        <w:t xml:space="preserve"> </w:t>
      </w:r>
      <w:r>
        <w:rPr>
          <w:rFonts w:ascii="宋体" w:hAnsi="宋体" w:eastAsia="宋体" w:cs="宋体"/>
          <w:spacing w:val="-2"/>
          <w:sz w:val="21"/>
          <w:szCs w:val="21"/>
        </w:rPr>
        <w:t>磷通过烧制磷酸或制其他化学品回收的元素磷量。</w:t>
      </w:r>
    </w:p>
    <w:p w14:paraId="1C472927">
      <w:pPr>
        <w:spacing w:before="117" w:line="222" w:lineRule="auto"/>
        <w:ind w:left="413"/>
        <w:rPr>
          <w:rFonts w:ascii="黑体" w:hAnsi="黑体" w:eastAsia="黑体" w:cs="黑体"/>
          <w:sz w:val="21"/>
          <w:szCs w:val="21"/>
        </w:rPr>
      </w:pPr>
      <w:r>
        <w:rPr>
          <w:rFonts w:ascii="黑体" w:hAnsi="黑体" w:eastAsia="黑体" w:cs="黑体"/>
          <w:b/>
          <w:bCs/>
          <w:spacing w:val="-4"/>
          <w:sz w:val="21"/>
          <w:szCs w:val="21"/>
        </w:rPr>
        <w:t>单位黄磷生产耗电</w:t>
      </w:r>
    </w:p>
    <w:p w14:paraId="02A7780E">
      <w:pPr>
        <w:spacing w:before="112" w:line="370" w:lineRule="exact"/>
        <w:ind w:right="16"/>
        <w:jc w:val="right"/>
        <w:rPr>
          <w:rFonts w:ascii="宋体" w:hAnsi="宋体" w:eastAsia="宋体" w:cs="宋体"/>
          <w:sz w:val="21"/>
          <w:szCs w:val="21"/>
        </w:rPr>
      </w:pPr>
      <w:r>
        <w:rPr>
          <w:rFonts w:ascii="宋体" w:hAnsi="宋体" w:eastAsia="宋体" w:cs="宋体"/>
          <w:spacing w:val="4"/>
          <w:position w:val="12"/>
          <w:sz w:val="21"/>
          <w:szCs w:val="21"/>
        </w:rPr>
        <w:t>计算公式：单位黄磷生产耗电(千瓦时/吨)=10000×黄磷生产耗电总量(万</w:t>
      </w:r>
      <w:r>
        <w:rPr>
          <w:rFonts w:ascii="宋体" w:hAnsi="宋体" w:eastAsia="宋体" w:cs="宋体"/>
          <w:spacing w:val="3"/>
          <w:position w:val="12"/>
          <w:sz w:val="21"/>
          <w:szCs w:val="21"/>
        </w:rPr>
        <w:t>千瓦时)/黄磷产量(吨)</w:t>
      </w:r>
    </w:p>
    <w:p w14:paraId="22831A30">
      <w:pPr>
        <w:spacing w:line="219" w:lineRule="auto"/>
        <w:ind w:left="410"/>
        <w:rPr>
          <w:rFonts w:ascii="宋体" w:hAnsi="宋体" w:eastAsia="宋体" w:cs="宋体"/>
          <w:sz w:val="21"/>
          <w:szCs w:val="21"/>
        </w:rPr>
      </w:pPr>
      <w:r>
        <w:rPr>
          <w:rFonts w:ascii="宋体" w:hAnsi="宋体" w:eastAsia="宋体" w:cs="宋体"/>
          <w:spacing w:val="-2"/>
          <w:sz w:val="21"/>
          <w:szCs w:val="21"/>
        </w:rPr>
        <w:t>分子项：黄磷产品耗电。包括电炉电耗和动力电耗两部分。</w:t>
      </w:r>
    </w:p>
    <w:p w14:paraId="5C3D4C14">
      <w:pPr>
        <w:spacing w:before="112" w:line="278" w:lineRule="auto"/>
        <w:ind w:right="33" w:firstLine="539"/>
        <w:jc w:val="both"/>
        <w:rPr>
          <w:rFonts w:ascii="宋体" w:hAnsi="宋体" w:eastAsia="宋体" w:cs="宋体"/>
          <w:sz w:val="21"/>
          <w:szCs w:val="21"/>
        </w:rPr>
      </w:pPr>
      <w:r>
        <w:rPr>
          <w:rFonts w:ascii="宋体" w:hAnsi="宋体" w:eastAsia="宋体" w:cs="宋体"/>
          <w:spacing w:val="3"/>
          <w:sz w:val="21"/>
          <w:szCs w:val="21"/>
        </w:rPr>
        <w:t>(1)电炉电耗包括电炉加热的直接用电、电炉短网电耗、电炉变压器损耗、电炉变压器高压线路</w:t>
      </w:r>
      <w:r>
        <w:rPr>
          <w:rFonts w:ascii="宋体" w:hAnsi="宋体" w:eastAsia="宋体" w:cs="宋体"/>
          <w:spacing w:val="13"/>
          <w:sz w:val="21"/>
          <w:szCs w:val="21"/>
        </w:rPr>
        <w:t xml:space="preserve"> </w:t>
      </w:r>
      <w:r>
        <w:rPr>
          <w:rFonts w:ascii="宋体" w:hAnsi="宋体" w:eastAsia="宋体" w:cs="宋体"/>
          <w:spacing w:val="-1"/>
          <w:sz w:val="21"/>
          <w:szCs w:val="21"/>
        </w:rPr>
        <w:t>损耗以及供电线路损耗所分摊给电炉变压器的电耗；不包括</w:t>
      </w:r>
      <w:r>
        <w:rPr>
          <w:rFonts w:ascii="宋体" w:hAnsi="宋体" w:eastAsia="宋体" w:cs="宋体"/>
          <w:spacing w:val="-2"/>
          <w:sz w:val="21"/>
          <w:szCs w:val="21"/>
        </w:rPr>
        <w:t>电炉及其附属设备和建筑物所消耗的动力和</w:t>
      </w:r>
      <w:r>
        <w:rPr>
          <w:rFonts w:ascii="宋体" w:hAnsi="宋体" w:eastAsia="宋体" w:cs="宋体"/>
          <w:sz w:val="21"/>
          <w:szCs w:val="21"/>
        </w:rPr>
        <w:t xml:space="preserve"> </w:t>
      </w:r>
      <w:r>
        <w:rPr>
          <w:rFonts w:ascii="宋体" w:hAnsi="宋体" w:eastAsia="宋体" w:cs="宋体"/>
          <w:spacing w:val="-8"/>
          <w:sz w:val="21"/>
          <w:szCs w:val="21"/>
        </w:rPr>
        <w:t>照明用电。</w:t>
      </w:r>
    </w:p>
    <w:p w14:paraId="0A223AAF">
      <w:pPr>
        <w:spacing w:before="119" w:line="219" w:lineRule="auto"/>
        <w:ind w:left="550"/>
        <w:rPr>
          <w:rFonts w:ascii="宋体" w:hAnsi="宋体" w:eastAsia="宋体" w:cs="宋体"/>
          <w:sz w:val="21"/>
          <w:szCs w:val="21"/>
        </w:rPr>
      </w:pPr>
      <w:r>
        <w:rPr>
          <w:rFonts w:ascii="宋体" w:hAnsi="宋体" w:eastAsia="宋体" w:cs="宋体"/>
          <w:spacing w:val="1"/>
          <w:sz w:val="21"/>
          <w:szCs w:val="21"/>
        </w:rPr>
        <w:t>(2)动力电耗包括生产系统、辅助生产系统和附属生产系统所分摊的动力和照明用电。</w:t>
      </w:r>
    </w:p>
    <w:p w14:paraId="0DB1FD3E">
      <w:pPr>
        <w:spacing w:before="141" w:line="259" w:lineRule="auto"/>
        <w:ind w:right="52" w:firstLine="410"/>
        <w:rPr>
          <w:rFonts w:ascii="宋体" w:hAnsi="宋体" w:eastAsia="宋体" w:cs="宋体"/>
          <w:sz w:val="21"/>
          <w:szCs w:val="21"/>
        </w:rPr>
      </w:pPr>
      <w:r>
        <w:rPr>
          <w:rFonts w:ascii="宋体" w:hAnsi="宋体" w:eastAsia="宋体" w:cs="宋体"/>
          <w:spacing w:val="-1"/>
          <w:sz w:val="21"/>
          <w:szCs w:val="21"/>
        </w:rPr>
        <w:t>①生产系统所消耗的动力和照明用电，包括生产系统所</w:t>
      </w:r>
      <w:r>
        <w:rPr>
          <w:rFonts w:ascii="宋体" w:hAnsi="宋体" w:eastAsia="宋体" w:cs="宋体"/>
          <w:spacing w:val="-2"/>
          <w:sz w:val="21"/>
          <w:szCs w:val="21"/>
        </w:rPr>
        <w:t>有装置、设施所消耗的动力、照明用电及其</w:t>
      </w:r>
      <w:r>
        <w:rPr>
          <w:rFonts w:ascii="宋体" w:hAnsi="宋体" w:eastAsia="宋体" w:cs="宋体"/>
          <w:sz w:val="21"/>
          <w:szCs w:val="21"/>
        </w:rPr>
        <w:t xml:space="preserve"> </w:t>
      </w:r>
      <w:r>
        <w:rPr>
          <w:rFonts w:ascii="宋体" w:hAnsi="宋体" w:eastAsia="宋体" w:cs="宋体"/>
          <w:spacing w:val="-2"/>
          <w:sz w:val="21"/>
          <w:szCs w:val="21"/>
        </w:rPr>
        <w:t>供电损耗，以及所分摊的动力变压器和供电线路损耗。</w:t>
      </w:r>
    </w:p>
    <w:p w14:paraId="251EF239">
      <w:pPr>
        <w:spacing w:before="130" w:line="260" w:lineRule="auto"/>
        <w:ind w:right="40" w:firstLine="410"/>
        <w:rPr>
          <w:rFonts w:ascii="宋体" w:hAnsi="宋体" w:eastAsia="宋体" w:cs="宋体"/>
          <w:sz w:val="21"/>
          <w:szCs w:val="21"/>
        </w:rPr>
      </w:pPr>
      <w:r>
        <w:rPr>
          <w:rFonts w:ascii="宋体" w:hAnsi="宋体" w:eastAsia="宋体" w:cs="宋体"/>
          <w:spacing w:val="-1"/>
          <w:sz w:val="21"/>
          <w:szCs w:val="21"/>
        </w:rPr>
        <w:t>②辅助生产系统和附属生产系统所分摊的动力和照明用电量，指这两个系统按比例</w:t>
      </w:r>
      <w:r>
        <w:rPr>
          <w:rFonts w:ascii="宋体" w:hAnsi="宋体" w:eastAsia="宋体" w:cs="宋体"/>
          <w:spacing w:val="-2"/>
          <w:sz w:val="21"/>
          <w:szCs w:val="21"/>
        </w:rPr>
        <w:t>分摊给黄磷产品</w:t>
      </w:r>
      <w:r>
        <w:rPr>
          <w:rFonts w:ascii="宋体" w:hAnsi="宋体" w:eastAsia="宋体" w:cs="宋体"/>
          <w:sz w:val="21"/>
          <w:szCs w:val="21"/>
        </w:rPr>
        <w:t xml:space="preserve"> </w:t>
      </w:r>
      <w:r>
        <w:rPr>
          <w:rFonts w:ascii="宋体" w:hAnsi="宋体" w:eastAsia="宋体" w:cs="宋体"/>
          <w:spacing w:val="-4"/>
          <w:sz w:val="21"/>
          <w:szCs w:val="21"/>
        </w:rPr>
        <w:t>的动力和照明电耗以及它们的损耗。</w:t>
      </w:r>
    </w:p>
    <w:p w14:paraId="2B1E493E">
      <w:pPr>
        <w:spacing w:before="111" w:line="219" w:lineRule="auto"/>
        <w:ind w:left="410"/>
        <w:rPr>
          <w:rFonts w:ascii="宋体" w:hAnsi="宋体" w:eastAsia="宋体" w:cs="宋体"/>
          <w:sz w:val="21"/>
          <w:szCs w:val="21"/>
        </w:rPr>
      </w:pPr>
      <w:r>
        <w:rPr>
          <w:rFonts w:ascii="宋体" w:hAnsi="宋体" w:eastAsia="宋体" w:cs="宋体"/>
          <w:spacing w:val="-3"/>
          <w:sz w:val="21"/>
          <w:szCs w:val="21"/>
        </w:rPr>
        <w:t>分母项：黄磷产量。说明同上。</w:t>
      </w:r>
    </w:p>
    <w:p w14:paraId="1BFF8A71">
      <w:pPr>
        <w:pStyle w:val="2"/>
        <w:spacing w:line="385" w:lineRule="auto"/>
      </w:pPr>
    </w:p>
    <w:p w14:paraId="0F3B49A7">
      <w:pPr>
        <w:spacing w:before="68" w:line="221" w:lineRule="auto"/>
        <w:ind w:left="413"/>
        <w:rPr>
          <w:rFonts w:ascii="黑体" w:hAnsi="黑体" w:eastAsia="黑体" w:cs="黑体"/>
          <w:sz w:val="21"/>
          <w:szCs w:val="21"/>
        </w:rPr>
      </w:pPr>
      <w:r>
        <w:rPr>
          <w:rFonts w:ascii="黑体" w:hAnsi="黑体" w:eastAsia="黑体" w:cs="黑体"/>
          <w:b/>
          <w:bCs/>
          <w:spacing w:val="8"/>
          <w:sz w:val="21"/>
          <w:szCs w:val="21"/>
        </w:rPr>
        <w:t>有机化学原料(26)</w:t>
      </w:r>
    </w:p>
    <w:p w14:paraId="26C3ADCD">
      <w:pPr>
        <w:spacing w:before="120" w:line="222" w:lineRule="auto"/>
        <w:ind w:left="413"/>
        <w:rPr>
          <w:rFonts w:ascii="黑体" w:hAnsi="黑体" w:eastAsia="黑体" w:cs="黑体"/>
          <w:sz w:val="21"/>
          <w:szCs w:val="21"/>
        </w:rPr>
      </w:pPr>
      <w:r>
        <w:rPr>
          <w:rFonts w:ascii="黑体" w:hAnsi="黑体" w:eastAsia="黑体" w:cs="黑体"/>
          <w:b/>
          <w:bCs/>
          <w:spacing w:val="-4"/>
          <w:sz w:val="21"/>
          <w:szCs w:val="21"/>
        </w:rPr>
        <w:t>单位乙烯生产综合能耗</w:t>
      </w:r>
    </w:p>
    <w:p w14:paraId="2DB5FA83">
      <w:pPr>
        <w:spacing w:before="110" w:line="264" w:lineRule="auto"/>
        <w:ind w:left="5459" w:right="36" w:hanging="5049"/>
        <w:rPr>
          <w:rFonts w:ascii="宋体" w:hAnsi="宋体" w:eastAsia="宋体" w:cs="宋体"/>
          <w:sz w:val="21"/>
          <w:szCs w:val="21"/>
        </w:rPr>
      </w:pPr>
      <w:r>
        <w:rPr>
          <w:rFonts w:ascii="宋体" w:hAnsi="宋体" w:eastAsia="宋体" w:cs="宋体"/>
          <w:spacing w:val="4"/>
          <w:sz w:val="21"/>
          <w:szCs w:val="21"/>
        </w:rPr>
        <w:t>计算公式：单位乙烯生产综合能耗(千克标准煤/吨</w:t>
      </w:r>
      <w:r>
        <w:rPr>
          <w:rFonts w:ascii="宋体" w:hAnsi="宋体" w:eastAsia="宋体" w:cs="宋体"/>
          <w:spacing w:val="3"/>
          <w:sz w:val="21"/>
          <w:szCs w:val="21"/>
        </w:rPr>
        <w:t>)=1000×乙烯燃动综合能源消耗量(吨标准煤)</w:t>
      </w:r>
      <w:r>
        <w:rPr>
          <w:rFonts w:ascii="宋体" w:hAnsi="宋体" w:eastAsia="宋体" w:cs="宋体"/>
          <w:sz w:val="21"/>
          <w:szCs w:val="21"/>
        </w:rPr>
        <w:t xml:space="preserve"> </w:t>
      </w:r>
      <w:r>
        <w:rPr>
          <w:rFonts w:ascii="宋体" w:hAnsi="宋体" w:eastAsia="宋体" w:cs="宋体"/>
          <w:spacing w:val="11"/>
          <w:sz w:val="21"/>
          <w:szCs w:val="21"/>
        </w:rPr>
        <w:t>/乙烯产量(吨)</w:t>
      </w:r>
    </w:p>
    <w:p w14:paraId="4E3E3C9D">
      <w:pPr>
        <w:spacing w:before="122" w:line="285" w:lineRule="auto"/>
        <w:ind w:right="51" w:firstLine="410"/>
        <w:rPr>
          <w:rFonts w:ascii="宋体" w:hAnsi="宋体" w:eastAsia="宋体" w:cs="宋体"/>
          <w:sz w:val="21"/>
          <w:szCs w:val="21"/>
        </w:rPr>
      </w:pPr>
      <w:r>
        <w:rPr>
          <w:rFonts w:ascii="宋体" w:hAnsi="宋体" w:eastAsia="宋体" w:cs="宋体"/>
          <w:spacing w:val="-2"/>
          <w:sz w:val="21"/>
          <w:szCs w:val="21"/>
        </w:rPr>
        <w:t>分子项：乙烯燃动综合能源消耗量。包括燃料油、燃料气、蒸汽、电力等的消耗，不包括作为生产</w:t>
      </w:r>
      <w:r>
        <w:rPr>
          <w:rFonts w:ascii="宋体" w:hAnsi="宋体" w:eastAsia="宋体" w:cs="宋体"/>
          <w:spacing w:val="7"/>
          <w:sz w:val="21"/>
          <w:szCs w:val="21"/>
        </w:rPr>
        <w:t xml:space="preserve"> </w:t>
      </w:r>
      <w:r>
        <w:rPr>
          <w:rFonts w:ascii="宋体" w:hAnsi="宋体" w:eastAsia="宋体" w:cs="宋体"/>
          <w:spacing w:val="1"/>
          <w:sz w:val="21"/>
          <w:szCs w:val="21"/>
        </w:rPr>
        <w:t>乙烯的原料消耗(注：在填报《能源购进、消费与库存》和《能源加工转换与</w:t>
      </w:r>
      <w:r>
        <w:rPr>
          <w:rFonts w:ascii="宋体" w:hAnsi="宋体" w:eastAsia="宋体" w:cs="宋体"/>
          <w:sz w:val="21"/>
          <w:szCs w:val="21"/>
        </w:rPr>
        <w:t xml:space="preserve">回收利用》时，要计算能 </w:t>
      </w:r>
      <w:r>
        <w:rPr>
          <w:rFonts w:ascii="宋体" w:hAnsi="宋体" w:eastAsia="宋体" w:cs="宋体"/>
          <w:spacing w:val="1"/>
          <w:sz w:val="21"/>
          <w:szCs w:val="21"/>
        </w:rPr>
        <w:t>源消费量)。计算能耗的乙烯装置界区仅指乙烯工艺装置本身，包括原料</w:t>
      </w:r>
      <w:r>
        <w:rPr>
          <w:rFonts w:ascii="宋体" w:hAnsi="宋体" w:eastAsia="宋体" w:cs="宋体"/>
          <w:sz w:val="21"/>
          <w:szCs w:val="21"/>
        </w:rPr>
        <w:t xml:space="preserve">脱硫、脱砷、裂解炉区、急冷 </w:t>
      </w:r>
      <w:r>
        <w:rPr>
          <w:rFonts w:ascii="宋体" w:hAnsi="宋体" w:eastAsia="宋体" w:cs="宋体"/>
          <w:spacing w:val="3"/>
          <w:sz w:val="21"/>
          <w:szCs w:val="21"/>
        </w:rPr>
        <w:t>区、压缩区、分离区、废碱处理、火炬气回收压缩机(回收气返回裂解炉燃料系统)工艺单元。</w:t>
      </w:r>
    </w:p>
    <w:p w14:paraId="2D3C2912">
      <w:pPr>
        <w:spacing w:before="132" w:line="370" w:lineRule="exact"/>
        <w:ind w:right="50"/>
        <w:jc w:val="right"/>
        <w:rPr>
          <w:rFonts w:ascii="宋体" w:hAnsi="宋体" w:eastAsia="宋体" w:cs="宋体"/>
          <w:sz w:val="21"/>
          <w:szCs w:val="21"/>
        </w:rPr>
      </w:pPr>
      <w:r>
        <w:rPr>
          <w:rFonts w:ascii="宋体" w:hAnsi="宋体" w:eastAsia="宋体" w:cs="宋体"/>
          <w:spacing w:val="-1"/>
          <w:position w:val="12"/>
          <w:sz w:val="21"/>
          <w:szCs w:val="21"/>
        </w:rPr>
        <w:t>乙烯生产装置界区不包括：开工锅炉、锅炉给水、循环水、</w:t>
      </w:r>
      <w:r>
        <w:rPr>
          <w:rFonts w:ascii="宋体" w:hAnsi="宋体" w:eastAsia="宋体" w:cs="宋体"/>
          <w:spacing w:val="-2"/>
          <w:position w:val="12"/>
          <w:sz w:val="21"/>
          <w:szCs w:val="21"/>
        </w:rPr>
        <w:t>空压站等辅助生产设施。这些辅助设施</w:t>
      </w:r>
    </w:p>
    <w:p w14:paraId="7AEAC11E">
      <w:pPr>
        <w:spacing w:line="219" w:lineRule="auto"/>
        <w:rPr>
          <w:rFonts w:ascii="宋体" w:hAnsi="宋体" w:eastAsia="宋体" w:cs="宋体"/>
          <w:sz w:val="21"/>
          <w:szCs w:val="21"/>
        </w:rPr>
      </w:pPr>
      <w:r>
        <w:rPr>
          <w:rFonts w:ascii="宋体" w:hAnsi="宋体" w:eastAsia="宋体" w:cs="宋体"/>
          <w:spacing w:val="-3"/>
          <w:sz w:val="21"/>
          <w:szCs w:val="21"/>
        </w:rPr>
        <w:t>用能不计入乙烯燃动综合能源消耗量。</w:t>
      </w:r>
    </w:p>
    <w:p w14:paraId="3FABF2BD">
      <w:pPr>
        <w:spacing w:before="112" w:line="292" w:lineRule="auto"/>
        <w:ind w:right="31" w:firstLine="410"/>
        <w:rPr>
          <w:rFonts w:ascii="宋体" w:hAnsi="宋体" w:eastAsia="宋体" w:cs="宋体"/>
          <w:sz w:val="21"/>
          <w:szCs w:val="21"/>
        </w:rPr>
      </w:pPr>
      <w:r>
        <w:rPr>
          <w:rFonts w:ascii="宋体" w:hAnsi="宋体" w:eastAsia="宋体" w:cs="宋体"/>
          <w:spacing w:val="1"/>
          <w:sz w:val="21"/>
          <w:szCs w:val="21"/>
        </w:rPr>
        <w:t>分母项：乙烯生产量。指乙烯生产量，不包括丙烯等联产品。乙烯是指用油(轻油、柴油、重油、</w:t>
      </w:r>
      <w:r>
        <w:rPr>
          <w:rFonts w:ascii="宋体" w:hAnsi="宋体" w:eastAsia="宋体" w:cs="宋体"/>
          <w:spacing w:val="5"/>
          <w:sz w:val="21"/>
          <w:szCs w:val="21"/>
        </w:rPr>
        <w:t xml:space="preserve"> </w:t>
      </w:r>
      <w:r>
        <w:rPr>
          <w:rFonts w:ascii="宋体" w:hAnsi="宋体" w:eastAsia="宋体" w:cs="宋体"/>
          <w:spacing w:val="6"/>
          <w:sz w:val="21"/>
          <w:szCs w:val="21"/>
        </w:rPr>
        <w:t>石脑油、原油)、气(乙烷、丙烷炼厂气)经裂解、分</w:t>
      </w:r>
      <w:r>
        <w:rPr>
          <w:rFonts w:ascii="宋体" w:hAnsi="宋体" w:eastAsia="宋体" w:cs="宋体"/>
          <w:spacing w:val="5"/>
          <w:sz w:val="21"/>
          <w:szCs w:val="21"/>
        </w:rPr>
        <w:t>离过程制成的乙烯；不包括用酒精脱水制成的乙</w:t>
      </w:r>
      <w:r>
        <w:rPr>
          <w:rFonts w:ascii="宋体" w:hAnsi="宋体" w:eastAsia="宋体" w:cs="宋体"/>
          <w:sz w:val="21"/>
          <w:szCs w:val="21"/>
        </w:rPr>
        <w:t xml:space="preserve"> </w:t>
      </w:r>
      <w:r>
        <w:rPr>
          <w:rFonts w:ascii="宋体" w:hAnsi="宋体" w:eastAsia="宋体" w:cs="宋体"/>
          <w:spacing w:val="-1"/>
          <w:sz w:val="21"/>
          <w:szCs w:val="21"/>
        </w:rPr>
        <w:t>烯，亦不包括直接利用未经分离的裂解气体或其他气体中的乙烯馏分。各种未用尽的乙</w:t>
      </w:r>
      <w:r>
        <w:rPr>
          <w:rFonts w:ascii="宋体" w:hAnsi="宋体" w:eastAsia="宋体" w:cs="宋体"/>
          <w:spacing w:val="-2"/>
          <w:sz w:val="21"/>
          <w:szCs w:val="21"/>
        </w:rPr>
        <w:t>烯，返回乙烯生</w:t>
      </w:r>
      <w:r>
        <w:rPr>
          <w:rFonts w:ascii="宋体" w:hAnsi="宋体" w:eastAsia="宋体" w:cs="宋体"/>
          <w:sz w:val="21"/>
          <w:szCs w:val="21"/>
        </w:rPr>
        <w:t xml:space="preserve"> </w:t>
      </w:r>
      <w:r>
        <w:rPr>
          <w:rFonts w:ascii="宋体" w:hAnsi="宋体" w:eastAsia="宋体" w:cs="宋体"/>
          <w:spacing w:val="-3"/>
          <w:sz w:val="21"/>
          <w:szCs w:val="21"/>
        </w:rPr>
        <w:t>产装置时，不得再计算乙烯产量。</w:t>
      </w:r>
    </w:p>
    <w:p w14:paraId="41BA7A2A">
      <w:pPr>
        <w:spacing w:before="96" w:line="222" w:lineRule="auto"/>
        <w:ind w:left="413"/>
        <w:rPr>
          <w:rFonts w:ascii="黑体" w:hAnsi="黑体" w:eastAsia="黑体" w:cs="黑体"/>
          <w:sz w:val="21"/>
          <w:szCs w:val="21"/>
        </w:rPr>
      </w:pPr>
      <w:r>
        <w:rPr>
          <w:rFonts w:ascii="黑体" w:hAnsi="黑体" w:eastAsia="黑体" w:cs="黑体"/>
          <w:b/>
          <w:bCs/>
          <w:spacing w:val="-4"/>
          <w:sz w:val="21"/>
          <w:szCs w:val="21"/>
        </w:rPr>
        <w:t>单位乙烯生产耗电</w:t>
      </w:r>
    </w:p>
    <w:p w14:paraId="311BB8F7">
      <w:pPr>
        <w:spacing w:before="122" w:line="219" w:lineRule="auto"/>
        <w:jc w:val="right"/>
        <w:rPr>
          <w:rFonts w:ascii="宋体" w:hAnsi="宋体" w:eastAsia="宋体" w:cs="宋体"/>
          <w:sz w:val="21"/>
          <w:szCs w:val="21"/>
        </w:rPr>
      </w:pPr>
      <w:r>
        <w:rPr>
          <w:rFonts w:ascii="宋体" w:hAnsi="宋体" w:eastAsia="宋体" w:cs="宋体"/>
          <w:sz w:val="21"/>
          <w:szCs w:val="21"/>
        </w:rPr>
        <w:t>计算公式：单位乙烯生产耗电(千瓦时/吨)=10000×乙烯生产耗电总量(万千瓦时</w:t>
      </w:r>
      <w:r>
        <w:rPr>
          <w:rFonts w:ascii="宋体" w:hAnsi="宋体" w:eastAsia="宋体" w:cs="宋体"/>
          <w:spacing w:val="-1"/>
          <w:sz w:val="21"/>
          <w:szCs w:val="21"/>
        </w:rPr>
        <w:t>)/乙烯生产量(吨)</w:t>
      </w:r>
    </w:p>
    <w:p w14:paraId="1B0E3AED">
      <w:pPr>
        <w:spacing w:before="111" w:line="219" w:lineRule="auto"/>
        <w:ind w:left="410"/>
        <w:rPr>
          <w:rFonts w:ascii="宋体" w:hAnsi="宋体" w:eastAsia="宋体" w:cs="宋体"/>
          <w:sz w:val="21"/>
          <w:szCs w:val="21"/>
        </w:rPr>
      </w:pPr>
      <w:r>
        <w:rPr>
          <w:rFonts w:ascii="宋体" w:hAnsi="宋体" w:eastAsia="宋体" w:cs="宋体"/>
          <w:spacing w:val="-2"/>
          <w:sz w:val="21"/>
          <w:szCs w:val="21"/>
        </w:rPr>
        <w:t>分子项：乙烯生产耗电量。指乙烯装置界区内的耗电量。</w:t>
      </w:r>
    </w:p>
    <w:p w14:paraId="423B912C">
      <w:pPr>
        <w:spacing w:before="101" w:line="219" w:lineRule="auto"/>
        <w:ind w:left="410"/>
        <w:rPr>
          <w:rFonts w:ascii="宋体" w:hAnsi="宋体" w:eastAsia="宋体" w:cs="宋体"/>
          <w:sz w:val="21"/>
          <w:szCs w:val="21"/>
        </w:rPr>
      </w:pPr>
      <w:r>
        <w:rPr>
          <w:rFonts w:ascii="宋体" w:hAnsi="宋体" w:eastAsia="宋体" w:cs="宋体"/>
          <w:spacing w:val="-3"/>
          <w:sz w:val="21"/>
          <w:szCs w:val="21"/>
        </w:rPr>
        <w:t>分母项：乙烯生产量。说明同上。</w:t>
      </w:r>
    </w:p>
    <w:p w14:paraId="5607D62C">
      <w:pPr>
        <w:spacing w:line="219" w:lineRule="auto"/>
        <w:rPr>
          <w:rFonts w:ascii="宋体" w:hAnsi="宋体" w:eastAsia="宋体" w:cs="宋体"/>
          <w:sz w:val="21"/>
          <w:szCs w:val="21"/>
        </w:rPr>
        <w:sectPr>
          <w:headerReference r:id="rId38" w:type="default"/>
          <w:pgSz w:w="11910" w:h="16840"/>
          <w:pgMar w:top="1048" w:right="1238" w:bottom="400" w:left="1239" w:header="838" w:footer="0" w:gutter="0"/>
          <w:cols w:space="720" w:num="1"/>
        </w:sectPr>
      </w:pPr>
    </w:p>
    <w:p w14:paraId="27A46326">
      <w:pPr>
        <w:pStyle w:val="2"/>
        <w:spacing w:line="327" w:lineRule="auto"/>
      </w:pPr>
    </w:p>
    <w:p w14:paraId="1A765FA6">
      <w:pPr>
        <w:pStyle w:val="2"/>
        <w:spacing w:line="328" w:lineRule="auto"/>
      </w:pPr>
    </w:p>
    <w:p w14:paraId="7FCB68FB">
      <w:pPr>
        <w:spacing w:before="68" w:line="222" w:lineRule="auto"/>
        <w:ind w:left="420"/>
        <w:rPr>
          <w:rFonts w:ascii="黑体" w:hAnsi="黑体" w:eastAsia="黑体" w:cs="黑体"/>
          <w:sz w:val="21"/>
          <w:szCs w:val="21"/>
        </w:rPr>
      </w:pPr>
      <w:r>
        <w:rPr>
          <w:rFonts w:ascii="黑体" w:hAnsi="黑体" w:eastAsia="黑体" w:cs="黑体"/>
          <w:spacing w:val="21"/>
          <w:sz w:val="21"/>
          <w:szCs w:val="21"/>
        </w:rPr>
        <w:t>氮肥(26)</w:t>
      </w:r>
    </w:p>
    <w:p w14:paraId="6C63BAF4">
      <w:pPr>
        <w:spacing w:before="106" w:line="220" w:lineRule="auto"/>
        <w:ind w:left="420"/>
        <w:rPr>
          <w:rFonts w:ascii="黑体" w:hAnsi="黑体" w:eastAsia="黑体" w:cs="黑体"/>
          <w:sz w:val="21"/>
          <w:szCs w:val="21"/>
        </w:rPr>
      </w:pPr>
      <w:r>
        <w:rPr>
          <w:rFonts w:ascii="黑体" w:hAnsi="黑体" w:eastAsia="黑体" w:cs="黑体"/>
          <w:spacing w:val="-2"/>
          <w:sz w:val="21"/>
          <w:szCs w:val="21"/>
        </w:rPr>
        <w:t>单位合成氨生产综合能耗</w:t>
      </w:r>
    </w:p>
    <w:p w14:paraId="6D5CC0C1">
      <w:pPr>
        <w:spacing w:before="101" w:line="370" w:lineRule="exact"/>
        <w:ind w:left="420"/>
        <w:rPr>
          <w:rFonts w:ascii="宋体" w:hAnsi="宋体" w:eastAsia="宋体" w:cs="宋体"/>
          <w:sz w:val="21"/>
          <w:szCs w:val="21"/>
        </w:rPr>
      </w:pPr>
      <w:r>
        <w:rPr>
          <w:rFonts w:ascii="宋体" w:hAnsi="宋体" w:eastAsia="宋体" w:cs="宋体"/>
          <w:spacing w:val="6"/>
          <w:position w:val="12"/>
          <w:sz w:val="21"/>
          <w:szCs w:val="21"/>
        </w:rPr>
        <w:t>计算公式：单位合成氨生产综合能耗(千克标准煤/吨)=1000×合成氨生产综合能耗(吨标准煤)</w:t>
      </w:r>
    </w:p>
    <w:p w14:paraId="472B808C">
      <w:pPr>
        <w:spacing w:line="219" w:lineRule="auto"/>
        <w:ind w:left="5780"/>
        <w:rPr>
          <w:rFonts w:ascii="宋体" w:hAnsi="宋体" w:eastAsia="宋体" w:cs="宋体"/>
          <w:sz w:val="21"/>
          <w:szCs w:val="21"/>
        </w:rPr>
      </w:pPr>
      <w:r>
        <w:rPr>
          <w:rFonts w:ascii="宋体" w:hAnsi="宋体" w:eastAsia="宋体" w:cs="宋体"/>
          <w:spacing w:val="21"/>
          <w:sz w:val="21"/>
          <w:szCs w:val="21"/>
        </w:rPr>
        <w:t>/合成氨(无水氨)产量(吨)</w:t>
      </w:r>
    </w:p>
    <w:p w14:paraId="6DE7E738">
      <w:pPr>
        <w:spacing w:before="101" w:line="267" w:lineRule="auto"/>
        <w:ind w:left="10" w:right="56" w:firstLine="410"/>
        <w:rPr>
          <w:rFonts w:ascii="宋体" w:hAnsi="宋体" w:eastAsia="宋体" w:cs="宋体"/>
          <w:sz w:val="21"/>
          <w:szCs w:val="21"/>
        </w:rPr>
      </w:pPr>
      <w:r>
        <w:rPr>
          <w:rFonts w:ascii="宋体" w:hAnsi="宋体" w:eastAsia="宋体" w:cs="宋体"/>
          <w:spacing w:val="-1"/>
          <w:sz w:val="21"/>
          <w:szCs w:val="21"/>
        </w:rPr>
        <w:t>分子项：合成氨生产综合能耗。指合成氨生产实际的</w:t>
      </w:r>
      <w:r>
        <w:rPr>
          <w:rFonts w:ascii="宋体" w:hAnsi="宋体" w:eastAsia="宋体" w:cs="宋体"/>
          <w:spacing w:val="-2"/>
          <w:sz w:val="21"/>
          <w:szCs w:val="21"/>
        </w:rPr>
        <w:t>能源消耗或称为生产所必需的能源消耗。包括</w:t>
      </w:r>
      <w:r>
        <w:rPr>
          <w:rFonts w:ascii="宋体" w:hAnsi="宋体" w:eastAsia="宋体" w:cs="宋体"/>
          <w:sz w:val="21"/>
          <w:szCs w:val="21"/>
        </w:rPr>
        <w:t xml:space="preserve"> </w:t>
      </w:r>
      <w:r>
        <w:rPr>
          <w:rFonts w:ascii="宋体" w:hAnsi="宋体" w:eastAsia="宋体" w:cs="宋体"/>
          <w:spacing w:val="-1"/>
          <w:sz w:val="21"/>
          <w:szCs w:val="21"/>
        </w:rPr>
        <w:t>原料加工到液氨进氨库整个生产系统的消耗以及辅助和</w:t>
      </w:r>
      <w:r>
        <w:rPr>
          <w:rFonts w:ascii="宋体" w:hAnsi="宋体" w:eastAsia="宋体" w:cs="宋体"/>
          <w:spacing w:val="-2"/>
          <w:sz w:val="21"/>
          <w:szCs w:val="21"/>
        </w:rPr>
        <w:t>附属生产系统的消耗。</w:t>
      </w:r>
    </w:p>
    <w:p w14:paraId="0C613D9F">
      <w:pPr>
        <w:spacing w:before="112" w:line="219" w:lineRule="auto"/>
        <w:jc w:val="right"/>
        <w:rPr>
          <w:rFonts w:ascii="宋体" w:hAnsi="宋体" w:eastAsia="宋体" w:cs="宋体"/>
          <w:sz w:val="21"/>
          <w:szCs w:val="21"/>
        </w:rPr>
      </w:pPr>
      <w:r>
        <w:rPr>
          <w:rFonts w:ascii="宋体" w:hAnsi="宋体" w:eastAsia="宋体" w:cs="宋体"/>
          <w:spacing w:val="7"/>
          <w:sz w:val="21"/>
          <w:szCs w:val="21"/>
        </w:rPr>
        <w:t>合成氨生产综合能耗=合成氨消耗的各种能源(标</w:t>
      </w:r>
      <w:r>
        <w:rPr>
          <w:rFonts w:ascii="宋体" w:hAnsi="宋体" w:eastAsia="宋体" w:cs="宋体"/>
          <w:spacing w:val="6"/>
          <w:sz w:val="21"/>
          <w:szCs w:val="21"/>
        </w:rPr>
        <w:t>准煤)之和一合成氨输出的各种能源(标准煤)之和。</w:t>
      </w:r>
    </w:p>
    <w:p w14:paraId="62C3BF00">
      <w:pPr>
        <w:spacing w:before="130" w:line="286" w:lineRule="auto"/>
        <w:ind w:left="10" w:right="39" w:firstLine="410"/>
        <w:jc w:val="both"/>
        <w:rPr>
          <w:rFonts w:ascii="宋体" w:hAnsi="宋体" w:eastAsia="宋体" w:cs="宋体"/>
          <w:sz w:val="21"/>
          <w:szCs w:val="21"/>
        </w:rPr>
      </w:pPr>
      <w:r>
        <w:rPr>
          <w:rFonts w:ascii="宋体" w:hAnsi="宋体" w:eastAsia="宋体" w:cs="宋体"/>
          <w:spacing w:val="-1"/>
          <w:sz w:val="21"/>
          <w:szCs w:val="21"/>
        </w:rPr>
        <w:t>合成氨输出能源：指合成氨系统向界外输出的，供其他产品或装置使用的能源。对于</w:t>
      </w:r>
      <w:r>
        <w:rPr>
          <w:rFonts w:ascii="宋体" w:hAnsi="宋体" w:eastAsia="宋体" w:cs="宋体"/>
          <w:spacing w:val="-2"/>
          <w:sz w:val="21"/>
          <w:szCs w:val="21"/>
        </w:rPr>
        <w:t>合成氨系统中</w:t>
      </w:r>
      <w:r>
        <w:rPr>
          <w:rFonts w:ascii="宋体" w:hAnsi="宋体" w:eastAsia="宋体" w:cs="宋体"/>
          <w:sz w:val="21"/>
          <w:szCs w:val="21"/>
        </w:rPr>
        <w:t xml:space="preserve"> </w:t>
      </w:r>
      <w:r>
        <w:rPr>
          <w:rFonts w:ascii="宋体" w:hAnsi="宋体" w:eastAsia="宋体" w:cs="宋体"/>
          <w:spacing w:val="1"/>
          <w:sz w:val="21"/>
          <w:szCs w:val="21"/>
        </w:rPr>
        <w:t>的废气、废液、废渣等未回收使用的、无计量的、没有实测热值以及不作为能源再次利用的(如直接用</w:t>
      </w:r>
      <w:r>
        <w:rPr>
          <w:rFonts w:ascii="宋体" w:hAnsi="宋体" w:eastAsia="宋体" w:cs="宋体"/>
          <w:spacing w:val="4"/>
          <w:sz w:val="21"/>
          <w:szCs w:val="21"/>
        </w:rPr>
        <w:t xml:space="preserve"> </w:t>
      </w:r>
      <w:r>
        <w:rPr>
          <w:rFonts w:ascii="宋体" w:hAnsi="宋体" w:eastAsia="宋体" w:cs="宋体"/>
          <w:spacing w:val="3"/>
          <w:sz w:val="21"/>
          <w:szCs w:val="21"/>
        </w:rPr>
        <w:t>于修路、盖房等),均不得计入输出能源。输出的耗能工质不能计入合成氨输出能源。合成氨输出能源</w:t>
      </w:r>
      <w:r>
        <w:rPr>
          <w:rFonts w:ascii="宋体" w:hAnsi="宋体" w:eastAsia="宋体" w:cs="宋体"/>
          <w:spacing w:val="2"/>
          <w:sz w:val="21"/>
          <w:szCs w:val="21"/>
        </w:rPr>
        <w:t xml:space="preserve"> </w:t>
      </w:r>
      <w:r>
        <w:rPr>
          <w:rFonts w:ascii="宋体" w:hAnsi="宋体" w:eastAsia="宋体" w:cs="宋体"/>
          <w:spacing w:val="-8"/>
          <w:sz w:val="21"/>
          <w:szCs w:val="21"/>
        </w:rPr>
        <w:t>有以下形式：</w:t>
      </w:r>
    </w:p>
    <w:p w14:paraId="267E474A">
      <w:pPr>
        <w:spacing w:before="138" w:line="264" w:lineRule="auto"/>
        <w:ind w:left="10" w:right="51" w:firstLine="529"/>
        <w:rPr>
          <w:rFonts w:ascii="宋体" w:hAnsi="宋体" w:eastAsia="宋体" w:cs="宋体"/>
          <w:sz w:val="21"/>
          <w:szCs w:val="21"/>
        </w:rPr>
      </w:pPr>
      <w:r>
        <w:rPr>
          <w:rFonts w:ascii="宋体" w:hAnsi="宋体" w:eastAsia="宋体" w:cs="宋体"/>
          <w:spacing w:val="11"/>
          <w:sz w:val="21"/>
          <w:szCs w:val="21"/>
        </w:rPr>
        <w:t>(1)作为能源(原料、燃料)供其他产品或装置</w:t>
      </w:r>
      <w:r>
        <w:rPr>
          <w:rFonts w:ascii="宋体" w:hAnsi="宋体" w:eastAsia="宋体" w:cs="宋体"/>
          <w:spacing w:val="10"/>
          <w:sz w:val="21"/>
          <w:szCs w:val="21"/>
        </w:rPr>
        <w:t>使用的合成氨吹出气、弛放气、解析气(包括作</w:t>
      </w:r>
      <w:r>
        <w:rPr>
          <w:rFonts w:ascii="宋体" w:hAnsi="宋体" w:eastAsia="宋体" w:cs="宋体"/>
          <w:sz w:val="21"/>
          <w:szCs w:val="21"/>
        </w:rPr>
        <w:t xml:space="preserve"> </w:t>
      </w:r>
      <w:r>
        <w:rPr>
          <w:rFonts w:ascii="宋体" w:hAnsi="宋体" w:eastAsia="宋体" w:cs="宋体"/>
          <w:spacing w:val="2"/>
          <w:sz w:val="21"/>
          <w:szCs w:val="21"/>
        </w:rPr>
        <w:t>为民用燃料气)。按实测燃料气组成成分计算热值。</w:t>
      </w:r>
    </w:p>
    <w:p w14:paraId="7FC968B3">
      <w:pPr>
        <w:spacing w:before="101" w:line="334" w:lineRule="auto"/>
        <w:ind w:left="10" w:right="35" w:firstLine="529"/>
        <w:rPr>
          <w:rFonts w:ascii="宋体" w:hAnsi="宋体" w:eastAsia="宋体" w:cs="宋体"/>
          <w:sz w:val="21"/>
          <w:szCs w:val="21"/>
        </w:rPr>
      </w:pPr>
      <w:r>
        <w:rPr>
          <w:rFonts w:ascii="宋体" w:hAnsi="宋体" w:eastAsia="宋体" w:cs="宋体"/>
          <w:spacing w:val="6"/>
          <w:sz w:val="21"/>
          <w:szCs w:val="21"/>
        </w:rPr>
        <w:t>(2)作为能源供其他产品或装置使用的合成氨系统输出的物料(造气</w:t>
      </w:r>
      <w:r>
        <w:rPr>
          <w:rFonts w:ascii="宋体" w:hAnsi="宋体" w:eastAsia="宋体" w:cs="宋体"/>
          <w:spacing w:val="5"/>
          <w:sz w:val="21"/>
          <w:szCs w:val="21"/>
        </w:rPr>
        <w:t>排出的炉渣、干灰、湿灰和</w:t>
      </w:r>
      <w:r>
        <w:rPr>
          <w:rFonts w:ascii="宋体" w:hAnsi="宋体" w:eastAsia="宋体" w:cs="宋体"/>
          <w:sz w:val="21"/>
          <w:szCs w:val="21"/>
        </w:rPr>
        <w:t xml:space="preserve"> </w:t>
      </w:r>
      <w:r>
        <w:rPr>
          <w:rFonts w:ascii="宋体" w:hAnsi="宋体" w:eastAsia="宋体" w:cs="宋体"/>
          <w:spacing w:val="1"/>
          <w:sz w:val="21"/>
          <w:szCs w:val="21"/>
        </w:rPr>
        <w:t>锅炉排出的炉渣等，制成蜂窝煤，煤球，烧制砖瓦，作热电厂燃料等)。按实测低位发热值折标系数计</w:t>
      </w:r>
    </w:p>
    <w:p w14:paraId="1F13741F">
      <w:pPr>
        <w:spacing w:line="219" w:lineRule="auto"/>
        <w:ind w:left="10"/>
        <w:rPr>
          <w:rFonts w:ascii="宋体" w:hAnsi="宋体" w:eastAsia="宋体" w:cs="宋体"/>
          <w:sz w:val="21"/>
          <w:szCs w:val="21"/>
        </w:rPr>
      </w:pPr>
      <w:r>
        <w:rPr>
          <w:rFonts w:ascii="宋体" w:hAnsi="宋体" w:eastAsia="宋体" w:cs="宋体"/>
          <w:spacing w:val="-12"/>
          <w:sz w:val="21"/>
          <w:szCs w:val="21"/>
        </w:rPr>
        <w:t>入输出能源。</w:t>
      </w:r>
    </w:p>
    <w:p w14:paraId="32E00174">
      <w:pPr>
        <w:spacing w:before="91" w:line="265" w:lineRule="auto"/>
        <w:ind w:left="10" w:right="35" w:firstLine="529"/>
        <w:rPr>
          <w:rFonts w:ascii="宋体" w:hAnsi="宋体" w:eastAsia="宋体" w:cs="宋体"/>
          <w:sz w:val="21"/>
          <w:szCs w:val="21"/>
        </w:rPr>
      </w:pPr>
      <w:r>
        <w:rPr>
          <w:rFonts w:ascii="宋体" w:hAnsi="宋体" w:eastAsia="宋体" w:cs="宋体"/>
          <w:spacing w:val="11"/>
          <w:sz w:val="21"/>
          <w:szCs w:val="21"/>
        </w:rPr>
        <w:t>(3)自备电厂利用合成氨系统余热(含自产的炉渣、废气、热水)、余压，发电、</w:t>
      </w:r>
      <w:r>
        <w:rPr>
          <w:rFonts w:ascii="宋体" w:hAnsi="宋体" w:eastAsia="宋体" w:cs="宋体"/>
          <w:spacing w:val="10"/>
          <w:sz w:val="21"/>
          <w:szCs w:val="21"/>
        </w:rPr>
        <w:t>产汽(不掺烧</w:t>
      </w:r>
      <w:r>
        <w:rPr>
          <w:rFonts w:ascii="宋体" w:hAnsi="宋体" w:eastAsia="宋体" w:cs="宋体"/>
          <w:sz w:val="21"/>
          <w:szCs w:val="21"/>
        </w:rPr>
        <w:t xml:space="preserve"> </w:t>
      </w:r>
      <w:r>
        <w:rPr>
          <w:rFonts w:ascii="宋体" w:hAnsi="宋体" w:eastAsia="宋体" w:cs="宋体"/>
          <w:spacing w:val="7"/>
          <w:sz w:val="21"/>
          <w:szCs w:val="21"/>
        </w:rPr>
        <w:t>其他外购燃料),向企业以外供应的蒸汽和电力。</w:t>
      </w:r>
    </w:p>
    <w:p w14:paraId="668B2C26">
      <w:pPr>
        <w:spacing w:before="116" w:line="219" w:lineRule="auto"/>
        <w:ind w:left="420"/>
        <w:rPr>
          <w:rFonts w:ascii="宋体" w:hAnsi="宋体" w:eastAsia="宋体" w:cs="宋体"/>
          <w:sz w:val="21"/>
          <w:szCs w:val="21"/>
        </w:rPr>
      </w:pPr>
      <w:r>
        <w:rPr>
          <w:rFonts w:ascii="宋体" w:hAnsi="宋体" w:eastAsia="宋体" w:cs="宋体"/>
          <w:spacing w:val="7"/>
          <w:sz w:val="21"/>
          <w:szCs w:val="21"/>
        </w:rPr>
        <w:t>外供蒸汽折标准量(标准煤)方法同外购蒸汽。</w:t>
      </w:r>
    </w:p>
    <w:p w14:paraId="472962D4">
      <w:pPr>
        <w:spacing w:before="111" w:line="219" w:lineRule="auto"/>
        <w:ind w:left="420"/>
        <w:rPr>
          <w:rFonts w:ascii="宋体" w:hAnsi="宋体" w:eastAsia="宋体" w:cs="宋体"/>
          <w:sz w:val="21"/>
          <w:szCs w:val="21"/>
        </w:rPr>
      </w:pPr>
      <w:r>
        <w:rPr>
          <w:rFonts w:ascii="宋体" w:hAnsi="宋体" w:eastAsia="宋体" w:cs="宋体"/>
          <w:spacing w:val="15"/>
          <w:sz w:val="21"/>
          <w:szCs w:val="21"/>
        </w:rPr>
        <w:t>全余热自发电量(标准煤)=供电量(千瓦时)×0.1229(千克标准</w:t>
      </w:r>
      <w:r>
        <w:rPr>
          <w:rFonts w:ascii="宋体" w:hAnsi="宋体" w:eastAsia="宋体" w:cs="宋体"/>
          <w:spacing w:val="14"/>
          <w:sz w:val="21"/>
          <w:szCs w:val="21"/>
        </w:rPr>
        <w:t>煤/千瓦时)。</w:t>
      </w:r>
    </w:p>
    <w:p w14:paraId="3E77CFAD">
      <w:pPr>
        <w:spacing w:before="111" w:line="371" w:lineRule="exact"/>
        <w:ind w:right="41"/>
        <w:jc w:val="right"/>
        <w:rPr>
          <w:rFonts w:ascii="宋体" w:hAnsi="宋体" w:eastAsia="宋体" w:cs="宋体"/>
          <w:sz w:val="21"/>
          <w:szCs w:val="21"/>
        </w:rPr>
      </w:pPr>
      <w:r>
        <w:rPr>
          <w:rFonts w:ascii="宋体" w:hAnsi="宋体" w:eastAsia="宋体" w:cs="宋体"/>
          <w:spacing w:val="8"/>
          <w:position w:val="12"/>
          <w:sz w:val="21"/>
          <w:szCs w:val="21"/>
        </w:rPr>
        <w:t>(4)供其他产品或装置预热物料(或生产用水)的合成氨生产中的余热。按回收热能量统计。回</w:t>
      </w:r>
    </w:p>
    <w:p w14:paraId="3AC74D4E">
      <w:pPr>
        <w:spacing w:line="219" w:lineRule="auto"/>
        <w:ind w:left="10"/>
        <w:rPr>
          <w:rFonts w:ascii="宋体" w:hAnsi="宋体" w:eastAsia="宋体" w:cs="宋体"/>
          <w:sz w:val="21"/>
          <w:szCs w:val="21"/>
        </w:rPr>
      </w:pPr>
      <w:r>
        <w:rPr>
          <w:rFonts w:ascii="宋体" w:hAnsi="宋体" w:eastAsia="宋体" w:cs="宋体"/>
          <w:spacing w:val="-6"/>
          <w:sz w:val="21"/>
          <w:szCs w:val="21"/>
        </w:rPr>
        <w:t>收热能量计算公式为：</w:t>
      </w:r>
      <w:r>
        <w:rPr>
          <w:rFonts w:ascii="宋体" w:hAnsi="宋体" w:eastAsia="宋体" w:cs="宋体"/>
          <w:spacing w:val="-31"/>
          <w:sz w:val="21"/>
          <w:szCs w:val="21"/>
        </w:rPr>
        <w:t xml:space="preserve"> </w:t>
      </w:r>
      <w:r>
        <w:rPr>
          <w:rFonts w:ascii="宋体" w:hAnsi="宋体" w:eastAsia="宋体" w:cs="宋体"/>
          <w:spacing w:val="-6"/>
          <w:sz w:val="21"/>
          <w:szCs w:val="21"/>
        </w:rPr>
        <w:t>Q=D×C×(T</w:t>
      </w:r>
      <w:r>
        <w:rPr>
          <w:rFonts w:ascii="宋体" w:hAnsi="宋体" w:eastAsia="宋体" w:cs="宋体"/>
          <w:spacing w:val="23"/>
          <w:sz w:val="21"/>
          <w:szCs w:val="21"/>
        </w:rPr>
        <w:t xml:space="preserve">  </w:t>
      </w:r>
      <w:r>
        <w:rPr>
          <w:rFonts w:ascii="宋体" w:hAnsi="宋体" w:eastAsia="宋体" w:cs="宋体"/>
          <w:spacing w:val="-6"/>
          <w:sz w:val="21"/>
          <w:szCs w:val="21"/>
        </w:rPr>
        <w:t>出 -T</w:t>
      </w:r>
      <w:r>
        <w:rPr>
          <w:rFonts w:ascii="宋体" w:hAnsi="宋体" w:eastAsia="宋体" w:cs="宋体"/>
          <w:spacing w:val="-33"/>
          <w:sz w:val="21"/>
          <w:szCs w:val="21"/>
        </w:rPr>
        <w:t xml:space="preserve"> </w:t>
      </w:r>
      <w:r>
        <w:rPr>
          <w:rFonts w:ascii="宋体" w:hAnsi="宋体" w:eastAsia="宋体" w:cs="宋体"/>
          <w:spacing w:val="-6"/>
          <w:sz w:val="21"/>
          <w:szCs w:val="21"/>
        </w:rPr>
        <w:t>入 ) ;</w:t>
      </w:r>
    </w:p>
    <w:p w14:paraId="61E699B3">
      <w:pPr>
        <w:spacing w:before="101" w:line="219" w:lineRule="auto"/>
        <w:ind w:left="420"/>
        <w:rPr>
          <w:rFonts w:ascii="宋体" w:hAnsi="宋体" w:eastAsia="宋体" w:cs="宋体"/>
          <w:sz w:val="21"/>
          <w:szCs w:val="21"/>
        </w:rPr>
      </w:pPr>
      <w:r>
        <w:rPr>
          <w:rFonts w:ascii="宋体" w:hAnsi="宋体" w:eastAsia="宋体" w:cs="宋体"/>
          <w:spacing w:val="-8"/>
          <w:sz w:val="21"/>
          <w:szCs w:val="21"/>
        </w:rPr>
        <w:t>式中字母符号：</w:t>
      </w:r>
    </w:p>
    <w:p w14:paraId="6450038C">
      <w:pPr>
        <w:spacing w:before="101" w:line="219" w:lineRule="auto"/>
        <w:ind w:left="420"/>
        <w:rPr>
          <w:rFonts w:ascii="宋体" w:hAnsi="宋体" w:eastAsia="宋体" w:cs="宋体"/>
          <w:sz w:val="21"/>
          <w:szCs w:val="21"/>
        </w:rPr>
      </w:pPr>
      <w:r>
        <w:rPr>
          <w:rFonts w:ascii="宋体" w:hAnsi="宋体" w:eastAsia="宋体" w:cs="宋体"/>
          <w:spacing w:val="13"/>
          <w:sz w:val="21"/>
          <w:szCs w:val="21"/>
        </w:rPr>
        <w:t>D—</w:t>
      </w:r>
      <w:r>
        <w:rPr>
          <w:rFonts w:ascii="宋体" w:hAnsi="宋体" w:eastAsia="宋体" w:cs="宋体"/>
          <w:spacing w:val="-64"/>
          <w:sz w:val="21"/>
          <w:szCs w:val="21"/>
        </w:rPr>
        <w:t xml:space="preserve"> </w:t>
      </w:r>
      <w:r>
        <w:rPr>
          <w:rFonts w:ascii="宋体" w:hAnsi="宋体" w:eastAsia="宋体" w:cs="宋体"/>
          <w:spacing w:val="13"/>
          <w:sz w:val="21"/>
          <w:szCs w:val="21"/>
        </w:rPr>
        <w:t>被预热的物料量(千克);</w:t>
      </w:r>
    </w:p>
    <w:p w14:paraId="31CA0818">
      <w:pPr>
        <w:spacing w:before="121" w:line="219" w:lineRule="auto"/>
        <w:ind w:left="420"/>
        <w:rPr>
          <w:rFonts w:ascii="宋体" w:hAnsi="宋体" w:eastAsia="宋体" w:cs="宋体"/>
          <w:sz w:val="21"/>
          <w:szCs w:val="21"/>
        </w:rPr>
      </w:pPr>
      <w:r>
        <w:rPr>
          <w:rFonts w:ascii="Times New Roman" w:hAnsi="Times New Roman" w:eastAsia="Times New Roman" w:cs="Times New Roman"/>
          <w:spacing w:val="-1"/>
          <w:sz w:val="21"/>
          <w:szCs w:val="21"/>
        </w:rPr>
        <w:t>C—</w:t>
      </w:r>
      <w:r>
        <w:rPr>
          <w:rFonts w:ascii="宋体" w:hAnsi="宋体" w:eastAsia="宋体" w:cs="宋体"/>
          <w:spacing w:val="-1"/>
          <w:sz w:val="21"/>
          <w:szCs w:val="21"/>
        </w:rPr>
        <w:t>被预热物料的比热(千卡/千克·度);</w:t>
      </w:r>
    </w:p>
    <w:p w14:paraId="50CC7DB6">
      <w:pPr>
        <w:spacing w:before="111" w:line="219" w:lineRule="auto"/>
        <w:ind w:left="420"/>
        <w:rPr>
          <w:rFonts w:ascii="宋体" w:hAnsi="宋体" w:eastAsia="宋体" w:cs="宋体"/>
          <w:sz w:val="21"/>
          <w:szCs w:val="21"/>
        </w:rPr>
      </w:pPr>
      <w:r>
        <w:rPr>
          <w:rFonts w:ascii="Times New Roman" w:hAnsi="Times New Roman" w:eastAsia="Times New Roman" w:cs="Times New Roman"/>
          <w:spacing w:val="3"/>
          <w:sz w:val="21"/>
          <w:szCs w:val="21"/>
        </w:rPr>
        <w:t xml:space="preserve">T </w:t>
      </w:r>
      <w:r>
        <w:rPr>
          <w:rFonts w:ascii="宋体" w:hAnsi="宋体" w:eastAsia="宋体" w:cs="宋体"/>
          <w:spacing w:val="3"/>
          <w:sz w:val="21"/>
          <w:szCs w:val="21"/>
        </w:rPr>
        <w:t>出 、</w:t>
      </w:r>
      <w:r>
        <w:rPr>
          <w:rFonts w:ascii="Times New Roman" w:hAnsi="Times New Roman" w:eastAsia="Times New Roman" w:cs="Times New Roman"/>
          <w:spacing w:val="3"/>
          <w:sz w:val="21"/>
          <w:szCs w:val="21"/>
        </w:rPr>
        <w:t>T</w:t>
      </w:r>
      <w:r>
        <w:rPr>
          <w:rFonts w:ascii="Times New Roman" w:hAnsi="Times New Roman" w:eastAsia="Times New Roman" w:cs="Times New Roman"/>
          <w:spacing w:val="15"/>
          <w:w w:val="101"/>
          <w:sz w:val="21"/>
          <w:szCs w:val="21"/>
        </w:rPr>
        <w:t xml:space="preserve"> </w:t>
      </w:r>
      <w:r>
        <w:rPr>
          <w:rFonts w:ascii="宋体" w:hAnsi="宋体" w:eastAsia="宋体" w:cs="宋体"/>
          <w:spacing w:val="3"/>
          <w:sz w:val="21"/>
          <w:szCs w:val="21"/>
        </w:rPr>
        <w:t>入—被预热物料出、入合成氨系</w:t>
      </w:r>
      <w:r>
        <w:rPr>
          <w:rFonts w:ascii="宋体" w:hAnsi="宋体" w:eastAsia="宋体" w:cs="宋体"/>
          <w:spacing w:val="2"/>
          <w:sz w:val="21"/>
          <w:szCs w:val="21"/>
        </w:rPr>
        <w:t>统的温度(℃);</w:t>
      </w:r>
    </w:p>
    <w:p w14:paraId="7C026D2E">
      <w:pPr>
        <w:spacing w:before="110" w:line="268" w:lineRule="auto"/>
        <w:ind w:left="10" w:right="39" w:firstLine="529"/>
        <w:rPr>
          <w:rFonts w:ascii="宋体" w:hAnsi="宋体" w:eastAsia="宋体" w:cs="宋体"/>
          <w:sz w:val="21"/>
          <w:szCs w:val="21"/>
        </w:rPr>
      </w:pPr>
      <w:r>
        <w:rPr>
          <w:rFonts w:ascii="宋体" w:hAnsi="宋体" w:eastAsia="宋体" w:cs="宋体"/>
          <w:spacing w:val="13"/>
          <w:sz w:val="21"/>
          <w:szCs w:val="21"/>
        </w:rPr>
        <w:t>(5)供其他产品或用户使用(包括用于生活目的)的合成氨系统外送冷凝液(热水)。作为输出</w:t>
      </w:r>
      <w:r>
        <w:rPr>
          <w:rFonts w:ascii="宋体" w:hAnsi="宋体" w:eastAsia="宋体" w:cs="宋体"/>
          <w:spacing w:val="10"/>
          <w:sz w:val="21"/>
          <w:szCs w:val="21"/>
        </w:rPr>
        <w:t xml:space="preserve"> </w:t>
      </w:r>
      <w:r>
        <w:rPr>
          <w:rFonts w:ascii="宋体" w:hAnsi="宋体" w:eastAsia="宋体" w:cs="宋体"/>
          <w:spacing w:val="4"/>
          <w:sz w:val="21"/>
          <w:szCs w:val="21"/>
        </w:rPr>
        <w:t>能源按其利用热量从综合能耗中扣除(向外输送冷凝液或热水所耗用的电力也应扣除</w:t>
      </w:r>
      <w:r>
        <w:rPr>
          <w:rFonts w:ascii="宋体" w:hAnsi="宋体" w:eastAsia="宋体" w:cs="宋体"/>
          <w:spacing w:val="3"/>
          <w:sz w:val="21"/>
          <w:szCs w:val="21"/>
        </w:rPr>
        <w:t>)。</w:t>
      </w:r>
    </w:p>
    <w:p w14:paraId="3265BA76">
      <w:pPr>
        <w:spacing w:before="67" w:line="383" w:lineRule="exact"/>
        <w:ind w:left="420"/>
        <w:rPr>
          <w:rFonts w:ascii="宋体" w:hAnsi="宋体" w:eastAsia="宋体" w:cs="宋体"/>
          <w:sz w:val="21"/>
          <w:szCs w:val="21"/>
        </w:rPr>
      </w:pPr>
      <w:r>
        <w:rPr>
          <w:rFonts w:ascii="宋体" w:hAnsi="宋体" w:eastAsia="宋体" w:cs="宋体"/>
          <w:spacing w:val="1"/>
          <w:position w:val="13"/>
          <w:sz w:val="21"/>
          <w:szCs w:val="21"/>
        </w:rPr>
        <w:t>计算公式：</w:t>
      </w:r>
      <w:r>
        <w:rPr>
          <w:rFonts w:ascii="宋体" w:hAnsi="宋体" w:eastAsia="宋体" w:cs="宋体"/>
          <w:spacing w:val="-36"/>
          <w:position w:val="13"/>
          <w:sz w:val="21"/>
          <w:szCs w:val="21"/>
        </w:rPr>
        <w:t xml:space="preserve"> </w:t>
      </w:r>
      <w:r>
        <w:rPr>
          <w:rFonts w:ascii="Times New Roman" w:hAnsi="Times New Roman" w:eastAsia="Times New Roman" w:cs="Times New Roman"/>
          <w:spacing w:val="1"/>
          <w:position w:val="13"/>
          <w:sz w:val="21"/>
          <w:szCs w:val="21"/>
        </w:rPr>
        <w:t>Q=W×(T</w:t>
      </w:r>
      <w:r>
        <w:rPr>
          <w:rFonts w:ascii="Times New Roman" w:hAnsi="Times New Roman" w:eastAsia="Times New Roman" w:cs="Times New Roman"/>
          <w:spacing w:val="8"/>
          <w:position w:val="13"/>
          <w:sz w:val="21"/>
          <w:szCs w:val="21"/>
        </w:rPr>
        <w:t xml:space="preserve">      </w:t>
      </w:r>
      <w:r>
        <w:rPr>
          <w:rFonts w:ascii="宋体" w:hAnsi="宋体" w:eastAsia="宋体" w:cs="宋体"/>
          <w:spacing w:val="1"/>
          <w:position w:val="13"/>
          <w:sz w:val="21"/>
          <w:szCs w:val="21"/>
        </w:rPr>
        <w:t>出 -</w:t>
      </w:r>
      <w:r>
        <w:rPr>
          <w:rFonts w:ascii="Times New Roman" w:hAnsi="Times New Roman" w:eastAsia="Times New Roman" w:cs="Times New Roman"/>
          <w:spacing w:val="1"/>
          <w:position w:val="13"/>
          <w:sz w:val="21"/>
          <w:szCs w:val="21"/>
        </w:rPr>
        <w:t xml:space="preserve">T </w:t>
      </w:r>
      <w:r>
        <w:rPr>
          <w:rFonts w:ascii="宋体" w:hAnsi="宋体" w:eastAsia="宋体" w:cs="宋体"/>
          <w:spacing w:val="1"/>
          <w:position w:val="13"/>
          <w:sz w:val="21"/>
          <w:szCs w:val="21"/>
        </w:rPr>
        <w:t>环);式中字母符号：</w:t>
      </w:r>
    </w:p>
    <w:p w14:paraId="41CB8A8A">
      <w:pPr>
        <w:spacing w:before="1" w:line="219" w:lineRule="auto"/>
        <w:ind w:left="420"/>
        <w:rPr>
          <w:rFonts w:ascii="宋体" w:hAnsi="宋体" w:eastAsia="宋体" w:cs="宋体"/>
          <w:sz w:val="21"/>
          <w:szCs w:val="21"/>
        </w:rPr>
      </w:pPr>
      <w:r>
        <w:rPr>
          <w:rFonts w:ascii="Times New Roman" w:hAnsi="Times New Roman" w:eastAsia="Times New Roman" w:cs="Times New Roman"/>
          <w:spacing w:val="7"/>
          <w:sz w:val="21"/>
          <w:szCs w:val="21"/>
        </w:rPr>
        <w:t>W—</w:t>
      </w:r>
      <w:r>
        <w:rPr>
          <w:rFonts w:ascii="宋体" w:hAnsi="宋体" w:eastAsia="宋体" w:cs="宋体"/>
          <w:spacing w:val="7"/>
          <w:sz w:val="21"/>
          <w:szCs w:val="21"/>
        </w:rPr>
        <w:t>合成氨系统外送冷凝液(或热水)量；</w:t>
      </w:r>
    </w:p>
    <w:p w14:paraId="5F538059">
      <w:pPr>
        <w:spacing w:before="110" w:line="359" w:lineRule="exact"/>
        <w:ind w:left="420"/>
        <w:rPr>
          <w:rFonts w:ascii="宋体" w:hAnsi="宋体" w:eastAsia="宋体" w:cs="宋体"/>
          <w:sz w:val="21"/>
          <w:szCs w:val="21"/>
        </w:rPr>
      </w:pPr>
      <w:r>
        <w:rPr>
          <w:rFonts w:ascii="Times New Roman" w:hAnsi="Times New Roman" w:eastAsia="Times New Roman" w:cs="Times New Roman"/>
          <w:spacing w:val="18"/>
          <w:position w:val="11"/>
          <w:sz w:val="21"/>
          <w:szCs w:val="21"/>
        </w:rPr>
        <w:t>T</w:t>
      </w:r>
      <w:r>
        <w:rPr>
          <w:rFonts w:ascii="Times New Roman" w:hAnsi="Times New Roman" w:eastAsia="Times New Roman" w:cs="Times New Roman"/>
          <w:position w:val="11"/>
          <w:sz w:val="21"/>
          <w:szCs w:val="21"/>
        </w:rPr>
        <w:t xml:space="preserve"> </w:t>
      </w:r>
      <w:r>
        <w:rPr>
          <w:rFonts w:ascii="宋体" w:hAnsi="宋体" w:eastAsia="宋体" w:cs="宋体"/>
          <w:spacing w:val="18"/>
          <w:position w:val="11"/>
          <w:sz w:val="21"/>
          <w:szCs w:val="21"/>
        </w:rPr>
        <w:t>出</w:t>
      </w:r>
      <w:r>
        <w:rPr>
          <w:rFonts w:ascii="宋体" w:hAnsi="宋体" w:eastAsia="宋体" w:cs="宋体"/>
          <w:spacing w:val="-72"/>
          <w:position w:val="11"/>
          <w:sz w:val="21"/>
          <w:szCs w:val="21"/>
        </w:rPr>
        <w:t xml:space="preserve"> </w:t>
      </w:r>
      <w:r>
        <w:rPr>
          <w:rFonts w:ascii="宋体" w:hAnsi="宋体" w:eastAsia="宋体" w:cs="宋体"/>
          <w:spacing w:val="18"/>
          <w:position w:val="11"/>
          <w:sz w:val="21"/>
          <w:szCs w:val="21"/>
        </w:rPr>
        <w:t>—</w:t>
      </w:r>
      <w:r>
        <w:rPr>
          <w:rFonts w:ascii="宋体" w:hAnsi="宋体" w:eastAsia="宋体" w:cs="宋体"/>
          <w:spacing w:val="-65"/>
          <w:position w:val="11"/>
          <w:sz w:val="21"/>
          <w:szCs w:val="21"/>
        </w:rPr>
        <w:t xml:space="preserve"> </w:t>
      </w:r>
      <w:r>
        <w:rPr>
          <w:rFonts w:ascii="宋体" w:hAnsi="宋体" w:eastAsia="宋体" w:cs="宋体"/>
          <w:spacing w:val="18"/>
          <w:position w:val="11"/>
          <w:sz w:val="21"/>
          <w:szCs w:val="21"/>
        </w:rPr>
        <w:t>外送冷凝液(热水)温度(℃);</w:t>
      </w:r>
    </w:p>
    <w:p w14:paraId="1A861BAE">
      <w:pPr>
        <w:spacing w:before="1" w:line="217" w:lineRule="auto"/>
        <w:ind w:left="420"/>
        <w:rPr>
          <w:rFonts w:ascii="宋体" w:hAnsi="宋体" w:eastAsia="宋体" w:cs="宋体"/>
          <w:sz w:val="21"/>
          <w:szCs w:val="21"/>
        </w:rPr>
      </w:pPr>
      <w:r>
        <w:rPr>
          <w:rFonts w:ascii="Times New Roman" w:hAnsi="Times New Roman" w:eastAsia="Times New Roman" w:cs="Times New Roman"/>
          <w:spacing w:val="9"/>
          <w:sz w:val="21"/>
          <w:szCs w:val="21"/>
        </w:rPr>
        <w:t xml:space="preserve">T </w:t>
      </w:r>
      <w:r>
        <w:rPr>
          <w:rFonts w:ascii="宋体" w:hAnsi="宋体" w:eastAsia="宋体" w:cs="宋体"/>
          <w:spacing w:val="9"/>
          <w:sz w:val="21"/>
          <w:szCs w:val="21"/>
        </w:rPr>
        <w:t>环—报告期平均环境温度(℃)。</w:t>
      </w:r>
    </w:p>
    <w:p w14:paraId="07EF449D">
      <w:pPr>
        <w:spacing w:before="124" w:line="292" w:lineRule="auto"/>
        <w:ind w:left="10" w:right="40" w:firstLine="410"/>
        <w:rPr>
          <w:rFonts w:ascii="宋体" w:hAnsi="宋体" w:eastAsia="宋体" w:cs="宋体"/>
          <w:sz w:val="21"/>
          <w:szCs w:val="21"/>
        </w:rPr>
      </w:pPr>
      <w:r>
        <w:rPr>
          <w:rFonts w:ascii="宋体" w:hAnsi="宋体" w:eastAsia="宋体" w:cs="宋体"/>
          <w:spacing w:val="8"/>
          <w:sz w:val="21"/>
          <w:szCs w:val="21"/>
        </w:rPr>
        <w:t>分母项：合成氨(无水氨)产量。以液态氨为最终计量状</w:t>
      </w:r>
      <w:r>
        <w:rPr>
          <w:rFonts w:ascii="宋体" w:hAnsi="宋体" w:eastAsia="宋体" w:cs="宋体"/>
          <w:spacing w:val="7"/>
          <w:sz w:val="21"/>
          <w:szCs w:val="21"/>
        </w:rPr>
        <w:t>态，按实物量计算，不折100%的纯品。</w:t>
      </w:r>
      <w:r>
        <w:rPr>
          <w:rFonts w:ascii="宋体" w:hAnsi="宋体" w:eastAsia="宋体" w:cs="宋体"/>
          <w:sz w:val="21"/>
          <w:szCs w:val="21"/>
        </w:rPr>
        <w:t xml:space="preserve"> </w:t>
      </w:r>
      <w:r>
        <w:rPr>
          <w:rFonts w:ascii="宋体" w:hAnsi="宋体" w:eastAsia="宋体" w:cs="宋体"/>
          <w:spacing w:val="1"/>
          <w:sz w:val="21"/>
          <w:szCs w:val="21"/>
        </w:rPr>
        <w:t>合成氨产量包括：厂内各用氨单位的使用量、销售的商品液氨量、合成氨生产过程中的自用量</w:t>
      </w:r>
      <w:r>
        <w:rPr>
          <w:rFonts w:ascii="宋体" w:hAnsi="宋体" w:eastAsia="宋体" w:cs="宋体"/>
          <w:sz w:val="21"/>
          <w:szCs w:val="21"/>
        </w:rPr>
        <w:t xml:space="preserve">(净化与 </w:t>
      </w:r>
      <w:r>
        <w:rPr>
          <w:rFonts w:ascii="宋体" w:hAnsi="宋体" w:eastAsia="宋体" w:cs="宋体"/>
          <w:spacing w:val="3"/>
          <w:sz w:val="21"/>
          <w:szCs w:val="21"/>
        </w:rPr>
        <w:t>脱硫用)以及氨罐弛放气、合成放空气、中间槽解析气等气体回收的氨水含氨量(按回收产品含氨100%</w:t>
      </w:r>
      <w:r>
        <w:rPr>
          <w:rFonts w:ascii="宋体" w:hAnsi="宋体" w:eastAsia="宋体" w:cs="宋体"/>
          <w:spacing w:val="12"/>
          <w:sz w:val="21"/>
          <w:szCs w:val="21"/>
        </w:rPr>
        <w:t xml:space="preserve"> </w:t>
      </w:r>
      <w:r>
        <w:rPr>
          <w:rFonts w:ascii="宋体" w:hAnsi="宋体" w:eastAsia="宋体" w:cs="宋体"/>
          <w:spacing w:val="15"/>
          <w:sz w:val="21"/>
          <w:szCs w:val="21"/>
        </w:rPr>
        <w:t>折算)。</w:t>
      </w:r>
    </w:p>
    <w:p w14:paraId="1DF0E449">
      <w:pPr>
        <w:spacing w:before="121" w:line="268" w:lineRule="auto"/>
        <w:ind w:left="10" w:right="41" w:firstLine="410"/>
        <w:rPr>
          <w:rFonts w:ascii="宋体" w:hAnsi="宋体" w:eastAsia="宋体" w:cs="宋体"/>
          <w:sz w:val="21"/>
          <w:szCs w:val="21"/>
        </w:rPr>
      </w:pPr>
      <w:r>
        <w:rPr>
          <w:rFonts w:ascii="宋体" w:hAnsi="宋体" w:eastAsia="宋体" w:cs="宋体"/>
          <w:spacing w:val="4"/>
          <w:sz w:val="21"/>
          <w:szCs w:val="21"/>
        </w:rPr>
        <w:t>合成氨产量不包括：冰机自用氨量(损失)、净化和氨水脱硫回收的氨水含</w:t>
      </w:r>
      <w:r>
        <w:rPr>
          <w:rFonts w:ascii="宋体" w:hAnsi="宋体" w:eastAsia="宋体" w:cs="宋体"/>
          <w:spacing w:val="3"/>
          <w:sz w:val="21"/>
          <w:szCs w:val="21"/>
        </w:rPr>
        <w:t>氨量、碳化清洗塔及回</w:t>
      </w:r>
      <w:r>
        <w:rPr>
          <w:rFonts w:ascii="宋体" w:hAnsi="宋体" w:eastAsia="宋体" w:cs="宋体"/>
          <w:sz w:val="21"/>
          <w:szCs w:val="21"/>
        </w:rPr>
        <w:t xml:space="preserve"> </w:t>
      </w:r>
      <w:r>
        <w:rPr>
          <w:rFonts w:ascii="宋体" w:hAnsi="宋体" w:eastAsia="宋体" w:cs="宋体"/>
          <w:spacing w:val="-4"/>
          <w:sz w:val="21"/>
          <w:szCs w:val="21"/>
        </w:rPr>
        <w:t>收塔析出的氨水含氨量。</w:t>
      </w:r>
    </w:p>
    <w:p w14:paraId="1EDB2081">
      <w:pPr>
        <w:spacing w:line="268" w:lineRule="auto"/>
        <w:rPr>
          <w:rFonts w:ascii="宋体" w:hAnsi="宋体" w:eastAsia="宋体" w:cs="宋体"/>
          <w:sz w:val="21"/>
          <w:szCs w:val="21"/>
        </w:rPr>
        <w:sectPr>
          <w:headerReference r:id="rId39" w:type="default"/>
          <w:pgSz w:w="11910" w:h="16840"/>
          <w:pgMar w:top="1109" w:right="1225" w:bottom="400" w:left="1239" w:header="848" w:footer="0" w:gutter="0"/>
          <w:cols w:space="720" w:num="1"/>
        </w:sectPr>
      </w:pPr>
    </w:p>
    <w:p w14:paraId="4D1814D7">
      <w:pPr>
        <w:pStyle w:val="2"/>
        <w:spacing w:line="297" w:lineRule="auto"/>
      </w:pPr>
    </w:p>
    <w:p w14:paraId="4F940678">
      <w:pPr>
        <w:spacing w:before="68" w:line="219" w:lineRule="auto"/>
        <w:ind w:left="420"/>
        <w:rPr>
          <w:rFonts w:ascii="宋体" w:hAnsi="宋体" w:eastAsia="宋体" w:cs="宋体"/>
          <w:sz w:val="21"/>
          <w:szCs w:val="21"/>
        </w:rPr>
      </w:pPr>
      <w:r>
        <w:rPr>
          <w:rFonts w:ascii="宋体" w:hAnsi="宋体" w:eastAsia="宋体" w:cs="宋体"/>
          <w:spacing w:val="-4"/>
          <w:sz w:val="21"/>
          <w:szCs w:val="21"/>
        </w:rPr>
        <w:t>合成氨产量采用仪表计量或以最终含氮产品计量。</w:t>
      </w:r>
    </w:p>
    <w:p w14:paraId="4AC013DB">
      <w:pPr>
        <w:spacing w:before="122" w:line="219" w:lineRule="auto"/>
        <w:ind w:left="539"/>
        <w:rPr>
          <w:rFonts w:ascii="宋体" w:hAnsi="宋体" w:eastAsia="宋体" w:cs="宋体"/>
          <w:sz w:val="21"/>
          <w:szCs w:val="21"/>
        </w:rPr>
      </w:pPr>
      <w:r>
        <w:rPr>
          <w:rFonts w:ascii="宋体" w:hAnsi="宋体" w:eastAsia="宋体" w:cs="宋体"/>
          <w:spacing w:val="5"/>
          <w:sz w:val="21"/>
          <w:szCs w:val="21"/>
        </w:rPr>
        <w:t>(1)仪表计量：</w:t>
      </w:r>
    </w:p>
    <w:p w14:paraId="3ABA1B4A">
      <w:pPr>
        <w:spacing w:before="90" w:line="284" w:lineRule="auto"/>
        <w:ind w:left="10" w:right="32" w:firstLine="410"/>
        <w:jc w:val="both"/>
        <w:rPr>
          <w:rFonts w:ascii="宋体" w:hAnsi="宋体" w:eastAsia="宋体" w:cs="宋体"/>
          <w:sz w:val="21"/>
          <w:szCs w:val="21"/>
        </w:rPr>
      </w:pPr>
      <w:r>
        <w:rPr>
          <w:rFonts w:ascii="宋体" w:hAnsi="宋体" w:eastAsia="宋体" w:cs="宋体"/>
          <w:spacing w:val="-1"/>
          <w:sz w:val="21"/>
          <w:szCs w:val="21"/>
        </w:rPr>
        <w:t>为保证液氨流量表准确计量，液氨必须经过中间槽</w:t>
      </w:r>
      <w:r>
        <w:rPr>
          <w:rFonts w:ascii="宋体" w:hAnsi="宋体" w:eastAsia="宋体" w:cs="宋体"/>
          <w:spacing w:val="-2"/>
          <w:sz w:val="21"/>
          <w:szCs w:val="21"/>
        </w:rPr>
        <w:t>减压解析液氨中溶解的气体，并要进行温度压力</w:t>
      </w:r>
      <w:r>
        <w:rPr>
          <w:rFonts w:ascii="宋体" w:hAnsi="宋体" w:eastAsia="宋体" w:cs="宋体"/>
          <w:sz w:val="21"/>
          <w:szCs w:val="21"/>
        </w:rPr>
        <w:t xml:space="preserve"> </w:t>
      </w:r>
      <w:r>
        <w:rPr>
          <w:rFonts w:ascii="宋体" w:hAnsi="宋体" w:eastAsia="宋体" w:cs="宋体"/>
          <w:spacing w:val="-2"/>
          <w:sz w:val="21"/>
          <w:szCs w:val="21"/>
        </w:rPr>
        <w:t>补偿。当企业既有氨产量总氨表，又有各用户的使用量分表时，总表必须与分表平衡，不得超过液氨流</w:t>
      </w:r>
      <w:r>
        <w:rPr>
          <w:rFonts w:ascii="宋体" w:hAnsi="宋体" w:eastAsia="宋体" w:cs="宋体"/>
          <w:spacing w:val="8"/>
          <w:sz w:val="21"/>
          <w:szCs w:val="21"/>
        </w:rPr>
        <w:t xml:space="preserve"> </w:t>
      </w:r>
      <w:r>
        <w:rPr>
          <w:rFonts w:ascii="宋体" w:hAnsi="宋体" w:eastAsia="宋体" w:cs="宋体"/>
          <w:spacing w:val="-5"/>
          <w:sz w:val="21"/>
          <w:szCs w:val="21"/>
        </w:rPr>
        <w:t>量表允许误差值。</w:t>
      </w:r>
    </w:p>
    <w:p w14:paraId="669899FB">
      <w:pPr>
        <w:spacing w:before="110" w:line="370" w:lineRule="exact"/>
        <w:ind w:right="38"/>
        <w:jc w:val="right"/>
        <w:rPr>
          <w:rFonts w:ascii="宋体" w:hAnsi="宋体" w:eastAsia="宋体" w:cs="宋体"/>
          <w:sz w:val="21"/>
          <w:szCs w:val="21"/>
        </w:rPr>
      </w:pPr>
      <w:r>
        <w:rPr>
          <w:rFonts w:ascii="宋体" w:hAnsi="宋体" w:eastAsia="宋体" w:cs="宋体"/>
          <w:spacing w:val="18"/>
          <w:position w:val="12"/>
          <w:sz w:val="21"/>
          <w:szCs w:val="21"/>
        </w:rPr>
        <w:t>合成氨产量(吨)=氨表的表记值+自用氨量+商品液氨量+吹出、解析、弛放气回收氨</w:t>
      </w:r>
      <w:r>
        <w:rPr>
          <w:rFonts w:ascii="宋体" w:hAnsi="宋体" w:eastAsia="宋体" w:cs="宋体"/>
          <w:spacing w:val="17"/>
          <w:position w:val="12"/>
          <w:sz w:val="21"/>
          <w:szCs w:val="21"/>
        </w:rPr>
        <w:t>量+(氨</w:t>
      </w:r>
    </w:p>
    <w:p w14:paraId="56E28812">
      <w:pPr>
        <w:spacing w:line="219" w:lineRule="auto"/>
        <w:ind w:left="2320"/>
        <w:rPr>
          <w:rFonts w:ascii="宋体" w:hAnsi="宋体" w:eastAsia="宋体" w:cs="宋体"/>
          <w:sz w:val="21"/>
          <w:szCs w:val="21"/>
        </w:rPr>
      </w:pPr>
      <w:r>
        <w:rPr>
          <w:rFonts w:ascii="宋体" w:hAnsi="宋体" w:eastAsia="宋体" w:cs="宋体"/>
          <w:spacing w:val="2"/>
          <w:sz w:val="21"/>
          <w:szCs w:val="21"/>
        </w:rPr>
        <w:t>罐期末库存一氨罐期初库存)。</w:t>
      </w:r>
    </w:p>
    <w:p w14:paraId="0818E6D8">
      <w:pPr>
        <w:spacing w:before="101" w:line="370" w:lineRule="exact"/>
        <w:ind w:right="23"/>
        <w:jc w:val="right"/>
        <w:rPr>
          <w:rFonts w:ascii="宋体" w:hAnsi="宋体" w:eastAsia="宋体" w:cs="宋体"/>
          <w:sz w:val="21"/>
          <w:szCs w:val="21"/>
        </w:rPr>
      </w:pPr>
      <w:r>
        <w:rPr>
          <w:rFonts w:ascii="宋体" w:hAnsi="宋体" w:eastAsia="宋体" w:cs="宋体"/>
          <w:spacing w:val="-1"/>
          <w:position w:val="12"/>
          <w:sz w:val="21"/>
          <w:szCs w:val="21"/>
        </w:rPr>
        <w:t>吹出、解析、弛放气回收氨量，指合成吹出气、中间槽解析气、氨罐弛</w:t>
      </w:r>
      <w:r>
        <w:rPr>
          <w:rFonts w:ascii="宋体" w:hAnsi="宋体" w:eastAsia="宋体" w:cs="宋体"/>
          <w:spacing w:val="-2"/>
          <w:position w:val="12"/>
          <w:sz w:val="21"/>
          <w:szCs w:val="21"/>
        </w:rPr>
        <w:t>放气回收到系统内加以利用</w:t>
      </w:r>
    </w:p>
    <w:p w14:paraId="2DA3C95B">
      <w:pPr>
        <w:spacing w:line="220" w:lineRule="auto"/>
        <w:ind w:left="10"/>
        <w:rPr>
          <w:rFonts w:ascii="宋体" w:hAnsi="宋体" w:eastAsia="宋体" w:cs="宋体"/>
          <w:sz w:val="21"/>
          <w:szCs w:val="21"/>
        </w:rPr>
      </w:pPr>
      <w:r>
        <w:rPr>
          <w:rFonts w:ascii="宋体" w:hAnsi="宋体" w:eastAsia="宋体" w:cs="宋体"/>
          <w:spacing w:val="-6"/>
          <w:sz w:val="21"/>
          <w:szCs w:val="21"/>
        </w:rPr>
        <w:t>或销售的氨量。</w:t>
      </w:r>
    </w:p>
    <w:p w14:paraId="4A3E95A2">
      <w:pPr>
        <w:spacing w:before="108" w:line="219" w:lineRule="auto"/>
        <w:ind w:left="539"/>
        <w:rPr>
          <w:rFonts w:ascii="宋体" w:hAnsi="宋体" w:eastAsia="宋体" w:cs="宋体"/>
          <w:sz w:val="21"/>
          <w:szCs w:val="21"/>
        </w:rPr>
      </w:pPr>
      <w:r>
        <w:rPr>
          <w:rFonts w:ascii="宋体" w:hAnsi="宋体" w:eastAsia="宋体" w:cs="宋体"/>
          <w:spacing w:val="3"/>
          <w:sz w:val="21"/>
          <w:szCs w:val="21"/>
        </w:rPr>
        <w:t>(2)以最终含氮产品计量：</w:t>
      </w:r>
    </w:p>
    <w:p w14:paraId="6F49A58A">
      <w:pPr>
        <w:spacing w:before="111" w:line="219" w:lineRule="auto"/>
        <w:ind w:left="420"/>
        <w:rPr>
          <w:rFonts w:ascii="宋体" w:hAnsi="宋体" w:eastAsia="宋体" w:cs="宋体"/>
          <w:sz w:val="21"/>
          <w:szCs w:val="21"/>
        </w:rPr>
      </w:pPr>
      <w:r>
        <w:rPr>
          <w:rFonts w:ascii="宋体" w:hAnsi="宋体" w:eastAsia="宋体" w:cs="宋体"/>
          <w:spacing w:val="-2"/>
          <w:sz w:val="21"/>
          <w:szCs w:val="21"/>
        </w:rPr>
        <w:t>以最终含氮产品计算合成氨产量时，按含氮产品的实际含量折算氨产量。</w:t>
      </w:r>
    </w:p>
    <w:p w14:paraId="3C3F8BE9">
      <w:pPr>
        <w:spacing w:before="120" w:line="326" w:lineRule="auto"/>
        <w:ind w:left="2320" w:right="24" w:hanging="1900"/>
        <w:rPr>
          <w:rFonts w:ascii="宋体" w:hAnsi="宋体" w:eastAsia="宋体" w:cs="宋体"/>
          <w:sz w:val="21"/>
          <w:szCs w:val="21"/>
        </w:rPr>
      </w:pPr>
      <w:r>
        <w:rPr>
          <w:rFonts w:ascii="宋体" w:hAnsi="宋体" w:eastAsia="宋体" w:cs="宋体"/>
          <w:spacing w:val="17"/>
          <w:sz w:val="21"/>
          <w:szCs w:val="21"/>
        </w:rPr>
        <w:t>合成氨产量(吨)=(合格固体化肥折氮100%+不合格固体化肥折氮100%)×1.26654(吨)+(合</w:t>
      </w:r>
      <w:r>
        <w:rPr>
          <w:rFonts w:ascii="宋体" w:hAnsi="宋体" w:eastAsia="宋体" w:cs="宋体"/>
          <w:spacing w:val="5"/>
          <w:sz w:val="21"/>
          <w:szCs w:val="21"/>
        </w:rPr>
        <w:t xml:space="preserve"> </w:t>
      </w:r>
      <w:r>
        <w:rPr>
          <w:rFonts w:ascii="宋体" w:hAnsi="宋体" w:eastAsia="宋体" w:cs="宋体"/>
          <w:spacing w:val="19"/>
          <w:sz w:val="21"/>
          <w:szCs w:val="21"/>
        </w:rPr>
        <w:t>格氨水折氨100%+不合格氨水折氨100%)×1.04167(吨)+自用</w:t>
      </w:r>
      <w:r>
        <w:rPr>
          <w:rFonts w:ascii="宋体" w:hAnsi="宋体" w:eastAsia="宋体" w:cs="宋体"/>
          <w:spacing w:val="18"/>
          <w:sz w:val="21"/>
          <w:szCs w:val="21"/>
        </w:rPr>
        <w:t>氨量(吨)</w:t>
      </w:r>
    </w:p>
    <w:p w14:paraId="24D89553">
      <w:pPr>
        <w:spacing w:before="1" w:line="219" w:lineRule="auto"/>
        <w:ind w:left="2320"/>
        <w:rPr>
          <w:rFonts w:ascii="宋体" w:hAnsi="宋体" w:eastAsia="宋体" w:cs="宋体"/>
          <w:sz w:val="21"/>
          <w:szCs w:val="21"/>
        </w:rPr>
      </w:pPr>
      <w:r>
        <w:rPr>
          <w:rFonts w:ascii="宋体" w:hAnsi="宋体" w:eastAsia="宋体" w:cs="宋体"/>
          <w:spacing w:val="25"/>
          <w:sz w:val="21"/>
          <w:szCs w:val="21"/>
        </w:rPr>
        <w:t>+商品液氨量(吨)+[氨罐期末库存(吨)一氨罐期初库</w:t>
      </w:r>
      <w:r>
        <w:rPr>
          <w:rFonts w:ascii="宋体" w:hAnsi="宋体" w:eastAsia="宋体" w:cs="宋体"/>
          <w:spacing w:val="24"/>
          <w:sz w:val="21"/>
          <w:szCs w:val="21"/>
        </w:rPr>
        <w:t>存(吨)]</w:t>
      </w:r>
    </w:p>
    <w:p w14:paraId="002508D0">
      <w:pPr>
        <w:spacing w:before="81" w:line="220" w:lineRule="auto"/>
        <w:ind w:left="420"/>
        <w:rPr>
          <w:rFonts w:ascii="宋体" w:hAnsi="宋体" w:eastAsia="宋体" w:cs="宋体"/>
          <w:sz w:val="21"/>
          <w:szCs w:val="21"/>
        </w:rPr>
      </w:pPr>
      <w:r>
        <w:rPr>
          <w:rFonts w:ascii="宋体" w:hAnsi="宋体" w:eastAsia="宋体" w:cs="宋体"/>
          <w:spacing w:val="-14"/>
          <w:sz w:val="21"/>
          <w:szCs w:val="21"/>
        </w:rPr>
        <w:t>式中：</w:t>
      </w:r>
    </w:p>
    <w:p w14:paraId="106741E2">
      <w:pPr>
        <w:spacing w:before="113" w:line="400" w:lineRule="exact"/>
        <w:ind w:left="420"/>
        <w:rPr>
          <w:rFonts w:ascii="宋体" w:hAnsi="宋体" w:eastAsia="宋体" w:cs="宋体"/>
          <w:sz w:val="21"/>
          <w:szCs w:val="21"/>
        </w:rPr>
      </w:pPr>
      <w:r>
        <w:rPr>
          <w:rFonts w:ascii="宋体" w:hAnsi="宋体" w:eastAsia="宋体" w:cs="宋体"/>
          <w:spacing w:val="-1"/>
          <w:position w:val="14"/>
          <w:sz w:val="21"/>
          <w:szCs w:val="21"/>
        </w:rPr>
        <w:t>1.26654=1÷(0.82245×96</w:t>
      </w:r>
      <w:r>
        <w:rPr>
          <w:rFonts w:ascii="宋体" w:hAnsi="宋体" w:eastAsia="宋体" w:cs="宋体"/>
          <w:spacing w:val="-2"/>
          <w:position w:val="14"/>
          <w:sz w:val="21"/>
          <w:szCs w:val="21"/>
        </w:rPr>
        <w:t>%)</w:t>
      </w:r>
    </w:p>
    <w:p w14:paraId="0E12A7B4">
      <w:pPr>
        <w:spacing w:before="1" w:line="183" w:lineRule="auto"/>
        <w:ind w:left="420"/>
        <w:rPr>
          <w:rFonts w:ascii="宋体" w:hAnsi="宋体" w:eastAsia="宋体" w:cs="宋体"/>
          <w:sz w:val="21"/>
          <w:szCs w:val="21"/>
        </w:rPr>
      </w:pPr>
      <w:r>
        <w:rPr>
          <w:rFonts w:ascii="宋体" w:hAnsi="宋体" w:eastAsia="宋体" w:cs="宋体"/>
          <w:spacing w:val="-2"/>
          <w:sz w:val="21"/>
          <w:szCs w:val="21"/>
        </w:rPr>
        <w:t>1.04167=1÷96%</w:t>
      </w:r>
    </w:p>
    <w:p w14:paraId="569C0722">
      <w:pPr>
        <w:spacing w:before="96" w:line="219" w:lineRule="auto"/>
        <w:ind w:left="420"/>
        <w:rPr>
          <w:rFonts w:ascii="宋体" w:hAnsi="宋体" w:eastAsia="宋体" w:cs="宋体"/>
          <w:sz w:val="21"/>
          <w:szCs w:val="21"/>
        </w:rPr>
      </w:pPr>
      <w:r>
        <w:rPr>
          <w:rFonts w:ascii="宋体" w:hAnsi="宋体" w:eastAsia="宋体" w:cs="宋体"/>
          <w:spacing w:val="-4"/>
          <w:sz w:val="21"/>
          <w:szCs w:val="21"/>
        </w:rPr>
        <w:t>0.82245为氨理论含氮量；</w:t>
      </w:r>
    </w:p>
    <w:p w14:paraId="05A70B70">
      <w:pPr>
        <w:spacing w:before="121" w:line="371" w:lineRule="exact"/>
        <w:ind w:left="420"/>
        <w:rPr>
          <w:rFonts w:ascii="宋体" w:hAnsi="宋体" w:eastAsia="宋体" w:cs="宋体"/>
          <w:sz w:val="21"/>
          <w:szCs w:val="21"/>
        </w:rPr>
      </w:pPr>
      <w:r>
        <w:rPr>
          <w:rFonts w:ascii="宋体" w:hAnsi="宋体" w:eastAsia="宋体" w:cs="宋体"/>
          <w:spacing w:val="1"/>
          <w:position w:val="12"/>
          <w:sz w:val="21"/>
          <w:szCs w:val="21"/>
        </w:rPr>
        <w:t>96%为固体化肥和氨水的氨利用率。</w:t>
      </w:r>
    </w:p>
    <w:p w14:paraId="4F732FDA">
      <w:pPr>
        <w:spacing w:line="219" w:lineRule="auto"/>
        <w:ind w:left="420"/>
        <w:rPr>
          <w:rFonts w:ascii="宋体" w:hAnsi="宋体" w:eastAsia="宋体" w:cs="宋体"/>
          <w:sz w:val="21"/>
          <w:szCs w:val="21"/>
        </w:rPr>
      </w:pPr>
      <w:r>
        <w:rPr>
          <w:rFonts w:ascii="宋体" w:hAnsi="宋体" w:eastAsia="宋体" w:cs="宋体"/>
          <w:spacing w:val="-5"/>
          <w:sz w:val="21"/>
          <w:szCs w:val="21"/>
        </w:rPr>
        <w:t>商品液氨量以装瓶或装车量为准。</w:t>
      </w:r>
    </w:p>
    <w:p w14:paraId="7CC1AE55">
      <w:pPr>
        <w:spacing w:before="101" w:line="370" w:lineRule="exact"/>
        <w:ind w:left="420"/>
        <w:rPr>
          <w:rFonts w:ascii="宋体" w:hAnsi="宋体" w:eastAsia="宋体" w:cs="宋体"/>
          <w:sz w:val="21"/>
          <w:szCs w:val="21"/>
        </w:rPr>
      </w:pPr>
      <w:r>
        <w:rPr>
          <w:rFonts w:ascii="宋体" w:hAnsi="宋体" w:eastAsia="宋体" w:cs="宋体"/>
          <w:spacing w:val="-2"/>
          <w:position w:val="12"/>
          <w:sz w:val="21"/>
          <w:szCs w:val="21"/>
        </w:rPr>
        <w:t>自用氨量：当合成氨生产过程用氨的各用户均有氨计量表时，自用氨量以表记值为准；当</w:t>
      </w:r>
      <w:r>
        <w:rPr>
          <w:rFonts w:ascii="宋体" w:hAnsi="宋体" w:eastAsia="宋体" w:cs="宋体"/>
          <w:spacing w:val="-3"/>
          <w:position w:val="12"/>
          <w:sz w:val="21"/>
          <w:szCs w:val="21"/>
        </w:rPr>
        <w:t>各用户无</w:t>
      </w:r>
    </w:p>
    <w:p w14:paraId="70024A6A">
      <w:pPr>
        <w:spacing w:line="219" w:lineRule="auto"/>
        <w:ind w:left="10"/>
        <w:rPr>
          <w:rFonts w:ascii="宋体" w:hAnsi="宋体" w:eastAsia="宋体" w:cs="宋体"/>
          <w:sz w:val="21"/>
          <w:szCs w:val="21"/>
        </w:rPr>
      </w:pPr>
      <w:r>
        <w:rPr>
          <w:rFonts w:ascii="宋体" w:hAnsi="宋体" w:eastAsia="宋体" w:cs="宋体"/>
          <w:spacing w:val="-4"/>
          <w:sz w:val="21"/>
          <w:szCs w:val="21"/>
        </w:rPr>
        <w:t>表计量时，其规定及计算公式如下：</w:t>
      </w:r>
    </w:p>
    <w:p w14:paraId="1C89F033">
      <w:pPr>
        <w:spacing w:before="111" w:line="219" w:lineRule="auto"/>
        <w:ind w:left="539"/>
        <w:rPr>
          <w:rFonts w:ascii="宋体" w:hAnsi="宋体" w:eastAsia="宋体" w:cs="宋体"/>
          <w:sz w:val="21"/>
          <w:szCs w:val="21"/>
        </w:rPr>
      </w:pPr>
      <w:r>
        <w:rPr>
          <w:rFonts w:ascii="宋体" w:hAnsi="宋体" w:eastAsia="宋体" w:cs="宋体"/>
          <w:spacing w:val="15"/>
          <w:sz w:val="21"/>
          <w:szCs w:val="21"/>
        </w:rPr>
        <w:t>(1)铜洗法自用氨量为总氨量的0.4%;铜洗自用氨量(吨)=合成氨产量×0.</w:t>
      </w:r>
      <w:r>
        <w:rPr>
          <w:rFonts w:ascii="宋体" w:hAnsi="宋体" w:eastAsia="宋体" w:cs="宋体"/>
          <w:spacing w:val="14"/>
          <w:sz w:val="21"/>
          <w:szCs w:val="21"/>
        </w:rPr>
        <w:t>4%</w:t>
      </w:r>
    </w:p>
    <w:p w14:paraId="20AC55A9">
      <w:pPr>
        <w:spacing w:before="110" w:line="268" w:lineRule="auto"/>
        <w:ind w:left="539" w:right="835"/>
        <w:rPr>
          <w:rFonts w:ascii="宋体" w:hAnsi="宋体" w:eastAsia="宋体" w:cs="宋体"/>
          <w:sz w:val="21"/>
          <w:szCs w:val="21"/>
        </w:rPr>
      </w:pPr>
      <w:r>
        <w:rPr>
          <w:rFonts w:ascii="宋体" w:hAnsi="宋体" w:eastAsia="宋体" w:cs="宋体"/>
          <w:spacing w:val="14"/>
          <w:sz w:val="21"/>
          <w:szCs w:val="21"/>
        </w:rPr>
        <w:t>(2)铜洗后氨洗的自用氨量为总氨量的0.5%;氨洗自用氨量</w:t>
      </w:r>
      <w:r>
        <w:rPr>
          <w:rFonts w:ascii="宋体" w:hAnsi="宋体" w:eastAsia="宋体" w:cs="宋体"/>
          <w:spacing w:val="13"/>
          <w:sz w:val="21"/>
          <w:szCs w:val="21"/>
        </w:rPr>
        <w:t>(吨)=合成氨产量×0.5%</w:t>
      </w:r>
      <w:r>
        <w:rPr>
          <w:rFonts w:ascii="宋体" w:hAnsi="宋体" w:eastAsia="宋体" w:cs="宋体"/>
          <w:sz w:val="21"/>
          <w:szCs w:val="21"/>
        </w:rPr>
        <w:t xml:space="preserve"> </w:t>
      </w:r>
      <w:r>
        <w:rPr>
          <w:rFonts w:ascii="宋体" w:hAnsi="宋体" w:eastAsia="宋体" w:cs="宋体"/>
          <w:spacing w:val="20"/>
          <w:sz w:val="21"/>
          <w:szCs w:val="21"/>
        </w:rPr>
        <w:t>(3)脱硫工艺自用氨为总氨量的1%;脱硫自用氨量(</w:t>
      </w:r>
      <w:r>
        <w:rPr>
          <w:rFonts w:ascii="宋体" w:hAnsi="宋体" w:eastAsia="宋体" w:cs="宋体"/>
          <w:spacing w:val="19"/>
          <w:sz w:val="21"/>
          <w:szCs w:val="21"/>
        </w:rPr>
        <w:t>吨)=合成氨产量×1%</w:t>
      </w:r>
    </w:p>
    <w:p w14:paraId="6C1FB155">
      <w:pPr>
        <w:spacing w:before="111" w:line="264" w:lineRule="auto"/>
        <w:ind w:left="10" w:right="11" w:firstLine="480"/>
        <w:rPr>
          <w:rFonts w:ascii="宋体" w:hAnsi="宋体" w:eastAsia="宋体" w:cs="宋体"/>
          <w:sz w:val="21"/>
          <w:szCs w:val="21"/>
        </w:rPr>
      </w:pPr>
      <w:r>
        <w:rPr>
          <w:rFonts w:ascii="宋体" w:hAnsi="宋体" w:eastAsia="宋体" w:cs="宋体"/>
          <w:spacing w:val="-3"/>
          <w:sz w:val="21"/>
          <w:szCs w:val="21"/>
        </w:rPr>
        <w:t>上述三项自用氨有哪项就计算哪项，没有的均不得计算自用氨，同时也不得将其他形式的耗氨量计</w:t>
      </w:r>
      <w:r>
        <w:rPr>
          <w:rFonts w:ascii="宋体" w:hAnsi="宋体" w:eastAsia="宋体" w:cs="宋体"/>
          <w:spacing w:val="16"/>
          <w:sz w:val="21"/>
          <w:szCs w:val="21"/>
        </w:rPr>
        <w:t xml:space="preserve"> </w:t>
      </w:r>
      <w:r>
        <w:rPr>
          <w:rFonts w:ascii="宋体" w:hAnsi="宋体" w:eastAsia="宋体" w:cs="宋体"/>
          <w:spacing w:val="-6"/>
          <w:sz w:val="21"/>
          <w:szCs w:val="21"/>
        </w:rPr>
        <w:t>在自用氨中。</w:t>
      </w:r>
    </w:p>
    <w:p w14:paraId="59103DA4">
      <w:pPr>
        <w:spacing w:before="120" w:line="284" w:lineRule="auto"/>
        <w:ind w:left="10" w:right="8" w:firstLine="410"/>
        <w:rPr>
          <w:rFonts w:ascii="宋体" w:hAnsi="宋体" w:eastAsia="宋体" w:cs="宋体"/>
          <w:sz w:val="21"/>
          <w:szCs w:val="21"/>
        </w:rPr>
      </w:pPr>
      <w:r>
        <w:rPr>
          <w:rFonts w:ascii="宋体" w:hAnsi="宋体" w:eastAsia="宋体" w:cs="宋体"/>
          <w:spacing w:val="-2"/>
          <w:sz w:val="21"/>
          <w:szCs w:val="21"/>
        </w:rPr>
        <w:t>氨水折氨量包括：直接用合成吹出气、中间槽解析气、氨罐弛放气回收生产的合格和不合格农业氨</w:t>
      </w:r>
      <w:r>
        <w:rPr>
          <w:rFonts w:ascii="宋体" w:hAnsi="宋体" w:eastAsia="宋体" w:cs="宋体"/>
          <w:spacing w:val="16"/>
          <w:sz w:val="21"/>
          <w:szCs w:val="21"/>
        </w:rPr>
        <w:t xml:space="preserve"> </w:t>
      </w:r>
      <w:r>
        <w:rPr>
          <w:rFonts w:ascii="宋体" w:hAnsi="宋体" w:eastAsia="宋体" w:cs="宋体"/>
          <w:spacing w:val="4"/>
          <w:sz w:val="21"/>
          <w:szCs w:val="21"/>
        </w:rPr>
        <w:t>水和工业氨水。氨水折氨量不包括：  净化(铜</w:t>
      </w:r>
      <w:r>
        <w:rPr>
          <w:rFonts w:ascii="宋体" w:hAnsi="宋体" w:eastAsia="宋体" w:cs="宋体"/>
          <w:spacing w:val="3"/>
          <w:sz w:val="21"/>
          <w:szCs w:val="21"/>
        </w:rPr>
        <w:t>洗)、脱硫回收的氨水、碳化清洗塔及回收塔出来的氨</w:t>
      </w:r>
      <w:r>
        <w:rPr>
          <w:rFonts w:ascii="宋体" w:hAnsi="宋体" w:eastAsia="宋体" w:cs="宋体"/>
          <w:sz w:val="21"/>
          <w:szCs w:val="21"/>
        </w:rPr>
        <w:t xml:space="preserve"> </w:t>
      </w:r>
      <w:r>
        <w:rPr>
          <w:rFonts w:ascii="宋体" w:hAnsi="宋体" w:eastAsia="宋体" w:cs="宋体"/>
          <w:spacing w:val="5"/>
          <w:sz w:val="21"/>
          <w:szCs w:val="21"/>
        </w:rPr>
        <w:t>水，也不包括净化(铜洗)和脱硫的自用氨水</w:t>
      </w:r>
      <w:r>
        <w:rPr>
          <w:rFonts w:ascii="宋体" w:hAnsi="宋体" w:eastAsia="宋体" w:cs="宋体"/>
          <w:spacing w:val="4"/>
          <w:sz w:val="21"/>
          <w:szCs w:val="21"/>
        </w:rPr>
        <w:t>，及排放掉的合格或不合格的氨水。</w:t>
      </w:r>
    </w:p>
    <w:p w14:paraId="49CCE5BC">
      <w:pPr>
        <w:spacing w:before="110" w:line="284" w:lineRule="auto"/>
        <w:ind w:left="10" w:right="8" w:firstLine="410"/>
        <w:rPr>
          <w:rFonts w:ascii="宋体" w:hAnsi="宋体" w:eastAsia="宋体" w:cs="宋体"/>
          <w:sz w:val="21"/>
          <w:szCs w:val="21"/>
        </w:rPr>
      </w:pPr>
      <w:r>
        <w:rPr>
          <w:rFonts w:ascii="宋体" w:hAnsi="宋体" w:eastAsia="宋体" w:cs="宋体"/>
          <w:spacing w:val="-1"/>
          <w:sz w:val="21"/>
          <w:szCs w:val="21"/>
        </w:rPr>
        <w:t>用多种原料生产合成氨时，氨产量的确定：同时用天然气、煤等多种原料生产合成氨的企业，在填</w:t>
      </w:r>
      <w:r>
        <w:rPr>
          <w:rFonts w:ascii="宋体" w:hAnsi="宋体" w:eastAsia="宋体" w:cs="宋体"/>
          <w:spacing w:val="1"/>
          <w:sz w:val="21"/>
          <w:szCs w:val="21"/>
        </w:rPr>
        <w:t xml:space="preserve"> </w:t>
      </w:r>
      <w:r>
        <w:rPr>
          <w:rFonts w:ascii="宋体" w:hAnsi="宋体" w:eastAsia="宋体" w:cs="宋体"/>
          <w:spacing w:val="-1"/>
          <w:sz w:val="21"/>
          <w:szCs w:val="21"/>
        </w:rPr>
        <w:t>报合成氨总产量时，应按原料分列合成氨产量。确定各种不同原料生产的合成氨产量，应在</w:t>
      </w:r>
      <w:r>
        <w:rPr>
          <w:rFonts w:ascii="宋体" w:hAnsi="宋体" w:eastAsia="宋体" w:cs="宋体"/>
          <w:spacing w:val="-2"/>
          <w:sz w:val="21"/>
          <w:szCs w:val="21"/>
        </w:rPr>
        <w:t>总氨量中按</w:t>
      </w:r>
      <w:r>
        <w:rPr>
          <w:rFonts w:ascii="宋体" w:hAnsi="宋体" w:eastAsia="宋体" w:cs="宋体"/>
          <w:sz w:val="21"/>
          <w:szCs w:val="21"/>
        </w:rPr>
        <w:t xml:space="preserve"> </w:t>
      </w:r>
      <w:r>
        <w:rPr>
          <w:rFonts w:ascii="宋体" w:hAnsi="宋体" w:eastAsia="宋体" w:cs="宋体"/>
          <w:spacing w:val="-4"/>
          <w:sz w:val="21"/>
          <w:szCs w:val="21"/>
        </w:rPr>
        <w:t>各种原料产气量及其有效气体成分来划定，计算公式：</w:t>
      </w:r>
    </w:p>
    <w:p w14:paraId="77A34DFE">
      <w:pPr>
        <w:spacing w:before="101" w:line="371" w:lineRule="exact"/>
        <w:ind w:right="34"/>
        <w:jc w:val="right"/>
        <w:rPr>
          <w:rFonts w:ascii="宋体" w:hAnsi="宋体" w:eastAsia="宋体" w:cs="宋体"/>
          <w:sz w:val="21"/>
          <w:szCs w:val="21"/>
        </w:rPr>
      </w:pPr>
      <w:r>
        <w:rPr>
          <w:rFonts w:ascii="宋体" w:hAnsi="宋体" w:eastAsia="宋体" w:cs="宋体"/>
          <w:spacing w:val="-1"/>
          <w:position w:val="12"/>
          <w:sz w:val="21"/>
          <w:szCs w:val="21"/>
        </w:rPr>
        <w:t>某种原料生产的合成氨产量=合成氨总产量×[(某种原料</w:t>
      </w:r>
      <w:r>
        <w:rPr>
          <w:rFonts w:ascii="宋体" w:hAnsi="宋体" w:eastAsia="宋体" w:cs="宋体"/>
          <w:spacing w:val="-2"/>
          <w:position w:val="12"/>
          <w:sz w:val="21"/>
          <w:szCs w:val="21"/>
        </w:rPr>
        <w:t>产气量×有效气体成分%)/乙各种原料产气</w:t>
      </w:r>
    </w:p>
    <w:p w14:paraId="1CD835BF">
      <w:pPr>
        <w:spacing w:line="220" w:lineRule="auto"/>
        <w:ind w:left="3140"/>
        <w:rPr>
          <w:rFonts w:ascii="宋体" w:hAnsi="宋体" w:eastAsia="宋体" w:cs="宋体"/>
          <w:sz w:val="21"/>
          <w:szCs w:val="21"/>
        </w:rPr>
      </w:pPr>
      <w:r>
        <w:rPr>
          <w:rFonts w:ascii="宋体" w:hAnsi="宋体" w:eastAsia="宋体" w:cs="宋体"/>
          <w:spacing w:val="-1"/>
          <w:sz w:val="21"/>
          <w:szCs w:val="21"/>
        </w:rPr>
        <w:t>量×有效气体成分%</w:t>
      </w:r>
    </w:p>
    <w:p w14:paraId="4DA9BC43">
      <w:pPr>
        <w:spacing w:before="94" w:line="220" w:lineRule="auto"/>
        <w:ind w:left="423"/>
        <w:rPr>
          <w:rFonts w:ascii="黑体" w:hAnsi="黑体" w:eastAsia="黑体" w:cs="黑体"/>
          <w:sz w:val="21"/>
          <w:szCs w:val="21"/>
        </w:rPr>
      </w:pPr>
      <w:r>
        <w:rPr>
          <w:rFonts w:ascii="黑体" w:hAnsi="黑体" w:eastAsia="黑体" w:cs="黑体"/>
          <w:b/>
          <w:bCs/>
          <w:spacing w:val="-4"/>
          <w:sz w:val="21"/>
          <w:szCs w:val="21"/>
        </w:rPr>
        <w:t>单位合成氨耗电</w:t>
      </w:r>
    </w:p>
    <w:p w14:paraId="42D9C4AB">
      <w:pPr>
        <w:spacing w:before="125" w:line="219" w:lineRule="auto"/>
        <w:ind w:right="4"/>
        <w:jc w:val="right"/>
        <w:rPr>
          <w:rFonts w:ascii="宋体" w:hAnsi="宋体" w:eastAsia="宋体" w:cs="宋体"/>
          <w:sz w:val="21"/>
          <w:szCs w:val="21"/>
        </w:rPr>
      </w:pPr>
      <w:r>
        <w:rPr>
          <w:rFonts w:ascii="宋体" w:hAnsi="宋体" w:eastAsia="宋体" w:cs="宋体"/>
          <w:spacing w:val="8"/>
          <w:sz w:val="21"/>
          <w:szCs w:val="21"/>
        </w:rPr>
        <w:t>计算公式：单位合成氨耗电(千瓦时/吨)=10000×合成氨耗电总量(万千瓦时)/合成氨(无水氨)</w:t>
      </w:r>
    </w:p>
    <w:p w14:paraId="3E412F1C">
      <w:pPr>
        <w:spacing w:before="101" w:line="219" w:lineRule="auto"/>
        <w:ind w:left="4420"/>
        <w:rPr>
          <w:rFonts w:ascii="宋体" w:hAnsi="宋体" w:eastAsia="宋体" w:cs="宋体"/>
          <w:sz w:val="21"/>
          <w:szCs w:val="21"/>
        </w:rPr>
      </w:pPr>
      <w:r>
        <w:rPr>
          <w:rFonts w:ascii="宋体" w:hAnsi="宋体" w:eastAsia="宋体" w:cs="宋体"/>
          <w:spacing w:val="23"/>
          <w:sz w:val="21"/>
          <w:szCs w:val="21"/>
        </w:rPr>
        <w:t>产量(吨)</w:t>
      </w:r>
    </w:p>
    <w:p w14:paraId="154EF654">
      <w:pPr>
        <w:spacing w:before="119" w:line="219" w:lineRule="auto"/>
        <w:ind w:right="36"/>
        <w:jc w:val="right"/>
        <w:rPr>
          <w:rFonts w:ascii="宋体" w:hAnsi="宋体" w:eastAsia="宋体" w:cs="宋体"/>
          <w:sz w:val="21"/>
          <w:szCs w:val="21"/>
        </w:rPr>
      </w:pPr>
      <w:r>
        <w:rPr>
          <w:rFonts w:ascii="宋体" w:hAnsi="宋体" w:eastAsia="宋体" w:cs="宋体"/>
          <w:spacing w:val="-2"/>
          <w:sz w:val="21"/>
          <w:szCs w:val="21"/>
        </w:rPr>
        <w:t>分子项：合成氨耗电总量。指合成氨生产系统和辅助、附属生产系统消耗的电量及界区内损失的电</w:t>
      </w:r>
    </w:p>
    <w:p w14:paraId="6E8B3232">
      <w:pPr>
        <w:spacing w:line="219" w:lineRule="auto"/>
        <w:rPr>
          <w:rFonts w:ascii="宋体" w:hAnsi="宋体" w:eastAsia="宋体" w:cs="宋体"/>
          <w:sz w:val="21"/>
          <w:szCs w:val="21"/>
        </w:rPr>
        <w:sectPr>
          <w:headerReference r:id="rId40" w:type="default"/>
          <w:pgSz w:w="11910" w:h="16840"/>
          <w:pgMar w:top="1109" w:right="1249" w:bottom="400" w:left="1239" w:header="838" w:footer="0" w:gutter="0"/>
          <w:cols w:space="720" w:num="1"/>
        </w:sectPr>
      </w:pPr>
    </w:p>
    <w:p w14:paraId="242D2030">
      <w:pPr>
        <w:pStyle w:val="2"/>
        <w:spacing w:line="309" w:lineRule="auto"/>
      </w:pPr>
    </w:p>
    <w:p w14:paraId="2840965E">
      <w:pPr>
        <w:spacing w:before="68" w:line="359" w:lineRule="exact"/>
        <w:rPr>
          <w:rFonts w:ascii="宋体" w:hAnsi="宋体" w:eastAsia="宋体" w:cs="宋体"/>
          <w:sz w:val="21"/>
          <w:szCs w:val="21"/>
        </w:rPr>
      </w:pPr>
      <w:r>
        <w:rPr>
          <w:rFonts w:ascii="宋体" w:hAnsi="宋体" w:eastAsia="宋体" w:cs="宋体"/>
          <w:spacing w:val="-2"/>
          <w:position w:val="11"/>
          <w:sz w:val="21"/>
          <w:szCs w:val="21"/>
        </w:rPr>
        <w:t>量。以电表计量为准，计量单位为万千瓦时。</w:t>
      </w:r>
    </w:p>
    <w:p w14:paraId="45EFB69C">
      <w:pPr>
        <w:spacing w:line="219" w:lineRule="auto"/>
        <w:ind w:left="440"/>
        <w:rPr>
          <w:rFonts w:ascii="宋体" w:hAnsi="宋体" w:eastAsia="宋体" w:cs="宋体"/>
          <w:sz w:val="21"/>
          <w:szCs w:val="21"/>
        </w:rPr>
      </w:pPr>
      <w:r>
        <w:rPr>
          <w:rFonts w:ascii="宋体" w:hAnsi="宋体" w:eastAsia="宋体" w:cs="宋体"/>
          <w:spacing w:val="-8"/>
          <w:sz w:val="21"/>
          <w:szCs w:val="21"/>
        </w:rPr>
        <w:t>合成氨耗电总量应包括：</w:t>
      </w:r>
    </w:p>
    <w:p w14:paraId="68261AD1">
      <w:pPr>
        <w:spacing w:before="111" w:line="295" w:lineRule="auto"/>
        <w:ind w:firstLine="550"/>
        <w:rPr>
          <w:rFonts w:ascii="宋体" w:hAnsi="宋体" w:eastAsia="宋体" w:cs="宋体"/>
          <w:sz w:val="21"/>
          <w:szCs w:val="21"/>
        </w:rPr>
      </w:pPr>
      <w:r>
        <w:rPr>
          <w:rFonts w:ascii="宋体" w:hAnsi="宋体" w:eastAsia="宋体" w:cs="宋体"/>
          <w:spacing w:val="3"/>
          <w:sz w:val="21"/>
          <w:szCs w:val="21"/>
        </w:rPr>
        <w:t>(1)合成氨生产系统耗电。指从原料开始至液氨进氨库止所消耗的全部电量，包括：原料场、库</w:t>
      </w:r>
      <w:r>
        <w:rPr>
          <w:rFonts w:ascii="宋体" w:hAnsi="宋体" w:eastAsia="宋体" w:cs="宋体"/>
          <w:spacing w:val="18"/>
          <w:sz w:val="21"/>
          <w:szCs w:val="21"/>
        </w:rPr>
        <w:t xml:space="preserve"> </w:t>
      </w:r>
      <w:r>
        <w:rPr>
          <w:rFonts w:ascii="宋体" w:hAnsi="宋体" w:eastAsia="宋体" w:cs="宋体"/>
          <w:spacing w:val="12"/>
          <w:sz w:val="21"/>
          <w:szCs w:val="21"/>
        </w:rPr>
        <w:t>运料(煤、焦、油、气)、预处理[原料煤破碎(制煤粉、制水煤浆)、型煤(制煤球、煤棒)等]、造</w:t>
      </w:r>
      <w:r>
        <w:rPr>
          <w:rFonts w:ascii="宋体" w:hAnsi="宋体" w:eastAsia="宋体" w:cs="宋体"/>
          <w:spacing w:val="2"/>
          <w:sz w:val="21"/>
          <w:szCs w:val="21"/>
        </w:rPr>
        <w:t xml:space="preserve">  </w:t>
      </w:r>
      <w:r>
        <w:rPr>
          <w:rFonts w:ascii="宋体" w:hAnsi="宋体" w:eastAsia="宋体" w:cs="宋体"/>
          <w:spacing w:val="3"/>
          <w:sz w:val="21"/>
          <w:szCs w:val="21"/>
        </w:rPr>
        <w:t>气、净化、压缩、氨合成、冰机[包括氨合成冷冻分离用电和制液氨用电(如为尿素等耗氨产品和商品 液氨增开的冰机用电)]、氨库以及辅助锅炉各工序用电；上述各工序的车间</w:t>
      </w:r>
      <w:r>
        <w:rPr>
          <w:rFonts w:ascii="宋体" w:hAnsi="宋体" w:eastAsia="宋体" w:cs="宋体"/>
          <w:spacing w:val="2"/>
          <w:sz w:val="21"/>
          <w:szCs w:val="21"/>
        </w:rPr>
        <w:t>照明、安全通风、采暖、</w:t>
      </w:r>
      <w:r>
        <w:rPr>
          <w:rFonts w:ascii="宋体" w:hAnsi="宋体" w:eastAsia="宋体" w:cs="宋体"/>
          <w:sz w:val="21"/>
          <w:szCs w:val="21"/>
        </w:rPr>
        <w:t xml:space="preserve">  </w:t>
      </w:r>
      <w:r>
        <w:rPr>
          <w:rFonts w:ascii="宋体" w:hAnsi="宋体" w:eastAsia="宋体" w:cs="宋体"/>
          <w:spacing w:val="-4"/>
          <w:sz w:val="21"/>
          <w:szCs w:val="21"/>
        </w:rPr>
        <w:t>空调、排风降温、车间办公室、分析化验和烘烤电机等用电；计划中修、小修和事故停修的作业用电(如</w:t>
      </w:r>
      <w:r>
        <w:rPr>
          <w:rFonts w:ascii="宋体" w:hAnsi="宋体" w:eastAsia="宋体" w:cs="宋体"/>
          <w:spacing w:val="6"/>
          <w:sz w:val="21"/>
          <w:szCs w:val="21"/>
        </w:rPr>
        <w:t xml:space="preserve">  </w:t>
      </w:r>
      <w:r>
        <w:rPr>
          <w:rFonts w:ascii="宋体" w:hAnsi="宋体" w:eastAsia="宋体" w:cs="宋体"/>
          <w:spacing w:val="3"/>
          <w:sz w:val="21"/>
          <w:szCs w:val="21"/>
        </w:rPr>
        <w:t>起重、电焊)以及因检修(含大修)引起的开停车过程点火、烘炉、升温、热备用</w:t>
      </w:r>
      <w:r>
        <w:rPr>
          <w:rFonts w:ascii="宋体" w:hAnsi="宋体" w:eastAsia="宋体" w:cs="宋体"/>
          <w:spacing w:val="2"/>
          <w:sz w:val="21"/>
          <w:szCs w:val="21"/>
        </w:rPr>
        <w:t>、置换等消耗的电量。</w:t>
      </w:r>
      <w:r>
        <w:rPr>
          <w:rFonts w:ascii="宋体" w:hAnsi="宋体" w:eastAsia="宋体" w:cs="宋体"/>
          <w:sz w:val="21"/>
          <w:szCs w:val="21"/>
        </w:rPr>
        <w:t xml:space="preserve"> </w:t>
      </w:r>
      <w:r>
        <w:rPr>
          <w:rFonts w:ascii="宋体" w:hAnsi="宋体" w:eastAsia="宋体" w:cs="宋体"/>
          <w:spacing w:val="-3"/>
          <w:sz w:val="21"/>
          <w:szCs w:val="21"/>
        </w:rPr>
        <w:t>大修作业用电按全年产量平均分摊。</w:t>
      </w:r>
    </w:p>
    <w:p w14:paraId="0AD02AB2">
      <w:pPr>
        <w:spacing w:before="170" w:line="297" w:lineRule="auto"/>
        <w:ind w:right="64" w:firstLine="550"/>
        <w:rPr>
          <w:rFonts w:ascii="宋体" w:hAnsi="宋体" w:eastAsia="宋体" w:cs="宋体"/>
          <w:sz w:val="21"/>
          <w:szCs w:val="21"/>
        </w:rPr>
      </w:pPr>
      <w:r>
        <w:rPr>
          <w:rFonts w:ascii="宋体" w:hAnsi="宋体" w:eastAsia="宋体" w:cs="宋体"/>
          <w:spacing w:val="6"/>
          <w:sz w:val="21"/>
          <w:szCs w:val="21"/>
        </w:rPr>
        <w:t>(2)合成氨辅助、附属生产系统消耗电量。包括：合成氨消耗的各种载能工</w:t>
      </w:r>
      <w:r>
        <w:rPr>
          <w:rFonts w:ascii="宋体" w:hAnsi="宋体" w:eastAsia="宋体" w:cs="宋体"/>
          <w:spacing w:val="5"/>
          <w:sz w:val="21"/>
          <w:szCs w:val="21"/>
        </w:rPr>
        <w:t>质(如一次水、循环</w:t>
      </w:r>
      <w:r>
        <w:rPr>
          <w:rFonts w:ascii="宋体" w:hAnsi="宋体" w:eastAsia="宋体" w:cs="宋体"/>
          <w:sz w:val="21"/>
          <w:szCs w:val="21"/>
        </w:rPr>
        <w:t xml:space="preserve"> </w:t>
      </w:r>
      <w:r>
        <w:rPr>
          <w:rFonts w:ascii="宋体" w:hAnsi="宋体" w:eastAsia="宋体" w:cs="宋体"/>
          <w:spacing w:val="1"/>
          <w:sz w:val="21"/>
          <w:szCs w:val="21"/>
        </w:rPr>
        <w:t>水、化学软水、除氧水、氧气、氮气、压缩空气等)的制备、提取、运输所消</w:t>
      </w:r>
      <w:r>
        <w:rPr>
          <w:rFonts w:ascii="宋体" w:hAnsi="宋体" w:eastAsia="宋体" w:cs="宋体"/>
          <w:sz w:val="21"/>
          <w:szCs w:val="21"/>
        </w:rPr>
        <w:t xml:space="preserve">耗的实际电量；合成氨生 </w:t>
      </w:r>
      <w:r>
        <w:rPr>
          <w:rFonts w:ascii="宋体" w:hAnsi="宋体" w:eastAsia="宋体" w:cs="宋体"/>
          <w:spacing w:val="8"/>
          <w:sz w:val="21"/>
          <w:szCs w:val="21"/>
        </w:rPr>
        <w:t>产过程中三废处理的耗电量(硫磺回收、油回收、污水处理等);自备锅炉耗电(如引风机、鼓风机、</w:t>
      </w:r>
      <w:r>
        <w:rPr>
          <w:rFonts w:ascii="宋体" w:hAnsi="宋体" w:eastAsia="宋体" w:cs="宋体"/>
          <w:spacing w:val="4"/>
          <w:sz w:val="21"/>
          <w:szCs w:val="21"/>
        </w:rPr>
        <w:t xml:space="preserve"> </w:t>
      </w:r>
      <w:r>
        <w:rPr>
          <w:rFonts w:ascii="宋体" w:hAnsi="宋体" w:eastAsia="宋体" w:cs="宋体"/>
          <w:spacing w:val="3"/>
          <w:sz w:val="21"/>
          <w:szCs w:val="21"/>
        </w:rPr>
        <w:t>送水，冷却循环水泵等用电);机、电、仪维修和金加工等工序耗电以及车间照明、通风、降温、车间</w:t>
      </w:r>
      <w:r>
        <w:rPr>
          <w:rFonts w:ascii="宋体" w:hAnsi="宋体" w:eastAsia="宋体" w:cs="宋体"/>
          <w:spacing w:val="15"/>
          <w:sz w:val="21"/>
          <w:szCs w:val="21"/>
        </w:rPr>
        <w:t xml:space="preserve"> </w:t>
      </w:r>
      <w:r>
        <w:rPr>
          <w:rFonts w:ascii="宋体" w:hAnsi="宋体" w:eastAsia="宋体" w:cs="宋体"/>
          <w:spacing w:val="4"/>
          <w:sz w:val="21"/>
          <w:szCs w:val="21"/>
        </w:rPr>
        <w:t>办公室耗电(按其实际承担合成氨生产系统的维修和加工的工时合理分摊用电量)。</w:t>
      </w:r>
    </w:p>
    <w:p w14:paraId="2E2C09E4">
      <w:pPr>
        <w:spacing w:before="110" w:line="219" w:lineRule="auto"/>
        <w:ind w:left="440"/>
        <w:rPr>
          <w:rFonts w:ascii="宋体" w:hAnsi="宋体" w:eastAsia="宋体" w:cs="宋体"/>
          <w:sz w:val="21"/>
          <w:szCs w:val="21"/>
        </w:rPr>
      </w:pPr>
      <w:r>
        <w:rPr>
          <w:rFonts w:ascii="宋体" w:hAnsi="宋体" w:eastAsia="宋体" w:cs="宋体"/>
          <w:spacing w:val="-8"/>
          <w:sz w:val="21"/>
          <w:szCs w:val="21"/>
        </w:rPr>
        <w:t>合成氨耗电总量不包括：</w:t>
      </w:r>
    </w:p>
    <w:p w14:paraId="214DD1E2">
      <w:pPr>
        <w:spacing w:before="101" w:line="370" w:lineRule="exact"/>
        <w:ind w:left="550"/>
        <w:rPr>
          <w:rFonts w:ascii="宋体" w:hAnsi="宋体" w:eastAsia="宋体" w:cs="宋体"/>
          <w:sz w:val="21"/>
          <w:szCs w:val="21"/>
        </w:rPr>
      </w:pPr>
      <w:r>
        <w:rPr>
          <w:rFonts w:ascii="宋体" w:hAnsi="宋体" w:eastAsia="宋体" w:cs="宋体"/>
          <w:spacing w:val="11"/>
          <w:position w:val="12"/>
          <w:sz w:val="21"/>
          <w:szCs w:val="21"/>
        </w:rPr>
        <w:t>(1)联产产品耗电(联醇的粗甲醇耗电等)。</w:t>
      </w:r>
    </w:p>
    <w:p w14:paraId="5DED7984">
      <w:pPr>
        <w:spacing w:line="219" w:lineRule="auto"/>
        <w:ind w:left="550"/>
        <w:rPr>
          <w:rFonts w:ascii="宋体" w:hAnsi="宋体" w:eastAsia="宋体" w:cs="宋体"/>
          <w:sz w:val="21"/>
          <w:szCs w:val="21"/>
        </w:rPr>
      </w:pPr>
      <w:r>
        <w:rPr>
          <w:rFonts w:ascii="宋体" w:hAnsi="宋体" w:eastAsia="宋体" w:cs="宋体"/>
          <w:spacing w:val="3"/>
          <w:sz w:val="21"/>
          <w:szCs w:val="21"/>
        </w:rPr>
        <w:t>(2)扩建和技改工程作业用电。</w:t>
      </w:r>
    </w:p>
    <w:p w14:paraId="6115AD93">
      <w:pPr>
        <w:spacing w:before="111" w:line="219" w:lineRule="auto"/>
        <w:ind w:left="550"/>
        <w:rPr>
          <w:rFonts w:ascii="宋体" w:hAnsi="宋体" w:eastAsia="宋体" w:cs="宋体"/>
          <w:sz w:val="21"/>
          <w:szCs w:val="21"/>
        </w:rPr>
      </w:pPr>
      <w:r>
        <w:rPr>
          <w:rFonts w:ascii="宋体" w:hAnsi="宋体" w:eastAsia="宋体" w:cs="宋体"/>
          <w:spacing w:val="2"/>
          <w:sz w:val="21"/>
          <w:szCs w:val="21"/>
        </w:rPr>
        <w:t>(3)合成氨以外的产品消耗的耗能工质和蒸汽，应合理分摊</w:t>
      </w:r>
      <w:r>
        <w:rPr>
          <w:rFonts w:ascii="宋体" w:hAnsi="宋体" w:eastAsia="宋体" w:cs="宋体"/>
          <w:spacing w:val="1"/>
          <w:sz w:val="21"/>
          <w:szCs w:val="21"/>
        </w:rPr>
        <w:t>其用电量。</w:t>
      </w:r>
    </w:p>
    <w:p w14:paraId="30EA4990">
      <w:pPr>
        <w:spacing w:before="108" w:line="269" w:lineRule="auto"/>
        <w:ind w:right="59" w:firstLine="440"/>
        <w:rPr>
          <w:rFonts w:ascii="宋体" w:hAnsi="宋体" w:eastAsia="宋体" w:cs="宋体"/>
          <w:sz w:val="21"/>
          <w:szCs w:val="21"/>
        </w:rPr>
      </w:pPr>
      <w:r>
        <w:rPr>
          <w:rFonts w:ascii="宋体" w:hAnsi="宋体" w:eastAsia="宋体" w:cs="宋体"/>
          <w:spacing w:val="13"/>
          <w:sz w:val="21"/>
          <w:szCs w:val="21"/>
        </w:rPr>
        <w:t>对于集中(数月或全年)扣除的(或计入)的用电量(如大修等),不能在当</w:t>
      </w:r>
      <w:r>
        <w:rPr>
          <w:rFonts w:ascii="宋体" w:hAnsi="宋体" w:eastAsia="宋体" w:cs="宋体"/>
          <w:spacing w:val="12"/>
          <w:sz w:val="21"/>
          <w:szCs w:val="21"/>
        </w:rPr>
        <w:t>月集中扣除(或计入),</w:t>
      </w:r>
      <w:r>
        <w:rPr>
          <w:rFonts w:ascii="宋体" w:hAnsi="宋体" w:eastAsia="宋体" w:cs="宋体"/>
          <w:sz w:val="21"/>
          <w:szCs w:val="21"/>
        </w:rPr>
        <w:t xml:space="preserve"> </w:t>
      </w:r>
      <w:r>
        <w:rPr>
          <w:rFonts w:ascii="宋体" w:hAnsi="宋体" w:eastAsia="宋体" w:cs="宋体"/>
          <w:spacing w:val="-3"/>
          <w:sz w:val="21"/>
          <w:szCs w:val="21"/>
        </w:rPr>
        <w:t>应该按月均摊，并在当月累计数中调整，并以文字说明。</w:t>
      </w:r>
    </w:p>
    <w:p w14:paraId="39736956">
      <w:pPr>
        <w:spacing w:before="101" w:line="219" w:lineRule="auto"/>
        <w:ind w:left="440"/>
        <w:rPr>
          <w:rFonts w:ascii="宋体" w:hAnsi="宋体" w:eastAsia="宋体" w:cs="宋体"/>
          <w:sz w:val="21"/>
          <w:szCs w:val="21"/>
        </w:rPr>
      </w:pPr>
      <w:r>
        <w:rPr>
          <w:rFonts w:ascii="宋体" w:hAnsi="宋体" w:eastAsia="宋体" w:cs="宋体"/>
          <w:spacing w:val="-7"/>
          <w:sz w:val="21"/>
          <w:szCs w:val="21"/>
        </w:rPr>
        <w:t>合成氨联产企业耗电分摊规定：</w:t>
      </w:r>
    </w:p>
    <w:p w14:paraId="02540C00">
      <w:pPr>
        <w:spacing w:before="120" w:line="268" w:lineRule="auto"/>
        <w:ind w:right="62" w:firstLine="550"/>
        <w:rPr>
          <w:rFonts w:ascii="宋体" w:hAnsi="宋体" w:eastAsia="宋体" w:cs="宋体"/>
          <w:sz w:val="21"/>
          <w:szCs w:val="21"/>
        </w:rPr>
      </w:pPr>
      <w:r>
        <w:rPr>
          <w:rFonts w:ascii="宋体" w:hAnsi="宋体" w:eastAsia="宋体" w:cs="宋体"/>
          <w:spacing w:val="10"/>
          <w:sz w:val="21"/>
          <w:szCs w:val="21"/>
        </w:rPr>
        <w:t>(1)合成氨联产甲醇企业，按单位合成氨耗电与单位粗甲醇(100%)耗电比按1</w:t>
      </w:r>
      <w:r>
        <w:rPr>
          <w:rFonts w:ascii="宋体" w:hAnsi="宋体" w:eastAsia="宋体" w:cs="宋体"/>
          <w:spacing w:val="9"/>
          <w:sz w:val="21"/>
          <w:szCs w:val="21"/>
        </w:rPr>
        <w:t>:0.8分摊公共电</w:t>
      </w:r>
      <w:r>
        <w:rPr>
          <w:rFonts w:ascii="宋体" w:hAnsi="宋体" w:eastAsia="宋体" w:cs="宋体"/>
          <w:sz w:val="21"/>
          <w:szCs w:val="21"/>
        </w:rPr>
        <w:t xml:space="preserve"> </w:t>
      </w:r>
      <w:r>
        <w:rPr>
          <w:rFonts w:ascii="宋体" w:hAnsi="宋体" w:eastAsia="宋体" w:cs="宋体"/>
          <w:spacing w:val="-9"/>
          <w:sz w:val="21"/>
          <w:szCs w:val="21"/>
        </w:rPr>
        <w:t>耗量。</w:t>
      </w:r>
    </w:p>
    <w:p w14:paraId="449804D0">
      <w:pPr>
        <w:spacing w:before="131" w:line="219" w:lineRule="auto"/>
        <w:ind w:left="440"/>
        <w:rPr>
          <w:rFonts w:ascii="宋体" w:hAnsi="宋体" w:eastAsia="宋体" w:cs="宋体"/>
          <w:sz w:val="21"/>
          <w:szCs w:val="21"/>
        </w:rPr>
      </w:pPr>
      <w:r>
        <w:rPr>
          <w:rFonts w:ascii="宋体" w:hAnsi="宋体" w:eastAsia="宋体" w:cs="宋体"/>
          <w:spacing w:val="7"/>
          <w:sz w:val="21"/>
          <w:szCs w:val="21"/>
        </w:rPr>
        <w:t>合成氨耗电总量=氨醇耗电总量×[合成氨产量/(0.8×粗甲</w:t>
      </w:r>
      <w:r>
        <w:rPr>
          <w:rFonts w:ascii="宋体" w:hAnsi="宋体" w:eastAsia="宋体" w:cs="宋体"/>
          <w:spacing w:val="6"/>
          <w:sz w:val="21"/>
          <w:szCs w:val="21"/>
        </w:rPr>
        <w:t>醇(折100%)产量+合成氨产量)]</w:t>
      </w:r>
    </w:p>
    <w:p w14:paraId="55D8B6C8">
      <w:pPr>
        <w:spacing w:before="91" w:line="292" w:lineRule="auto"/>
        <w:ind w:right="79" w:firstLine="550"/>
        <w:rPr>
          <w:rFonts w:ascii="宋体" w:hAnsi="宋体" w:eastAsia="宋体" w:cs="宋体"/>
          <w:sz w:val="21"/>
          <w:szCs w:val="21"/>
        </w:rPr>
      </w:pPr>
      <w:r>
        <w:rPr>
          <w:rFonts w:ascii="宋体" w:hAnsi="宋体" w:eastAsia="宋体" w:cs="宋体"/>
          <w:spacing w:val="6"/>
          <w:sz w:val="21"/>
          <w:szCs w:val="21"/>
        </w:rPr>
        <w:t>(2)合成氨热电联产企业，合成氨的用电</w:t>
      </w:r>
      <w:r>
        <w:rPr>
          <w:rFonts w:ascii="宋体" w:hAnsi="宋体" w:eastAsia="宋体" w:cs="宋体"/>
          <w:spacing w:val="5"/>
          <w:sz w:val="21"/>
          <w:szCs w:val="21"/>
        </w:rPr>
        <w:t>量不扣减全余热发电量(热电系统全部用合成氨余热、</w:t>
      </w:r>
      <w:r>
        <w:rPr>
          <w:rFonts w:ascii="宋体" w:hAnsi="宋体" w:eastAsia="宋体" w:cs="宋体"/>
          <w:sz w:val="21"/>
          <w:szCs w:val="21"/>
        </w:rPr>
        <w:t xml:space="preserve"> </w:t>
      </w:r>
      <w:r>
        <w:rPr>
          <w:rFonts w:ascii="宋体" w:hAnsi="宋体" w:eastAsia="宋体" w:cs="宋体"/>
          <w:spacing w:val="3"/>
          <w:sz w:val="21"/>
          <w:szCs w:val="21"/>
        </w:rPr>
        <w:t xml:space="preserve">余压发电时，其发电量称为全余热发电量),其发电量计入合成氨输出能源，并用文字说明。热电系统 </w:t>
      </w:r>
      <w:r>
        <w:rPr>
          <w:rFonts w:ascii="宋体" w:hAnsi="宋体" w:eastAsia="宋体" w:cs="宋体"/>
          <w:spacing w:val="-1"/>
          <w:sz w:val="21"/>
          <w:szCs w:val="21"/>
        </w:rPr>
        <w:t>全部或部分利用外购燃料煤发电时，热电系统独</w:t>
      </w:r>
      <w:r>
        <w:rPr>
          <w:rFonts w:ascii="宋体" w:hAnsi="宋体" w:eastAsia="宋体" w:cs="宋体"/>
          <w:spacing w:val="-2"/>
          <w:sz w:val="21"/>
          <w:szCs w:val="21"/>
        </w:rPr>
        <w:t>立核算，合成氨的用电量也不扣减自发电量，用于热电</w:t>
      </w:r>
      <w:r>
        <w:rPr>
          <w:rFonts w:ascii="宋体" w:hAnsi="宋体" w:eastAsia="宋体" w:cs="宋体"/>
          <w:sz w:val="21"/>
          <w:szCs w:val="21"/>
        </w:rPr>
        <w:t xml:space="preserve"> </w:t>
      </w:r>
      <w:r>
        <w:rPr>
          <w:rFonts w:ascii="宋体" w:hAnsi="宋体" w:eastAsia="宋体" w:cs="宋体"/>
          <w:spacing w:val="-3"/>
          <w:sz w:val="21"/>
          <w:szCs w:val="21"/>
        </w:rPr>
        <w:t>联产的合成氨余热、余压的热量，计入合成氨输出能源。</w:t>
      </w:r>
    </w:p>
    <w:p w14:paraId="7BC2E5A6">
      <w:pPr>
        <w:spacing w:before="111" w:line="219" w:lineRule="auto"/>
        <w:ind w:left="550"/>
        <w:rPr>
          <w:rFonts w:ascii="宋体" w:hAnsi="宋体" w:eastAsia="宋体" w:cs="宋体"/>
          <w:sz w:val="21"/>
          <w:szCs w:val="21"/>
        </w:rPr>
      </w:pPr>
      <w:r>
        <w:rPr>
          <w:rFonts w:ascii="宋体" w:hAnsi="宋体" w:eastAsia="宋体" w:cs="宋体"/>
          <w:spacing w:val="7"/>
          <w:sz w:val="21"/>
          <w:szCs w:val="21"/>
        </w:rPr>
        <w:t>(3)合成氨联产碳铵企业的碳铵工段(属合成氨的</w:t>
      </w:r>
      <w:r>
        <w:rPr>
          <w:rFonts w:ascii="宋体" w:hAnsi="宋体" w:eastAsia="宋体" w:cs="宋体"/>
          <w:spacing w:val="6"/>
          <w:sz w:val="21"/>
          <w:szCs w:val="21"/>
        </w:rPr>
        <w:t>脱碳过程)耗电应全部计入合成氨耗电。</w:t>
      </w:r>
    </w:p>
    <w:p w14:paraId="2EDC535C">
      <w:pPr>
        <w:spacing w:before="111" w:line="268" w:lineRule="auto"/>
        <w:ind w:right="109" w:firstLine="550"/>
        <w:rPr>
          <w:rFonts w:ascii="宋体" w:hAnsi="宋体" w:eastAsia="宋体" w:cs="宋体"/>
          <w:sz w:val="21"/>
          <w:szCs w:val="21"/>
        </w:rPr>
      </w:pPr>
      <w:r>
        <w:rPr>
          <w:rFonts w:ascii="宋体" w:hAnsi="宋体" w:eastAsia="宋体" w:cs="宋体"/>
          <w:spacing w:val="2"/>
          <w:sz w:val="21"/>
          <w:szCs w:val="21"/>
        </w:rPr>
        <w:t>(4)合成氨联产纯碱企业采用浓气制碱工艺时，与合成氨系统相对独立的，不存在电耗的分摊；</w:t>
      </w:r>
      <w:r>
        <w:rPr>
          <w:rFonts w:ascii="宋体" w:hAnsi="宋体" w:eastAsia="宋体" w:cs="宋体"/>
          <w:spacing w:val="12"/>
          <w:sz w:val="21"/>
          <w:szCs w:val="21"/>
        </w:rPr>
        <w:t xml:space="preserve"> </w:t>
      </w:r>
      <w:r>
        <w:rPr>
          <w:rFonts w:ascii="宋体" w:hAnsi="宋体" w:eastAsia="宋体" w:cs="宋体"/>
          <w:spacing w:val="-3"/>
          <w:sz w:val="21"/>
          <w:szCs w:val="21"/>
        </w:rPr>
        <w:t>变换气制碱工艺的重碱工段电耗应全部计入碱生产的电耗。</w:t>
      </w:r>
    </w:p>
    <w:p w14:paraId="321794FD">
      <w:pPr>
        <w:spacing w:before="110" w:line="219" w:lineRule="auto"/>
        <w:ind w:left="440"/>
        <w:rPr>
          <w:rFonts w:ascii="宋体" w:hAnsi="宋体" w:eastAsia="宋体" w:cs="宋体"/>
          <w:sz w:val="21"/>
          <w:szCs w:val="21"/>
        </w:rPr>
      </w:pPr>
      <w:r>
        <w:rPr>
          <w:rFonts w:ascii="宋体" w:hAnsi="宋体" w:eastAsia="宋体" w:cs="宋体"/>
          <w:spacing w:val="7"/>
          <w:sz w:val="21"/>
          <w:szCs w:val="21"/>
        </w:rPr>
        <w:t>分母项：合成氨(无水氨)产量。说明同上。</w:t>
      </w:r>
    </w:p>
    <w:p w14:paraId="34379C30">
      <w:pPr>
        <w:spacing w:before="106" w:line="220" w:lineRule="auto"/>
        <w:ind w:left="443"/>
        <w:rPr>
          <w:rFonts w:ascii="黑体" w:hAnsi="黑体" w:eastAsia="黑体" w:cs="黑体"/>
          <w:sz w:val="21"/>
          <w:szCs w:val="21"/>
        </w:rPr>
      </w:pPr>
      <w:r>
        <w:rPr>
          <w:rFonts w:ascii="黑体" w:hAnsi="黑体" w:eastAsia="黑体" w:cs="黑体"/>
          <w:b/>
          <w:bCs/>
          <w:spacing w:val="-4"/>
          <w:sz w:val="21"/>
          <w:szCs w:val="21"/>
        </w:rPr>
        <w:t>单位合成氨耗天然气</w:t>
      </w:r>
    </w:p>
    <w:p w14:paraId="70C1E5E7">
      <w:pPr>
        <w:spacing w:before="115" w:line="268" w:lineRule="auto"/>
        <w:ind w:left="5600" w:right="176" w:hanging="5160"/>
        <w:rPr>
          <w:rFonts w:ascii="宋体" w:hAnsi="宋体" w:eastAsia="宋体" w:cs="宋体"/>
          <w:sz w:val="21"/>
          <w:szCs w:val="21"/>
        </w:rPr>
      </w:pPr>
      <w:r>
        <w:rPr>
          <w:rFonts w:ascii="宋体" w:hAnsi="宋体" w:eastAsia="宋体" w:cs="宋体"/>
          <w:spacing w:val="5"/>
          <w:sz w:val="21"/>
          <w:szCs w:val="21"/>
        </w:rPr>
        <w:t>计算公式：单位合成氨消耗天然气(标准立方米/吨)=10000×合成氨消耗天然气总量(万标准立</w:t>
      </w:r>
      <w:r>
        <w:rPr>
          <w:rFonts w:ascii="宋体" w:hAnsi="宋体" w:eastAsia="宋体" w:cs="宋体"/>
          <w:spacing w:val="17"/>
          <w:sz w:val="21"/>
          <w:szCs w:val="21"/>
        </w:rPr>
        <w:t xml:space="preserve"> </w:t>
      </w:r>
      <w:r>
        <w:rPr>
          <w:rFonts w:ascii="宋体" w:hAnsi="宋体" w:eastAsia="宋体" w:cs="宋体"/>
          <w:spacing w:val="22"/>
          <w:sz w:val="21"/>
          <w:szCs w:val="21"/>
        </w:rPr>
        <w:t>方米)/合成氨(无水氨)产量(吨)</w:t>
      </w:r>
    </w:p>
    <w:p w14:paraId="73A57448">
      <w:pPr>
        <w:spacing w:before="100" w:line="370" w:lineRule="exact"/>
        <w:ind w:left="440"/>
        <w:rPr>
          <w:rFonts w:ascii="宋体" w:hAnsi="宋体" w:eastAsia="宋体" w:cs="宋体"/>
          <w:sz w:val="21"/>
          <w:szCs w:val="21"/>
        </w:rPr>
      </w:pPr>
      <w:r>
        <w:rPr>
          <w:rFonts w:ascii="宋体" w:hAnsi="宋体" w:eastAsia="宋体" w:cs="宋体"/>
          <w:spacing w:val="-1"/>
          <w:position w:val="12"/>
          <w:sz w:val="21"/>
          <w:szCs w:val="21"/>
        </w:rPr>
        <w:t>分子项：合成氨耗天然气总量。包括制气用的天然气、加热转</w:t>
      </w:r>
      <w:r>
        <w:rPr>
          <w:rFonts w:ascii="宋体" w:hAnsi="宋体" w:eastAsia="宋体" w:cs="宋体"/>
          <w:spacing w:val="-2"/>
          <w:position w:val="12"/>
          <w:sz w:val="21"/>
          <w:szCs w:val="21"/>
        </w:rPr>
        <w:t>化炉管和辅助锅炉用天然气、合成氨</w:t>
      </w:r>
    </w:p>
    <w:p w14:paraId="38BD5340">
      <w:pPr>
        <w:spacing w:line="219" w:lineRule="auto"/>
        <w:rPr>
          <w:rFonts w:ascii="宋体" w:hAnsi="宋体" w:eastAsia="宋体" w:cs="宋体"/>
          <w:sz w:val="21"/>
          <w:szCs w:val="21"/>
        </w:rPr>
      </w:pPr>
      <w:r>
        <w:rPr>
          <w:rFonts w:ascii="宋体" w:hAnsi="宋体" w:eastAsia="宋体" w:cs="宋体"/>
          <w:spacing w:val="-3"/>
          <w:sz w:val="21"/>
          <w:szCs w:val="21"/>
        </w:rPr>
        <w:t>正常生产及开工时蒸汽锅炉使用的天然气。</w:t>
      </w:r>
    </w:p>
    <w:p w14:paraId="76314DE8">
      <w:pPr>
        <w:spacing w:before="101" w:line="360" w:lineRule="exact"/>
        <w:ind w:left="440"/>
        <w:rPr>
          <w:rFonts w:ascii="宋体" w:hAnsi="宋体" w:eastAsia="宋体" w:cs="宋体"/>
          <w:sz w:val="21"/>
          <w:szCs w:val="21"/>
        </w:rPr>
      </w:pPr>
      <w:r>
        <w:rPr>
          <w:rFonts w:ascii="宋体" w:hAnsi="宋体" w:eastAsia="宋体" w:cs="宋体"/>
          <w:spacing w:val="-2"/>
          <w:position w:val="11"/>
          <w:sz w:val="21"/>
          <w:szCs w:val="21"/>
        </w:rPr>
        <w:t>使用油田气、焦炉气、炼厂气、煤田气等制氨，计算方法同上。</w:t>
      </w:r>
    </w:p>
    <w:p w14:paraId="62FAAF92">
      <w:pPr>
        <w:spacing w:line="219" w:lineRule="auto"/>
        <w:ind w:left="440"/>
        <w:rPr>
          <w:rFonts w:ascii="宋体" w:hAnsi="宋体" w:eastAsia="宋体" w:cs="宋体"/>
          <w:sz w:val="21"/>
          <w:szCs w:val="21"/>
        </w:rPr>
      </w:pPr>
      <w:r>
        <w:rPr>
          <w:rFonts w:ascii="宋体" w:hAnsi="宋体" w:eastAsia="宋体" w:cs="宋体"/>
          <w:spacing w:val="7"/>
          <w:sz w:val="21"/>
          <w:szCs w:val="21"/>
        </w:rPr>
        <w:t>分母项：合成氨(无水氨)产量。说明同上。</w:t>
      </w:r>
    </w:p>
    <w:p w14:paraId="597F74F4">
      <w:pPr>
        <w:spacing w:line="219" w:lineRule="auto"/>
        <w:rPr>
          <w:rFonts w:ascii="宋体" w:hAnsi="宋体" w:eastAsia="宋体" w:cs="宋体"/>
          <w:sz w:val="21"/>
          <w:szCs w:val="21"/>
        </w:rPr>
        <w:sectPr>
          <w:headerReference r:id="rId41" w:type="default"/>
          <w:pgSz w:w="11910" w:h="16840"/>
          <w:pgMar w:top="1109" w:right="1205" w:bottom="400" w:left="1229" w:header="867" w:footer="0" w:gutter="0"/>
          <w:cols w:space="720" w:num="1"/>
        </w:sectPr>
      </w:pPr>
    </w:p>
    <w:p w14:paraId="5476C4B7">
      <w:pPr>
        <w:pStyle w:val="2"/>
        <w:spacing w:line="303" w:lineRule="auto"/>
      </w:pPr>
    </w:p>
    <w:p w14:paraId="395AE646">
      <w:pPr>
        <w:spacing w:before="68" w:line="220" w:lineRule="auto"/>
        <w:ind w:left="433"/>
        <w:rPr>
          <w:rFonts w:ascii="黑体" w:hAnsi="黑体" w:eastAsia="黑体" w:cs="黑体"/>
          <w:sz w:val="21"/>
          <w:szCs w:val="21"/>
        </w:rPr>
      </w:pPr>
      <w:r>
        <w:rPr>
          <w:rFonts w:ascii="黑体" w:hAnsi="黑体" w:eastAsia="黑体" w:cs="黑体"/>
          <w:b/>
          <w:bCs/>
          <w:spacing w:val="-4"/>
          <w:sz w:val="21"/>
          <w:szCs w:val="21"/>
        </w:rPr>
        <w:t>单位合成氨耗原料煤</w:t>
      </w:r>
    </w:p>
    <w:p w14:paraId="33359922">
      <w:pPr>
        <w:spacing w:before="94" w:line="370" w:lineRule="exact"/>
        <w:ind w:left="430"/>
        <w:rPr>
          <w:rFonts w:ascii="宋体" w:hAnsi="宋体" w:eastAsia="宋体" w:cs="宋体"/>
          <w:sz w:val="21"/>
          <w:szCs w:val="21"/>
        </w:rPr>
      </w:pPr>
      <w:r>
        <w:rPr>
          <w:rFonts w:ascii="宋体" w:hAnsi="宋体" w:eastAsia="宋体" w:cs="宋体"/>
          <w:spacing w:val="3"/>
          <w:position w:val="12"/>
          <w:sz w:val="21"/>
          <w:szCs w:val="21"/>
        </w:rPr>
        <w:t>计算公式：单位合成氨耗原料煤(千克标准煤/吨)=1000×合成氨原料煤耗(吨标准煤)</w:t>
      </w:r>
      <w:r>
        <w:rPr>
          <w:rFonts w:ascii="宋体" w:hAnsi="宋体" w:eastAsia="宋体" w:cs="宋体"/>
          <w:spacing w:val="2"/>
          <w:position w:val="12"/>
          <w:sz w:val="21"/>
          <w:szCs w:val="21"/>
        </w:rPr>
        <w:t>/合成氨(无</w:t>
      </w:r>
    </w:p>
    <w:p w14:paraId="7BA3E75C">
      <w:pPr>
        <w:spacing w:line="219" w:lineRule="auto"/>
        <w:ind w:left="5270"/>
        <w:rPr>
          <w:rFonts w:ascii="宋体" w:hAnsi="宋体" w:eastAsia="宋体" w:cs="宋体"/>
          <w:sz w:val="21"/>
          <w:szCs w:val="21"/>
        </w:rPr>
      </w:pPr>
      <w:r>
        <w:rPr>
          <w:rFonts w:ascii="宋体" w:hAnsi="宋体" w:eastAsia="宋体" w:cs="宋体"/>
          <w:spacing w:val="27"/>
          <w:sz w:val="21"/>
          <w:szCs w:val="21"/>
        </w:rPr>
        <w:t>水氨)产量(吨)</w:t>
      </w:r>
    </w:p>
    <w:p w14:paraId="13E91CEC">
      <w:pPr>
        <w:spacing w:before="97" w:line="374" w:lineRule="exact"/>
        <w:jc w:val="right"/>
        <w:rPr>
          <w:rFonts w:ascii="宋体" w:hAnsi="宋体" w:eastAsia="宋体" w:cs="宋体"/>
          <w:sz w:val="21"/>
          <w:szCs w:val="21"/>
        </w:rPr>
      </w:pPr>
      <w:r>
        <w:rPr>
          <w:rFonts w:ascii="宋体" w:hAnsi="宋体" w:eastAsia="宋体" w:cs="宋体"/>
          <w:spacing w:val="-2"/>
          <w:position w:val="12"/>
          <w:sz w:val="21"/>
          <w:szCs w:val="21"/>
        </w:rPr>
        <w:t>分子项：合成氨原料煤耗。指投入造气炉的实物煤或焦炭(标准煤),不包括入炉前筛出的粉煤(焦)、</w:t>
      </w:r>
    </w:p>
    <w:p w14:paraId="5F0AF7C0">
      <w:pPr>
        <w:spacing w:line="220" w:lineRule="auto"/>
        <w:rPr>
          <w:rFonts w:ascii="宋体" w:hAnsi="宋体" w:eastAsia="宋体" w:cs="宋体"/>
          <w:sz w:val="21"/>
          <w:szCs w:val="21"/>
        </w:rPr>
      </w:pPr>
      <w:r>
        <w:rPr>
          <w:rFonts w:ascii="宋体" w:hAnsi="宋体" w:eastAsia="宋体" w:cs="宋体"/>
          <w:spacing w:val="-8"/>
          <w:sz w:val="21"/>
          <w:szCs w:val="21"/>
        </w:rPr>
        <w:t>煤矸石。</w:t>
      </w:r>
    </w:p>
    <w:p w14:paraId="462FA924">
      <w:pPr>
        <w:spacing w:before="99" w:line="379" w:lineRule="exact"/>
        <w:ind w:left="430"/>
        <w:rPr>
          <w:rFonts w:ascii="宋体" w:hAnsi="宋体" w:eastAsia="宋体" w:cs="宋体"/>
          <w:sz w:val="21"/>
          <w:szCs w:val="21"/>
        </w:rPr>
      </w:pPr>
      <w:r>
        <w:rPr>
          <w:rFonts w:ascii="宋体" w:hAnsi="宋体" w:eastAsia="宋体" w:cs="宋体"/>
          <w:spacing w:val="6"/>
          <w:position w:val="12"/>
          <w:sz w:val="21"/>
          <w:szCs w:val="21"/>
        </w:rPr>
        <w:t>返炭(二炭)、返焦不再计入消耗，也不从消耗中扣除。回</w:t>
      </w:r>
      <w:r>
        <w:rPr>
          <w:rFonts w:ascii="宋体" w:hAnsi="宋体" w:eastAsia="宋体" w:cs="宋体"/>
          <w:spacing w:val="5"/>
          <w:position w:val="12"/>
          <w:sz w:val="21"/>
          <w:szCs w:val="21"/>
        </w:rPr>
        <w:t>收合成氨生产过程中排放的气体(如造</w:t>
      </w:r>
    </w:p>
    <w:p w14:paraId="5A7DDCF1">
      <w:pPr>
        <w:spacing w:before="1" w:line="219" w:lineRule="auto"/>
        <w:rPr>
          <w:rFonts w:ascii="宋体" w:hAnsi="宋体" w:eastAsia="宋体" w:cs="宋体"/>
          <w:sz w:val="21"/>
          <w:szCs w:val="21"/>
        </w:rPr>
      </w:pPr>
      <w:r>
        <w:rPr>
          <w:rFonts w:ascii="宋体" w:hAnsi="宋体" w:eastAsia="宋体" w:cs="宋体"/>
          <w:spacing w:val="6"/>
          <w:sz w:val="21"/>
          <w:szCs w:val="21"/>
        </w:rPr>
        <w:t>气吹风气、合成放空气、氨贮罐弛放气等)作燃料使用时，不能将其热量折成煤(焦)从消耗中扣除。</w:t>
      </w:r>
    </w:p>
    <w:p w14:paraId="1D5E0C77">
      <w:pPr>
        <w:spacing w:before="111" w:line="219" w:lineRule="auto"/>
        <w:ind w:left="430"/>
        <w:rPr>
          <w:rFonts w:ascii="宋体" w:hAnsi="宋体" w:eastAsia="宋体" w:cs="宋体"/>
          <w:sz w:val="21"/>
          <w:szCs w:val="21"/>
        </w:rPr>
      </w:pPr>
      <w:r>
        <w:rPr>
          <w:rFonts w:ascii="宋体" w:hAnsi="宋体" w:eastAsia="宋体" w:cs="宋体"/>
          <w:spacing w:val="-6"/>
          <w:sz w:val="21"/>
          <w:szCs w:val="21"/>
        </w:rPr>
        <w:t>有关消耗分摊的规定：</w:t>
      </w:r>
    </w:p>
    <w:p w14:paraId="08CB4A59">
      <w:pPr>
        <w:spacing w:before="111" w:line="264" w:lineRule="auto"/>
        <w:ind w:right="79" w:firstLine="539"/>
        <w:rPr>
          <w:rFonts w:ascii="宋体" w:hAnsi="宋体" w:eastAsia="宋体" w:cs="宋体"/>
          <w:sz w:val="21"/>
          <w:szCs w:val="21"/>
        </w:rPr>
      </w:pPr>
      <w:r>
        <w:rPr>
          <w:rFonts w:ascii="宋体" w:hAnsi="宋体" w:eastAsia="宋体" w:cs="宋体"/>
          <w:spacing w:val="17"/>
          <w:sz w:val="21"/>
          <w:szCs w:val="21"/>
        </w:rPr>
        <w:t>(1)合成氨联产甲醇的企业，氨与粗醇(100%)单位产品消耗原料的比，按1:1.06分</w:t>
      </w:r>
      <w:r>
        <w:rPr>
          <w:rFonts w:ascii="宋体" w:hAnsi="宋体" w:eastAsia="宋体" w:cs="宋体"/>
          <w:spacing w:val="16"/>
          <w:sz w:val="21"/>
          <w:szCs w:val="21"/>
        </w:rPr>
        <w:t>摊共用</w:t>
      </w:r>
      <w:r>
        <w:rPr>
          <w:rFonts w:ascii="宋体" w:hAnsi="宋体" w:eastAsia="宋体" w:cs="宋体"/>
          <w:sz w:val="21"/>
          <w:szCs w:val="21"/>
        </w:rPr>
        <w:t xml:space="preserve"> </w:t>
      </w:r>
      <w:r>
        <w:rPr>
          <w:rFonts w:ascii="宋体" w:hAnsi="宋体" w:eastAsia="宋体" w:cs="宋体"/>
          <w:spacing w:val="-3"/>
          <w:sz w:val="21"/>
          <w:szCs w:val="21"/>
        </w:rPr>
        <w:t>的原料。</w:t>
      </w:r>
    </w:p>
    <w:p w14:paraId="74F42E71">
      <w:pPr>
        <w:spacing w:before="109" w:line="380" w:lineRule="exact"/>
        <w:ind w:left="430"/>
        <w:rPr>
          <w:rFonts w:ascii="宋体" w:hAnsi="宋体" w:eastAsia="宋体" w:cs="宋体"/>
          <w:sz w:val="21"/>
          <w:szCs w:val="21"/>
        </w:rPr>
      </w:pPr>
      <w:r>
        <w:rPr>
          <w:rFonts w:ascii="宋体" w:hAnsi="宋体" w:eastAsia="宋体" w:cs="宋体"/>
          <w:spacing w:val="3"/>
          <w:position w:val="12"/>
          <w:sz w:val="21"/>
          <w:szCs w:val="21"/>
        </w:rPr>
        <w:t>合成氨耗入炉实物原料煤总量=入炉实物原料煤总量×[合成氨产量/(1.06×粗</w:t>
      </w:r>
      <w:r>
        <w:rPr>
          <w:rFonts w:ascii="宋体" w:hAnsi="宋体" w:eastAsia="宋体" w:cs="宋体"/>
          <w:spacing w:val="2"/>
          <w:position w:val="12"/>
          <w:sz w:val="21"/>
          <w:szCs w:val="21"/>
        </w:rPr>
        <w:t>甲醇(折100%)产量</w:t>
      </w:r>
    </w:p>
    <w:p w14:paraId="0E4E5530">
      <w:pPr>
        <w:spacing w:line="219" w:lineRule="auto"/>
        <w:ind w:left="3360"/>
        <w:rPr>
          <w:rFonts w:ascii="宋体" w:hAnsi="宋体" w:eastAsia="宋体" w:cs="宋体"/>
          <w:sz w:val="21"/>
          <w:szCs w:val="21"/>
        </w:rPr>
      </w:pPr>
      <w:r>
        <w:rPr>
          <w:rFonts w:ascii="宋体" w:hAnsi="宋体" w:eastAsia="宋体" w:cs="宋体"/>
          <w:spacing w:val="8"/>
          <w:sz w:val="21"/>
          <w:szCs w:val="21"/>
        </w:rPr>
        <w:t>+合成氨产量)]</w:t>
      </w:r>
    </w:p>
    <w:p w14:paraId="25F58A93">
      <w:pPr>
        <w:spacing w:before="102" w:line="263" w:lineRule="auto"/>
        <w:ind w:right="67" w:firstLine="539"/>
        <w:rPr>
          <w:rFonts w:ascii="宋体" w:hAnsi="宋体" w:eastAsia="宋体" w:cs="宋体"/>
          <w:sz w:val="21"/>
          <w:szCs w:val="21"/>
        </w:rPr>
      </w:pPr>
      <w:r>
        <w:rPr>
          <w:rFonts w:ascii="宋体" w:hAnsi="宋体" w:eastAsia="宋体" w:cs="宋体"/>
          <w:spacing w:val="9"/>
          <w:sz w:val="21"/>
          <w:szCs w:val="21"/>
        </w:rPr>
        <w:t>(2)自合成氨系统输出的原料气用于其他产品的原料时，按</w:t>
      </w:r>
      <w:r>
        <w:rPr>
          <w:rFonts w:ascii="宋体" w:hAnsi="宋体" w:eastAsia="宋体" w:cs="宋体"/>
          <w:spacing w:val="8"/>
          <w:sz w:val="21"/>
          <w:szCs w:val="21"/>
        </w:rPr>
        <w:t>用量折煤(焦)实物量，从系统耗原</w:t>
      </w:r>
      <w:r>
        <w:rPr>
          <w:rFonts w:ascii="宋体" w:hAnsi="宋体" w:eastAsia="宋体" w:cs="宋体"/>
          <w:sz w:val="21"/>
          <w:szCs w:val="21"/>
        </w:rPr>
        <w:t xml:space="preserve"> </w:t>
      </w:r>
      <w:r>
        <w:rPr>
          <w:rFonts w:ascii="宋体" w:hAnsi="宋体" w:eastAsia="宋体" w:cs="宋体"/>
          <w:spacing w:val="9"/>
          <w:sz w:val="21"/>
          <w:szCs w:val="21"/>
        </w:rPr>
        <w:t>料煤(焦)实物消耗总量中扣除。</w:t>
      </w:r>
    </w:p>
    <w:p w14:paraId="385F38B2">
      <w:pPr>
        <w:spacing w:before="100" w:line="272" w:lineRule="auto"/>
        <w:ind w:right="95" w:firstLine="430"/>
        <w:rPr>
          <w:rFonts w:ascii="宋体" w:hAnsi="宋体" w:eastAsia="宋体" w:cs="宋体"/>
          <w:sz w:val="21"/>
          <w:szCs w:val="21"/>
        </w:rPr>
      </w:pPr>
      <w:r>
        <w:rPr>
          <w:rFonts w:ascii="宋体" w:hAnsi="宋体" w:eastAsia="宋体" w:cs="宋体"/>
          <w:spacing w:val="3"/>
          <w:sz w:val="21"/>
          <w:szCs w:val="21"/>
        </w:rPr>
        <w:t>使用焦炭(土焦)、褐煤和煤球、煤棒等型煤的计算方法同上，煤球、煤棒等型煤要扣除所含的黏</w:t>
      </w:r>
      <w:r>
        <w:rPr>
          <w:rFonts w:ascii="宋体" w:hAnsi="宋体" w:eastAsia="宋体" w:cs="宋体"/>
          <w:spacing w:val="9"/>
          <w:sz w:val="21"/>
          <w:szCs w:val="21"/>
        </w:rPr>
        <w:t xml:space="preserve"> </w:t>
      </w:r>
      <w:r>
        <w:rPr>
          <w:rFonts w:ascii="宋体" w:hAnsi="宋体" w:eastAsia="宋体" w:cs="宋体"/>
          <w:spacing w:val="11"/>
          <w:sz w:val="21"/>
          <w:szCs w:val="21"/>
        </w:rPr>
        <w:t>结剂(如石灰、水泥等)重量。</w:t>
      </w:r>
    </w:p>
    <w:p w14:paraId="670DFF3E">
      <w:pPr>
        <w:spacing w:before="132" w:line="219" w:lineRule="auto"/>
        <w:ind w:left="430"/>
        <w:rPr>
          <w:rFonts w:ascii="宋体" w:hAnsi="宋体" w:eastAsia="宋体" w:cs="宋体"/>
          <w:sz w:val="21"/>
          <w:szCs w:val="21"/>
        </w:rPr>
      </w:pPr>
      <w:r>
        <w:rPr>
          <w:rFonts w:ascii="宋体" w:hAnsi="宋体" w:eastAsia="宋体" w:cs="宋体"/>
          <w:spacing w:val="6"/>
          <w:sz w:val="21"/>
          <w:szCs w:val="21"/>
        </w:rPr>
        <w:t>合成氨原料煤耗(标准煤)=Z</w:t>
      </w:r>
      <w:r>
        <w:rPr>
          <w:rFonts w:ascii="宋体" w:hAnsi="宋体" w:eastAsia="宋体" w:cs="宋体"/>
          <w:spacing w:val="-38"/>
          <w:sz w:val="21"/>
          <w:szCs w:val="21"/>
        </w:rPr>
        <w:t xml:space="preserve"> </w:t>
      </w:r>
      <w:r>
        <w:rPr>
          <w:rFonts w:ascii="宋体" w:hAnsi="宋体" w:eastAsia="宋体" w:cs="宋体"/>
          <w:spacing w:val="6"/>
          <w:sz w:val="21"/>
          <w:szCs w:val="21"/>
        </w:rPr>
        <w:t>各批入炉原料煤实物量×折标准煤系数</w:t>
      </w:r>
    </w:p>
    <w:p w14:paraId="662A92F6">
      <w:pPr>
        <w:spacing w:before="101" w:line="219" w:lineRule="auto"/>
        <w:ind w:left="430"/>
        <w:rPr>
          <w:rFonts w:ascii="宋体" w:hAnsi="宋体" w:eastAsia="宋体" w:cs="宋体"/>
          <w:sz w:val="21"/>
          <w:szCs w:val="21"/>
        </w:rPr>
      </w:pPr>
      <w:r>
        <w:rPr>
          <w:rFonts w:ascii="宋体" w:hAnsi="宋体" w:eastAsia="宋体" w:cs="宋体"/>
          <w:spacing w:val="10"/>
          <w:sz w:val="21"/>
          <w:szCs w:val="21"/>
        </w:rPr>
        <w:t>折标准煤系数=煤的热值(低位热值)</w:t>
      </w:r>
      <w:r>
        <w:rPr>
          <w:rFonts w:ascii="宋体" w:hAnsi="宋体" w:eastAsia="宋体" w:cs="宋体"/>
          <w:spacing w:val="50"/>
          <w:sz w:val="21"/>
          <w:szCs w:val="21"/>
        </w:rPr>
        <w:t xml:space="preserve"> </w:t>
      </w:r>
      <w:r>
        <w:rPr>
          <w:rFonts w:ascii="宋体" w:hAnsi="宋体" w:eastAsia="宋体" w:cs="宋体"/>
          <w:spacing w:val="10"/>
          <w:sz w:val="21"/>
          <w:szCs w:val="21"/>
        </w:rPr>
        <w:t>(千卡/千克)/7000(千卡/千克)</w:t>
      </w:r>
    </w:p>
    <w:p w14:paraId="281125F3">
      <w:pPr>
        <w:spacing w:before="110" w:line="268" w:lineRule="auto"/>
        <w:ind w:right="94" w:firstLine="430"/>
        <w:rPr>
          <w:rFonts w:ascii="宋体" w:hAnsi="宋体" w:eastAsia="宋体" w:cs="宋体"/>
          <w:sz w:val="21"/>
          <w:szCs w:val="21"/>
        </w:rPr>
      </w:pPr>
      <w:r>
        <w:rPr>
          <w:rFonts w:ascii="宋体" w:hAnsi="宋体" w:eastAsia="宋体" w:cs="宋体"/>
          <w:spacing w:val="3"/>
          <w:sz w:val="21"/>
          <w:szCs w:val="21"/>
        </w:rPr>
        <w:t>各批次煤的低位热值一律以入炉煤取样、用氧弹仪分析的数据为准。标准燃料煤的低位发热值为</w:t>
      </w:r>
      <w:r>
        <w:rPr>
          <w:rFonts w:ascii="宋体" w:hAnsi="宋体" w:eastAsia="宋体" w:cs="宋体"/>
          <w:spacing w:val="13"/>
          <w:sz w:val="21"/>
          <w:szCs w:val="21"/>
        </w:rPr>
        <w:t xml:space="preserve"> </w:t>
      </w:r>
      <w:r>
        <w:rPr>
          <w:rFonts w:ascii="宋体" w:hAnsi="宋体" w:eastAsia="宋体" w:cs="宋体"/>
          <w:spacing w:val="9"/>
          <w:sz w:val="21"/>
          <w:szCs w:val="21"/>
        </w:rPr>
        <w:t>7000(千卡/千克或29271</w:t>
      </w:r>
      <w:r>
        <w:rPr>
          <w:rFonts w:ascii="宋体" w:hAnsi="宋体" w:eastAsia="宋体" w:cs="宋体"/>
          <w:spacing w:val="-43"/>
          <w:sz w:val="21"/>
          <w:szCs w:val="21"/>
        </w:rPr>
        <w:t xml:space="preserve"> </w:t>
      </w:r>
      <w:r>
        <w:rPr>
          <w:rFonts w:ascii="宋体" w:hAnsi="宋体" w:eastAsia="宋体" w:cs="宋体"/>
          <w:spacing w:val="9"/>
          <w:sz w:val="21"/>
          <w:szCs w:val="21"/>
        </w:rPr>
        <w:t>千焦/千克)。</w:t>
      </w:r>
    </w:p>
    <w:p w14:paraId="25AB4F2C">
      <w:pPr>
        <w:spacing w:before="111" w:line="357" w:lineRule="exact"/>
        <w:ind w:left="430"/>
        <w:rPr>
          <w:rFonts w:ascii="宋体" w:hAnsi="宋体" w:eastAsia="宋体" w:cs="宋体"/>
          <w:sz w:val="21"/>
          <w:szCs w:val="21"/>
        </w:rPr>
      </w:pPr>
      <w:r>
        <w:rPr>
          <w:rFonts w:ascii="宋体" w:hAnsi="宋体" w:eastAsia="宋体" w:cs="宋体"/>
          <w:spacing w:val="7"/>
          <w:position w:val="11"/>
          <w:sz w:val="21"/>
          <w:szCs w:val="21"/>
        </w:rPr>
        <w:t>分母项：合成氨(无水氨)产量。说明同上。</w:t>
      </w:r>
    </w:p>
    <w:p w14:paraId="6F3FF427">
      <w:pPr>
        <w:spacing w:line="220" w:lineRule="auto"/>
        <w:ind w:left="430"/>
        <w:rPr>
          <w:rFonts w:ascii="黑体" w:hAnsi="黑体" w:eastAsia="黑体" w:cs="黑体"/>
          <w:sz w:val="21"/>
          <w:szCs w:val="21"/>
        </w:rPr>
      </w:pPr>
      <w:r>
        <w:rPr>
          <w:rFonts w:ascii="黑体" w:hAnsi="黑体" w:eastAsia="黑体" w:cs="黑体"/>
          <w:spacing w:val="-2"/>
          <w:sz w:val="21"/>
          <w:szCs w:val="21"/>
        </w:rPr>
        <w:t>单位合成氨耗标准燃料煤</w:t>
      </w:r>
    </w:p>
    <w:p w14:paraId="6B5558DB">
      <w:pPr>
        <w:spacing w:before="113" w:line="219" w:lineRule="auto"/>
        <w:ind w:left="430"/>
        <w:rPr>
          <w:rFonts w:ascii="宋体" w:hAnsi="宋体" w:eastAsia="宋体" w:cs="宋体"/>
          <w:sz w:val="21"/>
          <w:szCs w:val="21"/>
        </w:rPr>
      </w:pPr>
      <w:r>
        <w:rPr>
          <w:rFonts w:ascii="宋体" w:hAnsi="宋体" w:eastAsia="宋体" w:cs="宋体"/>
          <w:spacing w:val="5"/>
          <w:sz w:val="21"/>
          <w:szCs w:val="21"/>
        </w:rPr>
        <w:t>计算公式：单位合成氨耗标准燃料煤(千克标准煤/吨)=1000×合成氨耗标准燃料煤总量(吨标准</w:t>
      </w:r>
    </w:p>
    <w:p w14:paraId="543E215D">
      <w:pPr>
        <w:spacing w:before="110" w:line="268" w:lineRule="auto"/>
        <w:ind w:left="430" w:right="588" w:firstLine="5359"/>
        <w:rPr>
          <w:rFonts w:ascii="宋体" w:hAnsi="宋体" w:eastAsia="宋体" w:cs="宋体"/>
          <w:sz w:val="21"/>
          <w:szCs w:val="21"/>
        </w:rPr>
      </w:pPr>
      <w:r>
        <w:rPr>
          <w:rFonts w:ascii="宋体" w:hAnsi="宋体" w:eastAsia="宋体" w:cs="宋体"/>
          <w:spacing w:val="23"/>
          <w:sz w:val="21"/>
          <w:szCs w:val="21"/>
        </w:rPr>
        <w:t>煤)/合成氨(无水氨)产量(吨)</w:t>
      </w:r>
      <w:r>
        <w:rPr>
          <w:rFonts w:ascii="宋体" w:hAnsi="宋体" w:eastAsia="宋体" w:cs="宋体"/>
          <w:spacing w:val="7"/>
          <w:sz w:val="21"/>
          <w:szCs w:val="21"/>
        </w:rPr>
        <w:t xml:space="preserve"> </w:t>
      </w:r>
      <w:r>
        <w:rPr>
          <w:rFonts w:ascii="宋体" w:hAnsi="宋体" w:eastAsia="宋体" w:cs="宋体"/>
          <w:spacing w:val="-2"/>
          <w:sz w:val="21"/>
          <w:szCs w:val="21"/>
        </w:rPr>
        <w:t>分子项：合成氨耗标准燃料煤。指各批次燃料煤折标准煤之和。</w:t>
      </w:r>
    </w:p>
    <w:p w14:paraId="52239F1E">
      <w:pPr>
        <w:spacing w:before="90" w:line="381" w:lineRule="exact"/>
        <w:ind w:left="430"/>
        <w:rPr>
          <w:rFonts w:ascii="宋体" w:hAnsi="宋体" w:eastAsia="宋体" w:cs="宋体"/>
          <w:sz w:val="21"/>
          <w:szCs w:val="21"/>
        </w:rPr>
      </w:pPr>
      <w:r>
        <w:rPr>
          <w:rFonts w:ascii="宋体" w:hAnsi="宋体" w:eastAsia="宋体" w:cs="宋体"/>
          <w:spacing w:val="-1"/>
          <w:position w:val="12"/>
          <w:sz w:val="21"/>
          <w:szCs w:val="21"/>
        </w:rPr>
        <w:t>合成氨耗标准燃料煤总量，主要指用来发生蒸汽，以满足合成氨生产系</w:t>
      </w:r>
      <w:r>
        <w:rPr>
          <w:rFonts w:ascii="宋体" w:hAnsi="宋体" w:eastAsia="宋体" w:cs="宋体"/>
          <w:spacing w:val="-2"/>
          <w:position w:val="12"/>
          <w:sz w:val="21"/>
          <w:szCs w:val="21"/>
        </w:rPr>
        <w:t>统和辅助、附属生产系统用</w:t>
      </w:r>
    </w:p>
    <w:p w14:paraId="2F12B45D">
      <w:pPr>
        <w:spacing w:line="219" w:lineRule="auto"/>
        <w:rPr>
          <w:rFonts w:ascii="宋体" w:hAnsi="宋体" w:eastAsia="宋体" w:cs="宋体"/>
          <w:sz w:val="21"/>
          <w:szCs w:val="21"/>
        </w:rPr>
      </w:pPr>
      <w:r>
        <w:rPr>
          <w:rFonts w:ascii="宋体" w:hAnsi="宋体" w:eastAsia="宋体" w:cs="宋体"/>
          <w:spacing w:val="-1"/>
          <w:sz w:val="21"/>
          <w:szCs w:val="21"/>
        </w:rPr>
        <w:t>蒸汽消耗的燃料煤。外购蒸汽量应按进厂焓值和锅炉</w:t>
      </w:r>
      <w:r>
        <w:rPr>
          <w:rFonts w:ascii="宋体" w:hAnsi="宋体" w:eastAsia="宋体" w:cs="宋体"/>
          <w:spacing w:val="-2"/>
          <w:sz w:val="21"/>
          <w:szCs w:val="21"/>
        </w:rPr>
        <w:t>效率折标准燃料煤。</w:t>
      </w:r>
    </w:p>
    <w:p w14:paraId="4E3675BB">
      <w:pPr>
        <w:spacing w:before="99" w:line="284" w:lineRule="auto"/>
        <w:ind w:right="95" w:firstLine="430"/>
        <w:rPr>
          <w:rFonts w:ascii="宋体" w:hAnsi="宋体" w:eastAsia="宋体" w:cs="宋体"/>
          <w:sz w:val="21"/>
          <w:szCs w:val="21"/>
        </w:rPr>
      </w:pPr>
      <w:r>
        <w:rPr>
          <w:rFonts w:ascii="宋体" w:hAnsi="宋体" w:eastAsia="宋体" w:cs="宋体"/>
          <w:spacing w:val="8"/>
          <w:sz w:val="21"/>
          <w:szCs w:val="21"/>
        </w:rPr>
        <w:t>生产系统耗汽量，包括从造气、净化、压缩、氨合成、冰机到氨库止各工序生产和开</w:t>
      </w:r>
      <w:r>
        <w:rPr>
          <w:rFonts w:ascii="宋体" w:hAnsi="宋体" w:eastAsia="宋体" w:cs="宋体"/>
          <w:spacing w:val="7"/>
          <w:sz w:val="21"/>
          <w:szCs w:val="21"/>
        </w:rPr>
        <w:t>停过程用</w:t>
      </w:r>
      <w:r>
        <w:rPr>
          <w:rFonts w:ascii="宋体" w:hAnsi="宋体" w:eastAsia="宋体" w:cs="宋体"/>
          <w:sz w:val="21"/>
          <w:szCs w:val="21"/>
        </w:rPr>
        <w:t xml:space="preserve"> </w:t>
      </w:r>
      <w:r>
        <w:rPr>
          <w:rFonts w:ascii="宋体" w:hAnsi="宋体" w:eastAsia="宋体" w:cs="宋体"/>
          <w:spacing w:val="16"/>
          <w:sz w:val="21"/>
          <w:szCs w:val="21"/>
        </w:rPr>
        <w:t>汽(含大、中、小修开车),以及上述各工序设备、管道保温用</w:t>
      </w:r>
      <w:r>
        <w:rPr>
          <w:rFonts w:ascii="宋体" w:hAnsi="宋体" w:eastAsia="宋体" w:cs="宋体"/>
          <w:spacing w:val="15"/>
          <w:sz w:val="21"/>
          <w:szCs w:val="21"/>
        </w:rPr>
        <w:t>汽和车间、分析化验、车间办公室</w:t>
      </w:r>
      <w:r>
        <w:rPr>
          <w:rFonts w:ascii="宋体" w:hAnsi="宋体" w:eastAsia="宋体" w:cs="宋体"/>
          <w:sz w:val="21"/>
          <w:szCs w:val="21"/>
        </w:rPr>
        <w:t xml:space="preserve"> </w:t>
      </w:r>
      <w:r>
        <w:rPr>
          <w:rFonts w:ascii="宋体" w:hAnsi="宋体" w:eastAsia="宋体" w:cs="宋体"/>
          <w:spacing w:val="-8"/>
          <w:sz w:val="21"/>
          <w:szCs w:val="21"/>
        </w:rPr>
        <w:t>采暖用汽等，</w:t>
      </w:r>
    </w:p>
    <w:p w14:paraId="3004D634">
      <w:pPr>
        <w:spacing w:before="113" w:line="284" w:lineRule="auto"/>
        <w:ind w:right="65" w:firstLine="430"/>
        <w:rPr>
          <w:rFonts w:ascii="宋体" w:hAnsi="宋体" w:eastAsia="宋体" w:cs="宋体"/>
          <w:sz w:val="21"/>
          <w:szCs w:val="21"/>
        </w:rPr>
      </w:pPr>
      <w:r>
        <w:rPr>
          <w:rFonts w:ascii="宋体" w:hAnsi="宋体" w:eastAsia="宋体" w:cs="宋体"/>
          <w:spacing w:val="-1"/>
          <w:sz w:val="21"/>
          <w:szCs w:val="21"/>
        </w:rPr>
        <w:t>辅助、附属生产系统耗汽量，包括煤球制造、除氧水制备、原料和燃料场库及预处理、煤球车间、</w:t>
      </w:r>
      <w:r>
        <w:rPr>
          <w:rFonts w:ascii="宋体" w:hAnsi="宋体" w:eastAsia="宋体" w:cs="宋体"/>
          <w:spacing w:val="1"/>
          <w:sz w:val="21"/>
          <w:szCs w:val="21"/>
        </w:rPr>
        <w:t xml:space="preserve"> </w:t>
      </w:r>
      <w:r>
        <w:rPr>
          <w:rFonts w:ascii="宋体" w:hAnsi="宋体" w:eastAsia="宋体" w:cs="宋体"/>
          <w:spacing w:val="-1"/>
          <w:sz w:val="21"/>
          <w:szCs w:val="21"/>
        </w:rPr>
        <w:t>自备锅炉房及机、电、仪修车间和上述车间办公室的全部采暖用汽，以及计划大、中、小修和事故检修</w:t>
      </w:r>
      <w:r>
        <w:rPr>
          <w:rFonts w:ascii="宋体" w:hAnsi="宋体" w:eastAsia="宋体" w:cs="宋体"/>
          <w:spacing w:val="1"/>
          <w:sz w:val="21"/>
          <w:szCs w:val="21"/>
        </w:rPr>
        <w:t xml:space="preserve"> </w:t>
      </w:r>
      <w:r>
        <w:rPr>
          <w:rFonts w:ascii="宋体" w:hAnsi="宋体" w:eastAsia="宋体" w:cs="宋体"/>
          <w:spacing w:val="-2"/>
          <w:sz w:val="21"/>
          <w:szCs w:val="21"/>
        </w:rPr>
        <w:t>的置换、吹洗用汽以及安全生产、三废处理、环保过程用汽。</w:t>
      </w:r>
    </w:p>
    <w:p w14:paraId="0B8157A7">
      <w:pPr>
        <w:spacing w:before="120" w:line="268" w:lineRule="auto"/>
        <w:ind w:right="97" w:firstLine="430"/>
        <w:rPr>
          <w:rFonts w:ascii="宋体" w:hAnsi="宋体" w:eastAsia="宋体" w:cs="宋体"/>
          <w:sz w:val="21"/>
          <w:szCs w:val="21"/>
        </w:rPr>
      </w:pPr>
      <w:r>
        <w:rPr>
          <w:rFonts w:ascii="宋体" w:hAnsi="宋体" w:eastAsia="宋体" w:cs="宋体"/>
          <w:spacing w:val="-2"/>
          <w:sz w:val="21"/>
          <w:szCs w:val="21"/>
        </w:rPr>
        <w:t>蒸汽只供合成氨使用时，燃料煤消耗量或蒸汽量全部计入合成氨消耗；蒸汽为多产品使用，应合理</w:t>
      </w:r>
      <w:r>
        <w:rPr>
          <w:rFonts w:ascii="宋体" w:hAnsi="宋体" w:eastAsia="宋体" w:cs="宋体"/>
          <w:spacing w:val="12"/>
          <w:sz w:val="21"/>
          <w:szCs w:val="21"/>
        </w:rPr>
        <w:t xml:space="preserve"> </w:t>
      </w:r>
      <w:r>
        <w:rPr>
          <w:rFonts w:ascii="宋体" w:hAnsi="宋体" w:eastAsia="宋体" w:cs="宋体"/>
          <w:spacing w:val="-5"/>
          <w:sz w:val="21"/>
          <w:szCs w:val="21"/>
        </w:rPr>
        <w:t>分摊燃料煤消耗量。</w:t>
      </w:r>
    </w:p>
    <w:p w14:paraId="0397A966">
      <w:pPr>
        <w:spacing w:before="109" w:line="264" w:lineRule="auto"/>
        <w:ind w:right="97" w:firstLine="430"/>
        <w:rPr>
          <w:rFonts w:ascii="宋体" w:hAnsi="宋体" w:eastAsia="宋体" w:cs="宋体"/>
          <w:sz w:val="21"/>
          <w:szCs w:val="21"/>
        </w:rPr>
      </w:pPr>
      <w:r>
        <w:rPr>
          <w:rFonts w:ascii="宋体" w:hAnsi="宋体" w:eastAsia="宋体" w:cs="宋体"/>
          <w:spacing w:val="-2"/>
          <w:sz w:val="21"/>
          <w:szCs w:val="21"/>
        </w:rPr>
        <w:t>锅炉掺烧的返炭、炉渣、煤矸石、块煤中筛分的沫煤不计入燃料消耗量，从锅炉烧余物中捡回的返</w:t>
      </w:r>
      <w:r>
        <w:rPr>
          <w:rFonts w:ascii="宋体" w:hAnsi="宋体" w:eastAsia="宋体" w:cs="宋体"/>
          <w:spacing w:val="12"/>
          <w:sz w:val="21"/>
          <w:szCs w:val="21"/>
        </w:rPr>
        <w:t xml:space="preserve"> </w:t>
      </w:r>
      <w:r>
        <w:rPr>
          <w:rFonts w:ascii="宋体" w:hAnsi="宋体" w:eastAsia="宋体" w:cs="宋体"/>
          <w:spacing w:val="-5"/>
          <w:sz w:val="21"/>
          <w:szCs w:val="21"/>
        </w:rPr>
        <w:t>炭不从消耗中扣除。</w:t>
      </w:r>
    </w:p>
    <w:p w14:paraId="5306317B">
      <w:pPr>
        <w:spacing w:before="110" w:line="371" w:lineRule="exact"/>
        <w:ind w:left="430"/>
        <w:rPr>
          <w:rFonts w:ascii="宋体" w:hAnsi="宋体" w:eastAsia="宋体" w:cs="宋体"/>
          <w:sz w:val="21"/>
          <w:szCs w:val="21"/>
        </w:rPr>
      </w:pPr>
      <w:r>
        <w:rPr>
          <w:rFonts w:ascii="宋体" w:hAnsi="宋体" w:eastAsia="宋体" w:cs="宋体"/>
          <w:spacing w:val="9"/>
          <w:position w:val="12"/>
          <w:sz w:val="21"/>
          <w:szCs w:val="21"/>
        </w:rPr>
        <w:t>合成氨生产过程副产的蒸汽，为本系统自用的</w:t>
      </w:r>
      <w:r>
        <w:rPr>
          <w:rFonts w:ascii="宋体" w:hAnsi="宋体" w:eastAsia="宋体" w:cs="宋体"/>
          <w:spacing w:val="8"/>
          <w:position w:val="12"/>
          <w:sz w:val="21"/>
          <w:szCs w:val="21"/>
        </w:rPr>
        <w:t>不计消耗，放空或输出的蒸汽也不从燃料煤消耗</w:t>
      </w:r>
    </w:p>
    <w:p w14:paraId="44230E10">
      <w:pPr>
        <w:spacing w:line="219" w:lineRule="auto"/>
        <w:rPr>
          <w:rFonts w:ascii="宋体" w:hAnsi="宋体" w:eastAsia="宋体" w:cs="宋体"/>
          <w:sz w:val="21"/>
          <w:szCs w:val="21"/>
        </w:rPr>
      </w:pPr>
      <w:r>
        <w:rPr>
          <w:rFonts w:ascii="宋体" w:hAnsi="宋体" w:eastAsia="宋体" w:cs="宋体"/>
          <w:spacing w:val="-11"/>
          <w:sz w:val="21"/>
          <w:szCs w:val="21"/>
        </w:rPr>
        <w:t>中扣除。</w:t>
      </w:r>
    </w:p>
    <w:p w14:paraId="2A716955">
      <w:pPr>
        <w:spacing w:line="219" w:lineRule="auto"/>
        <w:rPr>
          <w:rFonts w:ascii="宋体" w:hAnsi="宋体" w:eastAsia="宋体" w:cs="宋体"/>
          <w:sz w:val="21"/>
          <w:szCs w:val="21"/>
        </w:rPr>
        <w:sectPr>
          <w:headerReference r:id="rId42" w:type="default"/>
          <w:pgSz w:w="11910" w:h="16840"/>
          <w:pgMar w:top="1109" w:right="1184" w:bottom="400" w:left="1239" w:header="838" w:footer="0" w:gutter="0"/>
          <w:cols w:space="720" w:num="1"/>
        </w:sectPr>
      </w:pPr>
    </w:p>
    <w:p w14:paraId="622AF0CD">
      <w:pPr>
        <w:pStyle w:val="2"/>
        <w:spacing w:line="298" w:lineRule="auto"/>
      </w:pPr>
    </w:p>
    <w:p w14:paraId="3C859961">
      <w:pPr>
        <w:spacing w:before="68" w:line="219" w:lineRule="auto"/>
        <w:ind w:left="430"/>
        <w:rPr>
          <w:rFonts w:ascii="宋体" w:hAnsi="宋体" w:eastAsia="宋体" w:cs="宋体"/>
          <w:sz w:val="21"/>
          <w:szCs w:val="21"/>
        </w:rPr>
      </w:pPr>
      <w:r>
        <w:rPr>
          <w:rFonts w:ascii="宋体" w:hAnsi="宋体" w:eastAsia="宋体" w:cs="宋体"/>
          <w:spacing w:val="7"/>
          <w:sz w:val="21"/>
          <w:szCs w:val="21"/>
        </w:rPr>
        <w:t>分母项：合成氨(无水氨)产量。说明同上。</w:t>
      </w:r>
    </w:p>
    <w:p w14:paraId="38A4D7D2">
      <w:pPr>
        <w:pStyle w:val="2"/>
        <w:spacing w:line="395" w:lineRule="auto"/>
      </w:pPr>
    </w:p>
    <w:p w14:paraId="5B3B7D15">
      <w:pPr>
        <w:spacing w:before="68" w:line="221" w:lineRule="auto"/>
        <w:ind w:left="433"/>
        <w:rPr>
          <w:rFonts w:ascii="黑体" w:hAnsi="黑体" w:eastAsia="黑体" w:cs="黑体"/>
          <w:sz w:val="21"/>
          <w:szCs w:val="21"/>
        </w:rPr>
      </w:pPr>
      <w:r>
        <w:rPr>
          <w:rFonts w:ascii="黑体" w:hAnsi="黑体" w:eastAsia="黑体" w:cs="黑体"/>
          <w:b/>
          <w:bCs/>
          <w:spacing w:val="13"/>
          <w:sz w:val="21"/>
          <w:szCs w:val="21"/>
        </w:rPr>
        <w:t>水泥(30)</w:t>
      </w:r>
    </w:p>
    <w:p w14:paraId="0EEBFB8E">
      <w:pPr>
        <w:spacing w:before="101" w:line="273" w:lineRule="auto"/>
        <w:ind w:left="430" w:right="449"/>
        <w:rPr>
          <w:rFonts w:ascii="黑体" w:hAnsi="黑体" w:eastAsia="黑体" w:cs="黑体"/>
          <w:sz w:val="21"/>
          <w:szCs w:val="21"/>
        </w:rPr>
      </w:pPr>
      <w:r>
        <w:rPr>
          <w:rFonts w:ascii="宋体" w:hAnsi="宋体" w:eastAsia="宋体" w:cs="宋体"/>
          <w:spacing w:val="4"/>
          <w:sz w:val="21"/>
          <w:szCs w:val="21"/>
        </w:rPr>
        <w:t>水泥生产工艺分为新型干法(预分解窑)立窑、湿法窑、中空窑、预热器窑、粉磨站、其他。</w:t>
      </w:r>
      <w:r>
        <w:rPr>
          <w:rFonts w:ascii="宋体" w:hAnsi="宋体" w:eastAsia="宋体" w:cs="宋体"/>
          <w:sz w:val="21"/>
          <w:szCs w:val="21"/>
        </w:rPr>
        <w:t xml:space="preserve"> </w:t>
      </w:r>
      <w:r>
        <w:rPr>
          <w:rFonts w:ascii="黑体" w:hAnsi="黑体" w:eastAsia="黑体" w:cs="黑体"/>
          <w:spacing w:val="-2"/>
          <w:sz w:val="21"/>
          <w:szCs w:val="21"/>
        </w:rPr>
        <w:t>吨水泥熟料综合能耗</w:t>
      </w:r>
    </w:p>
    <w:p w14:paraId="0A200EFF">
      <w:pPr>
        <w:spacing w:before="100" w:line="370" w:lineRule="exact"/>
        <w:ind w:right="55"/>
        <w:jc w:val="right"/>
        <w:rPr>
          <w:rFonts w:ascii="宋体" w:hAnsi="宋体" w:eastAsia="宋体" w:cs="宋体"/>
          <w:sz w:val="21"/>
          <w:szCs w:val="21"/>
        </w:rPr>
      </w:pPr>
      <w:r>
        <w:rPr>
          <w:rFonts w:ascii="宋体" w:hAnsi="宋体" w:eastAsia="宋体" w:cs="宋体"/>
          <w:spacing w:val="5"/>
          <w:position w:val="12"/>
          <w:sz w:val="21"/>
          <w:szCs w:val="21"/>
        </w:rPr>
        <w:t>计算公式：吨水泥熟料综合能耗(千克标准煤/吨)=1000×生产水泥熟料综合能源消费量(吨标准</w:t>
      </w:r>
    </w:p>
    <w:p w14:paraId="53B72C92">
      <w:pPr>
        <w:spacing w:before="1" w:line="219" w:lineRule="auto"/>
        <w:ind w:left="5380"/>
        <w:rPr>
          <w:rFonts w:ascii="宋体" w:hAnsi="宋体" w:eastAsia="宋体" w:cs="宋体"/>
          <w:sz w:val="21"/>
          <w:szCs w:val="21"/>
        </w:rPr>
      </w:pPr>
      <w:r>
        <w:rPr>
          <w:rFonts w:ascii="宋体" w:hAnsi="宋体" w:eastAsia="宋体" w:cs="宋体"/>
          <w:spacing w:val="11"/>
          <w:sz w:val="21"/>
          <w:szCs w:val="21"/>
        </w:rPr>
        <w:t>煤)/硅酸盐水泥熟料产量(吨)</w:t>
      </w:r>
    </w:p>
    <w:p w14:paraId="5A4DD655">
      <w:pPr>
        <w:spacing w:before="101" w:line="325" w:lineRule="auto"/>
        <w:ind w:right="48" w:firstLine="430"/>
        <w:jc w:val="both"/>
        <w:rPr>
          <w:rFonts w:ascii="宋体" w:hAnsi="宋体" w:eastAsia="宋体" w:cs="宋体"/>
          <w:sz w:val="21"/>
          <w:szCs w:val="21"/>
        </w:rPr>
      </w:pPr>
      <w:r>
        <w:rPr>
          <w:rFonts w:ascii="宋体" w:hAnsi="宋体" w:eastAsia="宋体" w:cs="宋体"/>
          <w:spacing w:val="-1"/>
          <w:sz w:val="21"/>
          <w:szCs w:val="21"/>
        </w:rPr>
        <w:t>分子项：生产水泥熟料综合能源消费量。包括电</w:t>
      </w:r>
      <w:r>
        <w:rPr>
          <w:rFonts w:ascii="宋体" w:hAnsi="宋体" w:eastAsia="宋体" w:cs="宋体"/>
          <w:spacing w:val="-2"/>
          <w:sz w:val="21"/>
          <w:szCs w:val="21"/>
        </w:rPr>
        <w:t>力、煤炭、油品、天然气、煤气、液化气、蒸汽的</w:t>
      </w:r>
      <w:r>
        <w:rPr>
          <w:rFonts w:ascii="宋体" w:hAnsi="宋体" w:eastAsia="宋体" w:cs="宋体"/>
          <w:sz w:val="21"/>
          <w:szCs w:val="21"/>
        </w:rPr>
        <w:t xml:space="preserve"> </w:t>
      </w:r>
      <w:r>
        <w:rPr>
          <w:rFonts w:ascii="宋体" w:hAnsi="宋体" w:eastAsia="宋体" w:cs="宋体"/>
          <w:spacing w:val="-1"/>
          <w:sz w:val="21"/>
          <w:szCs w:val="21"/>
        </w:rPr>
        <w:t>消费。企业自备锅炉，自备发电机组生产的蒸汽、电力，由本企业消耗</w:t>
      </w:r>
      <w:r>
        <w:rPr>
          <w:rFonts w:ascii="宋体" w:hAnsi="宋体" w:eastAsia="宋体" w:cs="宋体"/>
          <w:spacing w:val="-2"/>
          <w:sz w:val="21"/>
          <w:szCs w:val="21"/>
        </w:rPr>
        <w:t>的，只计算第一次能源消耗，不</w:t>
      </w:r>
    </w:p>
    <w:p w14:paraId="2AAD9C00">
      <w:pPr>
        <w:spacing w:line="219" w:lineRule="auto"/>
        <w:rPr>
          <w:rFonts w:ascii="宋体" w:hAnsi="宋体" w:eastAsia="宋体" w:cs="宋体"/>
          <w:sz w:val="21"/>
          <w:szCs w:val="21"/>
        </w:rPr>
      </w:pPr>
      <w:r>
        <w:rPr>
          <w:rFonts w:ascii="宋体" w:hAnsi="宋体" w:eastAsia="宋体" w:cs="宋体"/>
          <w:spacing w:val="-2"/>
          <w:sz w:val="21"/>
          <w:szCs w:val="21"/>
        </w:rPr>
        <w:t>重复计算蒸汽及电的消耗；利用余热发电亦不重复计算。</w:t>
      </w:r>
    </w:p>
    <w:p w14:paraId="4597B7F3">
      <w:pPr>
        <w:spacing w:before="89" w:line="326" w:lineRule="auto"/>
        <w:ind w:right="52" w:firstLine="430"/>
        <w:jc w:val="both"/>
        <w:rPr>
          <w:rFonts w:ascii="宋体" w:hAnsi="宋体" w:eastAsia="宋体" w:cs="宋体"/>
          <w:sz w:val="21"/>
          <w:szCs w:val="21"/>
        </w:rPr>
      </w:pPr>
      <w:r>
        <w:rPr>
          <w:rFonts w:ascii="宋体" w:hAnsi="宋体" w:eastAsia="宋体" w:cs="宋体"/>
          <w:spacing w:val="-2"/>
          <w:sz w:val="21"/>
          <w:szCs w:val="21"/>
        </w:rPr>
        <w:t>分母项：硅酸盐水泥熟料产量。为报告期合格品产量，计量单位为吨。凡是由本企业生产的水泥熟</w:t>
      </w:r>
      <w:r>
        <w:rPr>
          <w:rFonts w:ascii="宋体" w:hAnsi="宋体" w:eastAsia="宋体" w:cs="宋体"/>
          <w:spacing w:val="17"/>
          <w:sz w:val="21"/>
          <w:szCs w:val="21"/>
        </w:rPr>
        <w:t xml:space="preserve"> </w:t>
      </w:r>
      <w:r>
        <w:rPr>
          <w:rFonts w:ascii="宋体" w:hAnsi="宋体" w:eastAsia="宋体" w:cs="宋体"/>
          <w:spacing w:val="-1"/>
          <w:sz w:val="21"/>
          <w:szCs w:val="21"/>
        </w:rPr>
        <w:t>料，无论是作为商品熟料出售，还是作为水泥生产过程中的半成品，都</w:t>
      </w:r>
      <w:r>
        <w:rPr>
          <w:rFonts w:ascii="宋体" w:hAnsi="宋体" w:eastAsia="宋体" w:cs="宋体"/>
          <w:spacing w:val="-2"/>
          <w:sz w:val="21"/>
          <w:szCs w:val="21"/>
        </w:rPr>
        <w:t>应统计水泥熟料产量。外购的熟</w:t>
      </w:r>
    </w:p>
    <w:p w14:paraId="61947244">
      <w:pPr>
        <w:spacing w:line="219" w:lineRule="auto"/>
        <w:rPr>
          <w:rFonts w:ascii="宋体" w:hAnsi="宋体" w:eastAsia="宋体" w:cs="宋体"/>
          <w:sz w:val="21"/>
          <w:szCs w:val="21"/>
        </w:rPr>
      </w:pPr>
      <w:r>
        <w:rPr>
          <w:rFonts w:ascii="宋体" w:hAnsi="宋体" w:eastAsia="宋体" w:cs="宋体"/>
          <w:spacing w:val="-5"/>
          <w:sz w:val="21"/>
          <w:szCs w:val="21"/>
        </w:rPr>
        <w:t>料不得统计产量。</w:t>
      </w:r>
    </w:p>
    <w:p w14:paraId="58AB8BBB">
      <w:pPr>
        <w:spacing w:before="96" w:line="221" w:lineRule="auto"/>
        <w:ind w:left="433"/>
        <w:rPr>
          <w:rFonts w:ascii="黑体" w:hAnsi="黑体" w:eastAsia="黑体" w:cs="黑体"/>
          <w:sz w:val="21"/>
          <w:szCs w:val="21"/>
        </w:rPr>
      </w:pPr>
      <w:r>
        <w:rPr>
          <w:rFonts w:ascii="黑体" w:hAnsi="黑体" w:eastAsia="黑体" w:cs="黑体"/>
          <w:b/>
          <w:bCs/>
          <w:spacing w:val="-4"/>
          <w:sz w:val="21"/>
          <w:szCs w:val="21"/>
        </w:rPr>
        <w:t>吨水泥熟料烧成标准煤耗</w:t>
      </w:r>
    </w:p>
    <w:p w14:paraId="01571425">
      <w:pPr>
        <w:spacing w:before="113" w:line="268" w:lineRule="auto"/>
        <w:ind w:left="5699" w:right="52" w:hanging="5269"/>
        <w:rPr>
          <w:rFonts w:ascii="宋体" w:hAnsi="宋体" w:eastAsia="宋体" w:cs="宋体"/>
          <w:sz w:val="21"/>
          <w:szCs w:val="21"/>
        </w:rPr>
      </w:pPr>
      <w:r>
        <w:rPr>
          <w:rFonts w:ascii="宋体" w:hAnsi="宋体" w:eastAsia="宋体" w:cs="宋体"/>
          <w:spacing w:val="5"/>
          <w:sz w:val="21"/>
          <w:szCs w:val="21"/>
        </w:rPr>
        <w:t>计算公式：吨水泥熟料烧成标准煤耗(千克标准煤/吨)=1000×标准煤消费量(吨)/硅酸盐水泥熟</w:t>
      </w:r>
      <w:r>
        <w:rPr>
          <w:rFonts w:ascii="宋体" w:hAnsi="宋体" w:eastAsia="宋体" w:cs="宋体"/>
          <w:spacing w:val="11"/>
          <w:sz w:val="21"/>
          <w:szCs w:val="21"/>
        </w:rPr>
        <w:t xml:space="preserve"> </w:t>
      </w:r>
      <w:r>
        <w:rPr>
          <w:rFonts w:ascii="宋体" w:hAnsi="宋体" w:eastAsia="宋体" w:cs="宋体"/>
          <w:spacing w:val="21"/>
          <w:sz w:val="21"/>
          <w:szCs w:val="21"/>
        </w:rPr>
        <w:t>料产量(吨)</w:t>
      </w:r>
    </w:p>
    <w:p w14:paraId="00B2EF14">
      <w:pPr>
        <w:spacing w:before="120" w:line="292" w:lineRule="auto"/>
        <w:ind w:firstLine="430"/>
        <w:rPr>
          <w:rFonts w:ascii="宋体" w:hAnsi="宋体" w:eastAsia="宋体" w:cs="宋体"/>
          <w:sz w:val="21"/>
          <w:szCs w:val="21"/>
        </w:rPr>
      </w:pPr>
      <w:r>
        <w:rPr>
          <w:rFonts w:ascii="宋体" w:hAnsi="宋体" w:eastAsia="宋体" w:cs="宋体"/>
          <w:spacing w:val="-1"/>
          <w:sz w:val="21"/>
          <w:szCs w:val="21"/>
        </w:rPr>
        <w:t>分子项：标准煤消费量。指将实物煤消费量折算成</w:t>
      </w:r>
      <w:r>
        <w:rPr>
          <w:rFonts w:ascii="宋体" w:hAnsi="宋体" w:eastAsia="宋体" w:cs="宋体"/>
          <w:spacing w:val="-2"/>
          <w:sz w:val="21"/>
          <w:szCs w:val="21"/>
        </w:rPr>
        <w:t>标准煤的数量，包括入窑煤粉，以及烧成煤在制</w:t>
      </w:r>
      <w:r>
        <w:rPr>
          <w:rFonts w:ascii="宋体" w:hAnsi="宋体" w:eastAsia="宋体" w:cs="宋体"/>
          <w:sz w:val="21"/>
          <w:szCs w:val="21"/>
        </w:rPr>
        <w:t xml:space="preserve"> </w:t>
      </w:r>
      <w:r>
        <w:rPr>
          <w:rFonts w:ascii="宋体" w:hAnsi="宋体" w:eastAsia="宋体" w:cs="宋体"/>
          <w:spacing w:val="3"/>
          <w:sz w:val="21"/>
          <w:szCs w:val="21"/>
        </w:rPr>
        <w:t>备过程中的损耗(如果收尘下的煤泥、煤粉转作其他生产用途，可以在烧成煤耗内扣除)。使用黑料浆</w:t>
      </w:r>
      <w:r>
        <w:rPr>
          <w:rFonts w:ascii="宋体" w:hAnsi="宋体" w:eastAsia="宋体" w:cs="宋体"/>
          <w:spacing w:val="12"/>
          <w:sz w:val="21"/>
          <w:szCs w:val="21"/>
        </w:rPr>
        <w:t xml:space="preserve"> </w:t>
      </w:r>
      <w:r>
        <w:rPr>
          <w:rFonts w:ascii="宋体" w:hAnsi="宋体" w:eastAsia="宋体" w:cs="宋体"/>
          <w:spacing w:val="-5"/>
          <w:sz w:val="21"/>
          <w:szCs w:val="21"/>
        </w:rPr>
        <w:t>的企业，包括掺入料浆的煤粉和采用窑外分解的回转窑进入分解炉的燃料，以及窑点火用油和烧气燃料。</w:t>
      </w:r>
      <w:r>
        <w:rPr>
          <w:rFonts w:ascii="宋体" w:hAnsi="宋体" w:eastAsia="宋体" w:cs="宋体"/>
          <w:spacing w:val="14"/>
          <w:sz w:val="21"/>
          <w:szCs w:val="21"/>
        </w:rPr>
        <w:t xml:space="preserve"> </w:t>
      </w:r>
      <w:r>
        <w:rPr>
          <w:rFonts w:ascii="宋体" w:hAnsi="宋体" w:eastAsia="宋体" w:cs="宋体"/>
          <w:spacing w:val="-2"/>
          <w:sz w:val="21"/>
          <w:szCs w:val="21"/>
        </w:rPr>
        <w:t>烧油气的企业，应将油气消耗折算成标准煤计入烧成煤耗。</w:t>
      </w:r>
    </w:p>
    <w:p w14:paraId="03EF58E7">
      <w:pPr>
        <w:spacing w:before="111" w:line="219" w:lineRule="auto"/>
        <w:ind w:left="430"/>
        <w:rPr>
          <w:rFonts w:ascii="宋体" w:hAnsi="宋体" w:eastAsia="宋体" w:cs="宋体"/>
          <w:sz w:val="21"/>
          <w:szCs w:val="21"/>
        </w:rPr>
      </w:pPr>
      <w:r>
        <w:rPr>
          <w:rFonts w:ascii="宋体" w:hAnsi="宋体" w:eastAsia="宋体" w:cs="宋体"/>
          <w:spacing w:val="4"/>
          <w:sz w:val="21"/>
          <w:szCs w:val="21"/>
        </w:rPr>
        <w:t>采用不同方法(干法、半干法、湿法回转窑和立窑)生产熟料的企业应分别计算熟料烧成煤耗。</w:t>
      </w:r>
    </w:p>
    <w:p w14:paraId="740DFDAD">
      <w:pPr>
        <w:spacing w:before="110" w:line="268" w:lineRule="auto"/>
        <w:ind w:right="55" w:firstLine="430"/>
        <w:rPr>
          <w:rFonts w:ascii="宋体" w:hAnsi="宋体" w:eastAsia="宋体" w:cs="宋体"/>
          <w:sz w:val="21"/>
          <w:szCs w:val="21"/>
        </w:rPr>
      </w:pPr>
      <w:r>
        <w:rPr>
          <w:rFonts w:ascii="宋体" w:hAnsi="宋体" w:eastAsia="宋体" w:cs="宋体"/>
          <w:spacing w:val="3"/>
          <w:sz w:val="21"/>
          <w:szCs w:val="21"/>
        </w:rPr>
        <w:t>采用余热发电的回转窑企业，除按上式计算“每吨熟料烧成标准煤消耗量”外，为正确反映这类</w:t>
      </w:r>
      <w:r>
        <w:rPr>
          <w:rFonts w:ascii="宋体" w:hAnsi="宋体" w:eastAsia="宋体" w:cs="宋体"/>
          <w:spacing w:val="12"/>
          <w:sz w:val="21"/>
          <w:szCs w:val="21"/>
        </w:rPr>
        <w:t xml:space="preserve"> </w:t>
      </w:r>
      <w:r>
        <w:rPr>
          <w:rFonts w:ascii="宋体" w:hAnsi="宋体" w:eastAsia="宋体" w:cs="宋体"/>
          <w:spacing w:val="3"/>
          <w:sz w:val="21"/>
          <w:szCs w:val="21"/>
        </w:rPr>
        <w:t>企业烧成用煤的实际情况，还要计算扣除带补燃料的余热发电煤耗后的每吨水泥熟料烧成标准煤耗。</w:t>
      </w:r>
    </w:p>
    <w:p w14:paraId="74921A9D">
      <w:pPr>
        <w:spacing w:before="103" w:line="219" w:lineRule="auto"/>
        <w:ind w:left="430"/>
        <w:rPr>
          <w:rFonts w:ascii="宋体" w:hAnsi="宋体" w:eastAsia="宋体" w:cs="宋体"/>
          <w:sz w:val="21"/>
          <w:szCs w:val="21"/>
        </w:rPr>
      </w:pPr>
      <w:r>
        <w:rPr>
          <w:rFonts w:ascii="宋体" w:hAnsi="宋体" w:eastAsia="宋体" w:cs="宋体"/>
          <w:spacing w:val="-10"/>
          <w:sz w:val="21"/>
          <w:szCs w:val="21"/>
        </w:rPr>
        <w:t>计算公式：</w:t>
      </w:r>
    </w:p>
    <w:p w14:paraId="5E97B3FC">
      <w:pPr>
        <w:spacing w:before="119" w:line="219" w:lineRule="auto"/>
        <w:ind w:left="430"/>
        <w:rPr>
          <w:rFonts w:ascii="宋体" w:hAnsi="宋体" w:eastAsia="宋体" w:cs="宋体"/>
          <w:sz w:val="21"/>
          <w:szCs w:val="21"/>
        </w:rPr>
      </w:pPr>
      <w:r>
        <w:rPr>
          <w:rFonts w:ascii="宋体" w:hAnsi="宋体" w:eastAsia="宋体" w:cs="宋体"/>
          <w:spacing w:val="4"/>
          <w:sz w:val="21"/>
          <w:szCs w:val="21"/>
        </w:rPr>
        <w:t>扣除带补燃料的余热发电煤耗后每吨水泥熟料烧成耗标准煤耗(千克)</w:t>
      </w:r>
    </w:p>
    <w:p w14:paraId="021D79BA">
      <w:pPr>
        <w:spacing w:before="112" w:line="284" w:lineRule="auto"/>
        <w:ind w:left="430" w:right="649"/>
        <w:rPr>
          <w:rFonts w:ascii="宋体" w:hAnsi="宋体" w:eastAsia="宋体" w:cs="宋体"/>
          <w:sz w:val="21"/>
          <w:szCs w:val="21"/>
        </w:rPr>
      </w:pPr>
      <w:r>
        <w:rPr>
          <w:rFonts w:ascii="宋体" w:hAnsi="宋体" w:eastAsia="宋体" w:cs="宋体"/>
          <w:spacing w:val="9"/>
          <w:sz w:val="21"/>
          <w:szCs w:val="21"/>
        </w:rPr>
        <w:t>=1000×扣除带补燃料的余热发电煤耗后的标准煤消耗量(吨)/硅酸盐水泥熟料产量</w:t>
      </w:r>
      <w:r>
        <w:rPr>
          <w:rFonts w:ascii="宋体" w:hAnsi="宋体" w:eastAsia="宋体" w:cs="宋体"/>
          <w:spacing w:val="8"/>
          <w:sz w:val="21"/>
          <w:szCs w:val="21"/>
        </w:rPr>
        <w:t>(吨)</w:t>
      </w:r>
      <w:r>
        <w:rPr>
          <w:rFonts w:ascii="宋体" w:hAnsi="宋体" w:eastAsia="宋体" w:cs="宋体"/>
          <w:sz w:val="21"/>
          <w:szCs w:val="21"/>
        </w:rPr>
        <w:t xml:space="preserve"> </w:t>
      </w:r>
      <w:r>
        <w:rPr>
          <w:rFonts w:ascii="宋体" w:hAnsi="宋体" w:eastAsia="宋体" w:cs="宋体"/>
          <w:spacing w:val="6"/>
          <w:sz w:val="21"/>
          <w:szCs w:val="21"/>
        </w:rPr>
        <w:t>说明：公式中的“扣除带补燃料的余热发电煤耗后的标准煤消耗量(吨)”,按下式计</w:t>
      </w:r>
      <w:r>
        <w:rPr>
          <w:rFonts w:ascii="宋体" w:hAnsi="宋体" w:eastAsia="宋体" w:cs="宋体"/>
          <w:spacing w:val="5"/>
          <w:sz w:val="21"/>
          <w:szCs w:val="21"/>
        </w:rPr>
        <w:t>算：</w:t>
      </w:r>
      <w:r>
        <w:rPr>
          <w:rFonts w:ascii="宋体" w:hAnsi="宋体" w:eastAsia="宋体" w:cs="宋体"/>
          <w:sz w:val="21"/>
          <w:szCs w:val="21"/>
        </w:rPr>
        <w:t xml:space="preserve"> </w:t>
      </w:r>
      <w:r>
        <w:rPr>
          <w:rFonts w:ascii="宋体" w:hAnsi="宋体" w:eastAsia="宋体" w:cs="宋体"/>
          <w:spacing w:val="5"/>
          <w:sz w:val="21"/>
          <w:szCs w:val="21"/>
        </w:rPr>
        <w:t>扣除带补燃料的余热发电煤耗后的标准煤消耗量(吨)</w:t>
      </w:r>
    </w:p>
    <w:p w14:paraId="3BEEA422">
      <w:pPr>
        <w:spacing w:before="111" w:line="268" w:lineRule="auto"/>
        <w:ind w:left="649" w:right="143" w:hanging="219"/>
        <w:rPr>
          <w:rFonts w:ascii="宋体" w:hAnsi="宋体" w:eastAsia="宋体" w:cs="宋体"/>
          <w:sz w:val="21"/>
          <w:szCs w:val="21"/>
        </w:rPr>
      </w:pPr>
      <w:r>
        <w:rPr>
          <w:rFonts w:ascii="宋体" w:hAnsi="宋体" w:eastAsia="宋体" w:cs="宋体"/>
          <w:spacing w:val="19"/>
          <w:sz w:val="21"/>
          <w:szCs w:val="21"/>
        </w:rPr>
        <w:t>=烧成标准煤总消耗量(吨)—{(电站发电量(千瓦时)一电站自用电量(千瓦时))×0.1229</w:t>
      </w:r>
      <w:r>
        <w:rPr>
          <w:rFonts w:ascii="宋体" w:hAnsi="宋体" w:eastAsia="宋体" w:cs="宋体"/>
          <w:spacing w:val="16"/>
          <w:sz w:val="21"/>
          <w:szCs w:val="21"/>
        </w:rPr>
        <w:t xml:space="preserve"> </w:t>
      </w:r>
      <w:r>
        <w:rPr>
          <w:rFonts w:ascii="宋体" w:hAnsi="宋体" w:eastAsia="宋体" w:cs="宋体"/>
          <w:spacing w:val="-2"/>
          <w:sz w:val="21"/>
          <w:szCs w:val="21"/>
        </w:rPr>
        <w:t>(千克/千瓦时)÷1000}</w:t>
      </w:r>
    </w:p>
    <w:p w14:paraId="21B3B99C">
      <w:pPr>
        <w:spacing w:before="111" w:line="267" w:lineRule="auto"/>
        <w:ind w:right="39" w:firstLine="430"/>
        <w:rPr>
          <w:rFonts w:ascii="宋体" w:hAnsi="宋体" w:eastAsia="宋体" w:cs="宋体"/>
          <w:sz w:val="21"/>
          <w:szCs w:val="21"/>
        </w:rPr>
      </w:pPr>
      <w:r>
        <w:rPr>
          <w:rFonts w:ascii="宋体" w:hAnsi="宋体" w:eastAsia="宋体" w:cs="宋体"/>
          <w:spacing w:val="-1"/>
          <w:sz w:val="21"/>
          <w:szCs w:val="21"/>
        </w:rPr>
        <w:t>注意：采用纯低温余热发电技术的新型干法水泥企业，其熟料烧成</w:t>
      </w:r>
      <w:r>
        <w:rPr>
          <w:rFonts w:ascii="宋体" w:hAnsi="宋体" w:eastAsia="宋体" w:cs="宋体"/>
          <w:spacing w:val="-2"/>
          <w:sz w:val="21"/>
          <w:szCs w:val="21"/>
        </w:rPr>
        <w:t>煤耗既没有增加，也没有减少，</w:t>
      </w:r>
      <w:r>
        <w:rPr>
          <w:rFonts w:ascii="宋体" w:hAnsi="宋体" w:eastAsia="宋体" w:cs="宋体"/>
          <w:sz w:val="21"/>
          <w:szCs w:val="21"/>
        </w:rPr>
        <w:t xml:space="preserve"> </w:t>
      </w:r>
      <w:r>
        <w:rPr>
          <w:rFonts w:ascii="宋体" w:hAnsi="宋体" w:eastAsia="宋体" w:cs="宋体"/>
          <w:spacing w:val="-1"/>
          <w:sz w:val="21"/>
          <w:szCs w:val="21"/>
        </w:rPr>
        <w:t>不得将发电量折标准煤抵扣熟料烧成标准煤耗</w:t>
      </w:r>
    </w:p>
    <w:p w14:paraId="0C200A0D">
      <w:pPr>
        <w:spacing w:before="110" w:line="218" w:lineRule="auto"/>
        <w:ind w:left="430"/>
        <w:rPr>
          <w:rFonts w:ascii="宋体" w:hAnsi="宋体" w:eastAsia="宋体" w:cs="宋体"/>
          <w:sz w:val="21"/>
          <w:szCs w:val="21"/>
        </w:rPr>
      </w:pPr>
      <w:r>
        <w:rPr>
          <w:rFonts w:ascii="宋体" w:hAnsi="宋体" w:eastAsia="宋体" w:cs="宋体"/>
          <w:spacing w:val="-1"/>
          <w:sz w:val="21"/>
          <w:szCs w:val="21"/>
        </w:rPr>
        <w:t>分母项：硅酸盐水泥熟料产量。指报告期合格品</w:t>
      </w:r>
      <w:r>
        <w:rPr>
          <w:rFonts w:ascii="宋体" w:hAnsi="宋体" w:eastAsia="宋体" w:cs="宋体"/>
          <w:spacing w:val="-2"/>
          <w:sz w:val="21"/>
          <w:szCs w:val="21"/>
        </w:rPr>
        <w:t>产量，计量单位为吨。</w:t>
      </w:r>
    </w:p>
    <w:p w14:paraId="12AE2D31">
      <w:pPr>
        <w:spacing w:before="109" w:line="221" w:lineRule="auto"/>
        <w:ind w:left="433"/>
        <w:rPr>
          <w:rFonts w:ascii="黑体" w:hAnsi="黑体" w:eastAsia="黑体" w:cs="黑体"/>
          <w:sz w:val="21"/>
          <w:szCs w:val="21"/>
        </w:rPr>
      </w:pPr>
      <w:r>
        <w:rPr>
          <w:rFonts w:ascii="黑体" w:hAnsi="黑体" w:eastAsia="黑体" w:cs="黑体"/>
          <w:b/>
          <w:bCs/>
          <w:spacing w:val="-4"/>
          <w:sz w:val="21"/>
          <w:szCs w:val="21"/>
        </w:rPr>
        <w:t>吨水泥熟料综合电耗</w:t>
      </w:r>
    </w:p>
    <w:p w14:paraId="640A450A">
      <w:pPr>
        <w:spacing w:before="113" w:line="268" w:lineRule="auto"/>
        <w:ind w:left="4959" w:right="116" w:hanging="4529"/>
        <w:rPr>
          <w:rFonts w:ascii="宋体" w:hAnsi="宋体" w:eastAsia="宋体" w:cs="宋体"/>
          <w:sz w:val="21"/>
          <w:szCs w:val="21"/>
        </w:rPr>
      </w:pPr>
      <w:r>
        <w:rPr>
          <w:rFonts w:ascii="宋体" w:hAnsi="宋体" w:eastAsia="宋体" w:cs="宋体"/>
          <w:spacing w:val="6"/>
          <w:sz w:val="21"/>
          <w:szCs w:val="21"/>
        </w:rPr>
        <w:t>计算公式：吨水泥熟料综合电耗(千瓦时/吨)=10000×熟料生产综合电力消费量(万千瓦时)/硅</w:t>
      </w:r>
      <w:r>
        <w:rPr>
          <w:rFonts w:ascii="宋体" w:hAnsi="宋体" w:eastAsia="宋体" w:cs="宋体"/>
          <w:spacing w:val="5"/>
          <w:sz w:val="21"/>
          <w:szCs w:val="21"/>
        </w:rPr>
        <w:t xml:space="preserve"> </w:t>
      </w:r>
      <w:r>
        <w:rPr>
          <w:rFonts w:ascii="宋体" w:hAnsi="宋体" w:eastAsia="宋体" w:cs="宋体"/>
          <w:spacing w:val="9"/>
          <w:sz w:val="21"/>
          <w:szCs w:val="21"/>
        </w:rPr>
        <w:t>酸盐水泥熟料产量(吨)</w:t>
      </w:r>
    </w:p>
    <w:p w14:paraId="53614D39">
      <w:pPr>
        <w:spacing w:before="110" w:line="268" w:lineRule="auto"/>
        <w:ind w:right="55" w:firstLine="430"/>
        <w:rPr>
          <w:rFonts w:ascii="宋体" w:hAnsi="宋体" w:eastAsia="宋体" w:cs="宋体"/>
          <w:sz w:val="21"/>
          <w:szCs w:val="21"/>
        </w:rPr>
      </w:pPr>
      <w:r>
        <w:rPr>
          <w:rFonts w:ascii="宋体" w:hAnsi="宋体" w:eastAsia="宋体" w:cs="宋体"/>
          <w:spacing w:val="-2"/>
          <w:sz w:val="21"/>
          <w:szCs w:val="21"/>
        </w:rPr>
        <w:t>分子项：熟料生产综合电力消费量。包括熟料工序用电，以及生料电力消耗。熟料工序用电中还包</w:t>
      </w:r>
      <w:r>
        <w:rPr>
          <w:rFonts w:ascii="宋体" w:hAnsi="宋体" w:eastAsia="宋体" w:cs="宋体"/>
          <w:spacing w:val="14"/>
          <w:sz w:val="21"/>
          <w:szCs w:val="21"/>
        </w:rPr>
        <w:t xml:space="preserve"> </w:t>
      </w:r>
      <w:r>
        <w:rPr>
          <w:rFonts w:ascii="宋体" w:hAnsi="宋体" w:eastAsia="宋体" w:cs="宋体"/>
          <w:spacing w:val="-2"/>
          <w:sz w:val="21"/>
          <w:szCs w:val="21"/>
        </w:rPr>
        <w:t>括生产煤粉各项用电，即生产水泥熟料的全部电耗。</w:t>
      </w:r>
    </w:p>
    <w:p w14:paraId="153AB368">
      <w:pPr>
        <w:spacing w:before="110" w:line="219" w:lineRule="auto"/>
        <w:ind w:left="430"/>
        <w:rPr>
          <w:rFonts w:ascii="宋体" w:hAnsi="宋体" w:eastAsia="宋体" w:cs="宋体"/>
          <w:sz w:val="21"/>
          <w:szCs w:val="21"/>
        </w:rPr>
      </w:pPr>
      <w:r>
        <w:rPr>
          <w:rFonts w:ascii="宋体" w:hAnsi="宋体" w:eastAsia="宋体" w:cs="宋体"/>
          <w:sz w:val="21"/>
          <w:szCs w:val="21"/>
        </w:rPr>
        <w:t>熟料生产综合电力消费量=熟料工序电力消耗量+生料消</w:t>
      </w:r>
      <w:r>
        <w:rPr>
          <w:rFonts w:ascii="宋体" w:hAnsi="宋体" w:eastAsia="宋体" w:cs="宋体"/>
          <w:spacing w:val="-1"/>
          <w:sz w:val="21"/>
          <w:szCs w:val="21"/>
        </w:rPr>
        <w:t>耗量×本期每吨生料电力消耗量</w:t>
      </w:r>
    </w:p>
    <w:p w14:paraId="01C7DBDF">
      <w:pPr>
        <w:spacing w:line="219" w:lineRule="auto"/>
        <w:rPr>
          <w:rFonts w:ascii="宋体" w:hAnsi="宋体" w:eastAsia="宋体" w:cs="宋体"/>
          <w:sz w:val="21"/>
          <w:szCs w:val="21"/>
        </w:rPr>
        <w:sectPr>
          <w:headerReference r:id="rId43" w:type="default"/>
          <w:pgSz w:w="11910" w:h="16840"/>
          <w:pgMar w:top="1109" w:right="1235" w:bottom="400" w:left="1229" w:header="838" w:footer="0" w:gutter="0"/>
          <w:cols w:space="720" w:num="1"/>
        </w:sectPr>
      </w:pPr>
    </w:p>
    <w:p w14:paraId="6AE98337">
      <w:pPr>
        <w:pStyle w:val="2"/>
        <w:spacing w:line="285" w:lineRule="auto"/>
      </w:pPr>
    </w:p>
    <w:p w14:paraId="7A97C064">
      <w:pPr>
        <w:spacing w:before="68" w:line="383" w:lineRule="exact"/>
        <w:ind w:left="430"/>
        <w:rPr>
          <w:rFonts w:ascii="宋体" w:hAnsi="宋体" w:eastAsia="宋体" w:cs="宋体"/>
          <w:sz w:val="21"/>
          <w:szCs w:val="21"/>
        </w:rPr>
      </w:pPr>
      <w:r>
        <w:rPr>
          <w:rFonts w:ascii="宋体" w:hAnsi="宋体" w:eastAsia="宋体" w:cs="宋体"/>
          <w:spacing w:val="6"/>
          <w:position w:val="13"/>
          <w:sz w:val="21"/>
          <w:szCs w:val="21"/>
        </w:rPr>
        <w:t>只生产水泥熟料的企业(不生产水泥),熟料生</w:t>
      </w:r>
      <w:r>
        <w:rPr>
          <w:rFonts w:ascii="宋体" w:hAnsi="宋体" w:eastAsia="宋体" w:cs="宋体"/>
          <w:spacing w:val="5"/>
          <w:position w:val="13"/>
          <w:sz w:val="21"/>
          <w:szCs w:val="21"/>
        </w:rPr>
        <w:t>产综合电力消费量还要包括水泥熟料发送工序的电</w:t>
      </w:r>
    </w:p>
    <w:p w14:paraId="4D821D85">
      <w:pPr>
        <w:spacing w:line="219" w:lineRule="auto"/>
        <w:ind w:left="10"/>
        <w:rPr>
          <w:rFonts w:ascii="宋体" w:hAnsi="宋体" w:eastAsia="宋体" w:cs="宋体"/>
          <w:sz w:val="21"/>
          <w:szCs w:val="21"/>
        </w:rPr>
      </w:pPr>
      <w:r>
        <w:rPr>
          <w:rFonts w:ascii="宋体" w:hAnsi="宋体" w:eastAsia="宋体" w:cs="宋体"/>
          <w:spacing w:val="-7"/>
          <w:sz w:val="21"/>
          <w:szCs w:val="21"/>
        </w:rPr>
        <w:t>力消耗量。</w:t>
      </w:r>
    </w:p>
    <w:p w14:paraId="6022EFA2">
      <w:pPr>
        <w:spacing w:before="110" w:line="262" w:lineRule="auto"/>
        <w:ind w:left="430" w:right="262"/>
        <w:rPr>
          <w:rFonts w:ascii="宋体" w:hAnsi="宋体" w:eastAsia="宋体" w:cs="宋体"/>
          <w:sz w:val="21"/>
          <w:szCs w:val="21"/>
        </w:rPr>
      </w:pPr>
      <w:r>
        <w:rPr>
          <w:rFonts w:ascii="宋体" w:hAnsi="宋体" w:eastAsia="宋体" w:cs="宋体"/>
          <w:spacing w:val="-1"/>
          <w:sz w:val="21"/>
          <w:szCs w:val="21"/>
        </w:rPr>
        <w:t>采用纯低温余热发电技术的新型干法水泥企业其电力自用量不得抵扣熟料生产综合电力消费量。</w:t>
      </w:r>
      <w:r>
        <w:rPr>
          <w:rFonts w:ascii="宋体" w:hAnsi="宋体" w:eastAsia="宋体" w:cs="宋体"/>
          <w:spacing w:val="3"/>
          <w:sz w:val="21"/>
          <w:szCs w:val="21"/>
        </w:rPr>
        <w:t xml:space="preserve"> </w:t>
      </w:r>
      <w:r>
        <w:rPr>
          <w:rFonts w:ascii="宋体" w:hAnsi="宋体" w:eastAsia="宋体" w:cs="宋体"/>
          <w:spacing w:val="-1"/>
          <w:sz w:val="21"/>
          <w:szCs w:val="21"/>
        </w:rPr>
        <w:t>分母项：硅酸盐水泥熟料产量。指报告期合格品</w:t>
      </w:r>
      <w:r>
        <w:rPr>
          <w:rFonts w:ascii="宋体" w:hAnsi="宋体" w:eastAsia="宋体" w:cs="宋体"/>
          <w:spacing w:val="-2"/>
          <w:sz w:val="21"/>
          <w:szCs w:val="21"/>
        </w:rPr>
        <w:t>产量，计量单位为吨。</w:t>
      </w:r>
    </w:p>
    <w:p w14:paraId="47DF7846">
      <w:pPr>
        <w:spacing w:before="108" w:line="221" w:lineRule="auto"/>
        <w:ind w:left="433"/>
        <w:rPr>
          <w:rFonts w:ascii="黑体" w:hAnsi="黑体" w:eastAsia="黑体" w:cs="黑体"/>
          <w:sz w:val="21"/>
          <w:szCs w:val="21"/>
        </w:rPr>
      </w:pPr>
      <w:r>
        <w:rPr>
          <w:rFonts w:ascii="黑体" w:hAnsi="黑体" w:eastAsia="黑体" w:cs="黑体"/>
          <w:b/>
          <w:bCs/>
          <w:spacing w:val="-5"/>
          <w:sz w:val="21"/>
          <w:szCs w:val="21"/>
        </w:rPr>
        <w:t>吨水泥综合能耗</w:t>
      </w:r>
    </w:p>
    <w:p w14:paraId="267A9CDB">
      <w:pPr>
        <w:spacing w:before="104" w:line="370" w:lineRule="exact"/>
        <w:ind w:left="430"/>
        <w:rPr>
          <w:rFonts w:ascii="宋体" w:hAnsi="宋体" w:eastAsia="宋体" w:cs="宋体"/>
          <w:sz w:val="21"/>
          <w:szCs w:val="21"/>
        </w:rPr>
      </w:pPr>
      <w:r>
        <w:rPr>
          <w:rFonts w:ascii="宋体" w:hAnsi="宋体" w:eastAsia="宋体" w:cs="宋体"/>
          <w:spacing w:val="5"/>
          <w:position w:val="12"/>
          <w:sz w:val="21"/>
          <w:szCs w:val="21"/>
        </w:rPr>
        <w:t>计算公式：吨水泥综合能耗(千克标准煤/吨)=1000×生产水泥综合能源消费量(吨标准煤)/水泥</w:t>
      </w:r>
    </w:p>
    <w:p w14:paraId="33A1CE26">
      <w:pPr>
        <w:spacing w:line="219" w:lineRule="auto"/>
        <w:ind w:left="4840"/>
        <w:rPr>
          <w:rFonts w:ascii="宋体" w:hAnsi="宋体" w:eastAsia="宋体" w:cs="宋体"/>
          <w:sz w:val="21"/>
          <w:szCs w:val="21"/>
        </w:rPr>
      </w:pPr>
      <w:r>
        <w:rPr>
          <w:rFonts w:ascii="宋体" w:hAnsi="宋体" w:eastAsia="宋体" w:cs="宋体"/>
          <w:spacing w:val="25"/>
          <w:sz w:val="21"/>
          <w:szCs w:val="21"/>
        </w:rPr>
        <w:t>产量(吨)</w:t>
      </w:r>
    </w:p>
    <w:p w14:paraId="370021C5">
      <w:pPr>
        <w:spacing w:before="121" w:line="292" w:lineRule="auto"/>
        <w:ind w:left="10" w:firstLine="420"/>
        <w:jc w:val="both"/>
        <w:rPr>
          <w:rFonts w:ascii="宋体" w:hAnsi="宋体" w:eastAsia="宋体" w:cs="宋体"/>
          <w:sz w:val="21"/>
          <w:szCs w:val="21"/>
        </w:rPr>
      </w:pPr>
      <w:r>
        <w:rPr>
          <w:rFonts w:ascii="宋体" w:hAnsi="宋体" w:eastAsia="宋体" w:cs="宋体"/>
          <w:spacing w:val="3"/>
          <w:sz w:val="21"/>
          <w:szCs w:val="21"/>
        </w:rPr>
        <w:t xml:space="preserve">分子项：生产水泥综合能源消费量。包括电力、原煤、洗精煤、焦炭、原油、重油(包括渣油)、 </w:t>
      </w:r>
      <w:r>
        <w:rPr>
          <w:rFonts w:ascii="宋体" w:hAnsi="宋体" w:eastAsia="宋体" w:cs="宋体"/>
          <w:spacing w:val="-4"/>
          <w:sz w:val="21"/>
          <w:szCs w:val="21"/>
        </w:rPr>
        <w:t>汽油、煤油、柴油、天然气、煤气、液化气、蒸汽等。企业自备锅炉、自备发</w:t>
      </w:r>
      <w:r>
        <w:rPr>
          <w:rFonts w:ascii="宋体" w:hAnsi="宋体" w:eastAsia="宋体" w:cs="宋体"/>
          <w:spacing w:val="-5"/>
          <w:sz w:val="21"/>
          <w:szCs w:val="21"/>
        </w:rPr>
        <w:t>电机组生产的蒸汽、电力，</w:t>
      </w:r>
      <w:r>
        <w:rPr>
          <w:rFonts w:ascii="宋体" w:hAnsi="宋体" w:eastAsia="宋体" w:cs="宋体"/>
          <w:sz w:val="21"/>
          <w:szCs w:val="21"/>
        </w:rPr>
        <w:t xml:space="preserve"> </w:t>
      </w:r>
      <w:r>
        <w:rPr>
          <w:rFonts w:ascii="宋体" w:hAnsi="宋体" w:eastAsia="宋体" w:cs="宋体"/>
          <w:spacing w:val="-2"/>
          <w:sz w:val="21"/>
          <w:szCs w:val="21"/>
        </w:rPr>
        <w:t>由本企业消耗的，只计算第一次能源消耗，不再重复计算蒸汽及电的消耗；余热发电亦不重复计算。依</w:t>
      </w:r>
      <w:r>
        <w:rPr>
          <w:rFonts w:ascii="宋体" w:hAnsi="宋体" w:eastAsia="宋体" w:cs="宋体"/>
          <w:spacing w:val="5"/>
          <w:sz w:val="21"/>
          <w:szCs w:val="21"/>
        </w:rPr>
        <w:t xml:space="preserve">  </w:t>
      </w:r>
      <w:r>
        <w:rPr>
          <w:rFonts w:ascii="宋体" w:hAnsi="宋体" w:eastAsia="宋体" w:cs="宋体"/>
          <w:spacing w:val="-1"/>
          <w:sz w:val="21"/>
          <w:szCs w:val="21"/>
        </w:rPr>
        <w:t>据分子分母对应原则，生产水泥综合能源消费量不应包括已销售的商品熟料所消耗的能源。</w:t>
      </w:r>
    </w:p>
    <w:p w14:paraId="3D0E0477">
      <w:pPr>
        <w:spacing w:before="98" w:line="285" w:lineRule="auto"/>
        <w:ind w:left="10" w:firstLine="420"/>
        <w:jc w:val="both"/>
        <w:rPr>
          <w:rFonts w:ascii="宋体" w:hAnsi="宋体" w:eastAsia="宋体" w:cs="宋体"/>
          <w:sz w:val="21"/>
          <w:szCs w:val="21"/>
        </w:rPr>
      </w:pPr>
      <w:r>
        <w:rPr>
          <w:rFonts w:ascii="宋体" w:hAnsi="宋体" w:eastAsia="宋体" w:cs="宋体"/>
          <w:spacing w:val="-9"/>
          <w:sz w:val="21"/>
          <w:szCs w:val="21"/>
        </w:rPr>
        <w:t>分母项：水泥产量。指报告期合格品产量，计量单位为吨。水泥是指加水拌和成塑性浆体，能胶结</w:t>
      </w:r>
      <w:r>
        <w:rPr>
          <w:rFonts w:ascii="宋体" w:hAnsi="宋体" w:eastAsia="宋体" w:cs="宋体"/>
          <w:spacing w:val="-10"/>
          <w:sz w:val="21"/>
          <w:szCs w:val="21"/>
        </w:rPr>
        <w:t>砂、</w:t>
      </w:r>
      <w:r>
        <w:rPr>
          <w:rFonts w:ascii="宋体" w:hAnsi="宋体" w:eastAsia="宋体" w:cs="宋体"/>
          <w:sz w:val="21"/>
          <w:szCs w:val="21"/>
        </w:rPr>
        <w:t xml:space="preserve"> </w:t>
      </w:r>
      <w:r>
        <w:rPr>
          <w:rFonts w:ascii="宋体" w:hAnsi="宋体" w:eastAsia="宋体" w:cs="宋体"/>
          <w:spacing w:val="-2"/>
          <w:sz w:val="21"/>
          <w:szCs w:val="21"/>
        </w:rPr>
        <w:t>石等适当材料并能在空气和水中硬化的粉状水硬性胶凝材料。企业在统计水泥产量时，不得将达不到水</w:t>
      </w:r>
      <w:r>
        <w:rPr>
          <w:rFonts w:ascii="宋体" w:hAnsi="宋体" w:eastAsia="宋体" w:cs="宋体"/>
          <w:spacing w:val="4"/>
          <w:sz w:val="21"/>
          <w:szCs w:val="21"/>
        </w:rPr>
        <w:t xml:space="preserve">  </w:t>
      </w:r>
      <w:r>
        <w:rPr>
          <w:rFonts w:ascii="宋体" w:hAnsi="宋体" w:eastAsia="宋体" w:cs="宋体"/>
          <w:spacing w:val="-1"/>
          <w:sz w:val="21"/>
          <w:szCs w:val="21"/>
        </w:rPr>
        <w:t>泥强度等级的废品水泥和已销售的商品熟料折合成水泥统</w:t>
      </w:r>
      <w:r>
        <w:rPr>
          <w:rFonts w:ascii="宋体" w:hAnsi="宋体" w:eastAsia="宋体" w:cs="宋体"/>
          <w:spacing w:val="-2"/>
          <w:sz w:val="21"/>
          <w:szCs w:val="21"/>
        </w:rPr>
        <w:t>计在水泥产量中。</w:t>
      </w:r>
    </w:p>
    <w:p w14:paraId="35710DCD">
      <w:pPr>
        <w:spacing w:before="116" w:line="221" w:lineRule="auto"/>
        <w:ind w:left="433"/>
        <w:rPr>
          <w:rFonts w:ascii="黑体" w:hAnsi="黑体" w:eastAsia="黑体" w:cs="黑体"/>
          <w:sz w:val="21"/>
          <w:szCs w:val="21"/>
        </w:rPr>
      </w:pPr>
      <w:r>
        <w:rPr>
          <w:rFonts w:ascii="黑体" w:hAnsi="黑体" w:eastAsia="黑体" w:cs="黑体"/>
          <w:b/>
          <w:bCs/>
          <w:spacing w:val="-5"/>
          <w:sz w:val="21"/>
          <w:szCs w:val="21"/>
        </w:rPr>
        <w:t>吨水泥实物煤耗</w:t>
      </w:r>
    </w:p>
    <w:p w14:paraId="6E8028DE">
      <w:pPr>
        <w:spacing w:before="113" w:line="219" w:lineRule="auto"/>
        <w:ind w:left="430"/>
        <w:rPr>
          <w:rFonts w:ascii="宋体" w:hAnsi="宋体" w:eastAsia="宋体" w:cs="宋体"/>
          <w:sz w:val="21"/>
          <w:szCs w:val="21"/>
        </w:rPr>
      </w:pPr>
      <w:r>
        <w:rPr>
          <w:rFonts w:ascii="宋体" w:hAnsi="宋体" w:eastAsia="宋体" w:cs="宋体"/>
          <w:spacing w:val="9"/>
          <w:sz w:val="21"/>
          <w:szCs w:val="21"/>
        </w:rPr>
        <w:t>计算公式：吨水泥实物煤耗(千克/吨)=1000×水泥生产实物煤综合消费量(吨)/水泥产量(吨)</w:t>
      </w:r>
    </w:p>
    <w:p w14:paraId="385E49C2">
      <w:pPr>
        <w:spacing w:before="111" w:line="284" w:lineRule="auto"/>
        <w:ind w:left="10" w:right="68" w:firstLine="420"/>
        <w:rPr>
          <w:rFonts w:ascii="宋体" w:hAnsi="宋体" w:eastAsia="宋体" w:cs="宋体"/>
          <w:sz w:val="21"/>
          <w:szCs w:val="21"/>
        </w:rPr>
      </w:pPr>
      <w:r>
        <w:rPr>
          <w:rFonts w:ascii="宋体" w:hAnsi="宋体" w:eastAsia="宋体" w:cs="宋体"/>
          <w:spacing w:val="-2"/>
          <w:sz w:val="21"/>
          <w:szCs w:val="21"/>
        </w:rPr>
        <w:t>分子项：水泥生产实物煤综合消费量。包括熟料综合煤耗、混合材烘干煤耗以外，还包括为水泥生</w:t>
      </w:r>
      <w:r>
        <w:rPr>
          <w:rFonts w:ascii="宋体" w:hAnsi="宋体" w:eastAsia="宋体" w:cs="宋体"/>
          <w:spacing w:val="4"/>
          <w:sz w:val="21"/>
          <w:szCs w:val="21"/>
        </w:rPr>
        <w:t xml:space="preserve"> </w:t>
      </w:r>
      <w:r>
        <w:rPr>
          <w:rFonts w:ascii="宋体" w:hAnsi="宋体" w:eastAsia="宋体" w:cs="宋体"/>
          <w:spacing w:val="-1"/>
          <w:sz w:val="21"/>
          <w:szCs w:val="21"/>
        </w:rPr>
        <w:t>产直接服务的其他煤耗，如机修车间烘炉用煤，蒸汽锅炉用煤。原煤在粉磨过程</w:t>
      </w:r>
      <w:r>
        <w:rPr>
          <w:rFonts w:ascii="宋体" w:hAnsi="宋体" w:eastAsia="宋体" w:cs="宋体"/>
          <w:spacing w:val="-2"/>
          <w:sz w:val="21"/>
          <w:szCs w:val="21"/>
        </w:rPr>
        <w:t>中，用收尘办法回收的</w:t>
      </w:r>
      <w:r>
        <w:rPr>
          <w:rFonts w:ascii="宋体" w:hAnsi="宋体" w:eastAsia="宋体" w:cs="宋体"/>
          <w:sz w:val="21"/>
          <w:szCs w:val="21"/>
        </w:rPr>
        <w:t xml:space="preserve"> </w:t>
      </w:r>
      <w:r>
        <w:rPr>
          <w:rFonts w:ascii="宋体" w:hAnsi="宋体" w:eastAsia="宋体" w:cs="宋体"/>
          <w:spacing w:val="-1"/>
          <w:sz w:val="21"/>
          <w:szCs w:val="21"/>
        </w:rPr>
        <w:t>煤粉重新用于生产时应计算消耗，用于生产其他产品或用于生活福利的，则应</w:t>
      </w:r>
      <w:r>
        <w:rPr>
          <w:rFonts w:ascii="宋体" w:hAnsi="宋体" w:eastAsia="宋体" w:cs="宋体"/>
          <w:spacing w:val="-2"/>
          <w:sz w:val="21"/>
          <w:szCs w:val="21"/>
        </w:rPr>
        <w:t>扣除。</w:t>
      </w:r>
    </w:p>
    <w:p w14:paraId="61C78A43">
      <w:pPr>
        <w:spacing w:before="111" w:line="263" w:lineRule="auto"/>
        <w:ind w:left="3710" w:right="38" w:hanging="3280"/>
        <w:rPr>
          <w:rFonts w:ascii="宋体" w:hAnsi="宋体" w:eastAsia="宋体" w:cs="宋体"/>
          <w:sz w:val="21"/>
          <w:szCs w:val="21"/>
        </w:rPr>
      </w:pPr>
      <w:r>
        <w:rPr>
          <w:rFonts w:ascii="宋体" w:hAnsi="宋体" w:eastAsia="宋体" w:cs="宋体"/>
          <w:spacing w:val="9"/>
          <w:sz w:val="21"/>
          <w:szCs w:val="21"/>
        </w:rPr>
        <w:t>水泥生产实物煤综合消费量(吨)=熟料消耗量(吨)×每吨</w:t>
      </w:r>
      <w:r>
        <w:rPr>
          <w:rFonts w:ascii="宋体" w:hAnsi="宋体" w:eastAsia="宋体" w:cs="宋体"/>
          <w:spacing w:val="8"/>
          <w:sz w:val="21"/>
          <w:szCs w:val="21"/>
        </w:rPr>
        <w:t>熟料综合煤耗(吨)+混合材消耗量(吨)</w:t>
      </w:r>
      <w:r>
        <w:rPr>
          <w:rFonts w:ascii="宋体" w:hAnsi="宋体" w:eastAsia="宋体" w:cs="宋体"/>
          <w:sz w:val="21"/>
          <w:szCs w:val="21"/>
        </w:rPr>
        <w:t xml:space="preserve"> </w:t>
      </w:r>
      <w:r>
        <w:rPr>
          <w:rFonts w:ascii="宋体" w:hAnsi="宋体" w:eastAsia="宋体" w:cs="宋体"/>
          <w:spacing w:val="10"/>
          <w:sz w:val="21"/>
          <w:szCs w:val="21"/>
        </w:rPr>
        <w:t>×每吨混合材烘干煤耗(吨)+其他生产用煤(吨)</w:t>
      </w:r>
    </w:p>
    <w:p w14:paraId="3170787E">
      <w:pPr>
        <w:spacing w:before="122" w:line="219" w:lineRule="auto"/>
        <w:ind w:left="430"/>
        <w:rPr>
          <w:rFonts w:ascii="宋体" w:hAnsi="宋体" w:eastAsia="宋体" w:cs="宋体"/>
          <w:sz w:val="21"/>
          <w:szCs w:val="21"/>
        </w:rPr>
      </w:pPr>
      <w:r>
        <w:rPr>
          <w:rFonts w:ascii="宋体" w:hAnsi="宋体" w:eastAsia="宋体" w:cs="宋体"/>
          <w:spacing w:val="-3"/>
          <w:sz w:val="21"/>
          <w:szCs w:val="21"/>
        </w:rPr>
        <w:t>分母项：水泥产量。说明同上。</w:t>
      </w:r>
    </w:p>
    <w:p w14:paraId="422C65C6">
      <w:pPr>
        <w:spacing w:before="96" w:line="221" w:lineRule="auto"/>
        <w:ind w:left="433"/>
        <w:rPr>
          <w:rFonts w:ascii="黑体" w:hAnsi="黑体" w:eastAsia="黑体" w:cs="黑体"/>
          <w:sz w:val="21"/>
          <w:szCs w:val="21"/>
        </w:rPr>
      </w:pPr>
      <w:r>
        <w:rPr>
          <w:rFonts w:ascii="黑体" w:hAnsi="黑体" w:eastAsia="黑体" w:cs="黑体"/>
          <w:b/>
          <w:bCs/>
          <w:spacing w:val="-5"/>
          <w:sz w:val="21"/>
          <w:szCs w:val="21"/>
        </w:rPr>
        <w:t>吨水泥标准煤耗</w:t>
      </w:r>
    </w:p>
    <w:p w14:paraId="7C9C30DA">
      <w:pPr>
        <w:spacing w:before="120" w:line="265" w:lineRule="auto"/>
        <w:ind w:left="10" w:right="96" w:firstLine="420"/>
        <w:rPr>
          <w:rFonts w:ascii="宋体" w:hAnsi="宋体" w:eastAsia="宋体" w:cs="宋体"/>
          <w:sz w:val="21"/>
          <w:szCs w:val="21"/>
        </w:rPr>
      </w:pPr>
      <w:r>
        <w:rPr>
          <w:rFonts w:ascii="宋体" w:hAnsi="宋体" w:eastAsia="宋体" w:cs="宋体"/>
          <w:spacing w:val="1"/>
          <w:sz w:val="21"/>
          <w:szCs w:val="21"/>
        </w:rPr>
        <w:t>吨水泥标准煤耗的计算公式、包括范围同“吨水泥</w:t>
      </w:r>
      <w:r>
        <w:rPr>
          <w:rFonts w:ascii="宋体" w:hAnsi="宋体" w:eastAsia="宋体" w:cs="宋体"/>
          <w:sz w:val="21"/>
          <w:szCs w:val="21"/>
        </w:rPr>
        <w:t xml:space="preserve">实物煤耗”,区别仅是将实物煤用折标准煤系数 </w:t>
      </w:r>
      <w:r>
        <w:rPr>
          <w:rFonts w:ascii="宋体" w:hAnsi="宋体" w:eastAsia="宋体" w:cs="宋体"/>
          <w:spacing w:val="-5"/>
          <w:sz w:val="21"/>
          <w:szCs w:val="21"/>
        </w:rPr>
        <w:t>换算成标准煤。</w:t>
      </w:r>
    </w:p>
    <w:p w14:paraId="6972EEC2">
      <w:pPr>
        <w:spacing w:before="115" w:line="221" w:lineRule="auto"/>
        <w:ind w:left="433"/>
        <w:rPr>
          <w:rFonts w:ascii="黑体" w:hAnsi="黑体" w:eastAsia="黑体" w:cs="黑体"/>
          <w:sz w:val="21"/>
          <w:szCs w:val="21"/>
        </w:rPr>
      </w:pPr>
      <w:r>
        <w:rPr>
          <w:rFonts w:ascii="黑体" w:hAnsi="黑体" w:eastAsia="黑体" w:cs="黑体"/>
          <w:b/>
          <w:bCs/>
          <w:spacing w:val="-5"/>
          <w:sz w:val="21"/>
          <w:szCs w:val="21"/>
        </w:rPr>
        <w:t>吨水泥综合电耗</w:t>
      </w:r>
    </w:p>
    <w:p w14:paraId="7382DF13">
      <w:pPr>
        <w:spacing w:before="114" w:line="219" w:lineRule="auto"/>
        <w:ind w:left="430"/>
        <w:rPr>
          <w:rFonts w:ascii="宋体" w:hAnsi="宋体" w:eastAsia="宋体" w:cs="宋体"/>
          <w:sz w:val="21"/>
          <w:szCs w:val="21"/>
        </w:rPr>
      </w:pPr>
      <w:r>
        <w:rPr>
          <w:rFonts w:ascii="宋体" w:hAnsi="宋体" w:eastAsia="宋体" w:cs="宋体"/>
          <w:spacing w:val="7"/>
          <w:sz w:val="21"/>
          <w:szCs w:val="21"/>
        </w:rPr>
        <w:t>计算公式：吨水泥综合电耗(千瓦时/吨)=10000×水泥生</w:t>
      </w:r>
      <w:r>
        <w:rPr>
          <w:rFonts w:ascii="宋体" w:hAnsi="宋体" w:eastAsia="宋体" w:cs="宋体"/>
          <w:spacing w:val="6"/>
          <w:sz w:val="21"/>
          <w:szCs w:val="21"/>
        </w:rPr>
        <w:t>产综合电力消费量(万千瓦时)/水泥产</w:t>
      </w:r>
    </w:p>
    <w:p w14:paraId="3212E987">
      <w:pPr>
        <w:spacing w:before="104" w:line="222" w:lineRule="auto"/>
        <w:ind w:left="4490"/>
        <w:rPr>
          <w:rFonts w:ascii="宋体" w:hAnsi="宋体" w:eastAsia="宋体" w:cs="宋体"/>
          <w:sz w:val="21"/>
          <w:szCs w:val="21"/>
        </w:rPr>
      </w:pPr>
      <w:r>
        <w:rPr>
          <w:rFonts w:ascii="宋体" w:hAnsi="宋体" w:eastAsia="宋体" w:cs="宋体"/>
          <w:spacing w:val="33"/>
          <w:sz w:val="21"/>
          <w:szCs w:val="21"/>
        </w:rPr>
        <w:t>量(吨)</w:t>
      </w:r>
    </w:p>
    <w:p w14:paraId="7A94D870">
      <w:pPr>
        <w:spacing w:before="114" w:line="297" w:lineRule="auto"/>
        <w:ind w:left="10" w:right="70" w:firstLine="420"/>
        <w:jc w:val="both"/>
        <w:rPr>
          <w:rFonts w:ascii="宋体" w:hAnsi="宋体" w:eastAsia="宋体" w:cs="宋体"/>
          <w:sz w:val="21"/>
          <w:szCs w:val="21"/>
        </w:rPr>
      </w:pPr>
      <w:r>
        <w:rPr>
          <w:rFonts w:ascii="宋体" w:hAnsi="宋体" w:eastAsia="宋体" w:cs="宋体"/>
          <w:spacing w:val="3"/>
          <w:sz w:val="21"/>
          <w:szCs w:val="21"/>
        </w:rPr>
        <w:t>分子项：</w:t>
      </w:r>
      <w:r>
        <w:rPr>
          <w:rFonts w:ascii="宋体" w:hAnsi="宋体" w:eastAsia="宋体" w:cs="宋体"/>
          <w:spacing w:val="116"/>
          <w:sz w:val="21"/>
          <w:szCs w:val="21"/>
        </w:rPr>
        <w:t xml:space="preserve"> </w:t>
      </w:r>
      <w:r>
        <w:rPr>
          <w:rFonts w:ascii="宋体" w:hAnsi="宋体" w:eastAsia="宋体" w:cs="宋体"/>
          <w:spacing w:val="3"/>
          <w:sz w:val="21"/>
          <w:szCs w:val="21"/>
        </w:rPr>
        <w:t>水泥生产综合电力消费量。指生产水泥(不分品种、标号)所消耗的电力。消耗的电力</w:t>
      </w:r>
      <w:r>
        <w:rPr>
          <w:rFonts w:ascii="宋体" w:hAnsi="宋体" w:eastAsia="宋体" w:cs="宋体"/>
          <w:sz w:val="21"/>
          <w:szCs w:val="21"/>
        </w:rPr>
        <w:t xml:space="preserve"> </w:t>
      </w:r>
      <w:r>
        <w:rPr>
          <w:rFonts w:ascii="宋体" w:hAnsi="宋体" w:eastAsia="宋体" w:cs="宋体"/>
          <w:spacing w:val="-2"/>
          <w:sz w:val="21"/>
          <w:szCs w:val="21"/>
        </w:rPr>
        <w:t>应包括：水泥工序电耗，水泥所消耗的熟料、石膏、混合材的电力消耗量，水泥出厂时，进行包装或者</w:t>
      </w:r>
      <w:r>
        <w:rPr>
          <w:rFonts w:ascii="宋体" w:hAnsi="宋体" w:eastAsia="宋体" w:cs="宋体"/>
          <w:spacing w:val="8"/>
          <w:sz w:val="21"/>
          <w:szCs w:val="21"/>
        </w:rPr>
        <w:t xml:space="preserve"> </w:t>
      </w:r>
      <w:r>
        <w:rPr>
          <w:rFonts w:ascii="宋体" w:hAnsi="宋体" w:eastAsia="宋体" w:cs="宋体"/>
          <w:spacing w:val="-1"/>
          <w:sz w:val="21"/>
          <w:szCs w:val="21"/>
        </w:rPr>
        <w:t>散装所消耗的电力。为各种辅助用电，如机修、供热、供水、供风、化验等</w:t>
      </w:r>
      <w:r>
        <w:rPr>
          <w:rFonts w:ascii="宋体" w:hAnsi="宋体" w:eastAsia="宋体" w:cs="宋体"/>
          <w:spacing w:val="-2"/>
          <w:sz w:val="21"/>
          <w:szCs w:val="21"/>
        </w:rPr>
        <w:t>辅助用电，变电、配电、线</w:t>
      </w:r>
      <w:r>
        <w:rPr>
          <w:rFonts w:ascii="宋体" w:hAnsi="宋体" w:eastAsia="宋体" w:cs="宋体"/>
          <w:sz w:val="21"/>
          <w:szCs w:val="21"/>
        </w:rPr>
        <w:t xml:space="preserve"> </w:t>
      </w:r>
      <w:r>
        <w:rPr>
          <w:rFonts w:ascii="宋体" w:hAnsi="宋体" w:eastAsia="宋体" w:cs="宋体"/>
          <w:spacing w:val="-2"/>
          <w:sz w:val="21"/>
          <w:szCs w:val="21"/>
        </w:rPr>
        <w:t>路损失的电力，厂区、办公室、仓库照明用电，如果企业除生产水泥外，还生产其他产品，则要按比例</w:t>
      </w:r>
      <w:r>
        <w:rPr>
          <w:rFonts w:ascii="宋体" w:hAnsi="宋体" w:eastAsia="宋体" w:cs="宋体"/>
          <w:spacing w:val="16"/>
          <w:sz w:val="21"/>
          <w:szCs w:val="21"/>
        </w:rPr>
        <w:t xml:space="preserve"> </w:t>
      </w:r>
      <w:r>
        <w:rPr>
          <w:rFonts w:ascii="宋体" w:hAnsi="宋体" w:eastAsia="宋体" w:cs="宋体"/>
          <w:spacing w:val="-5"/>
          <w:sz w:val="21"/>
          <w:szCs w:val="21"/>
        </w:rPr>
        <w:t>进行合理分摊。</w:t>
      </w:r>
    </w:p>
    <w:p w14:paraId="2DE5BD57">
      <w:pPr>
        <w:spacing w:before="112" w:line="278" w:lineRule="auto"/>
        <w:ind w:left="2959" w:right="92" w:hanging="2529"/>
        <w:rPr>
          <w:rFonts w:ascii="宋体" w:hAnsi="宋体" w:eastAsia="宋体" w:cs="宋体"/>
          <w:sz w:val="21"/>
          <w:szCs w:val="21"/>
        </w:rPr>
      </w:pPr>
      <w:r>
        <w:rPr>
          <w:rFonts w:ascii="宋体" w:hAnsi="宋体" w:eastAsia="宋体" w:cs="宋体"/>
          <w:sz w:val="21"/>
          <w:szCs w:val="21"/>
        </w:rPr>
        <w:t>水泥生产综合电力消费量=水泥粉磨及包装工序耗电量+熟料消耗量×本</w:t>
      </w:r>
      <w:r>
        <w:rPr>
          <w:rFonts w:ascii="宋体" w:hAnsi="宋体" w:eastAsia="宋体" w:cs="宋体"/>
          <w:spacing w:val="-1"/>
          <w:sz w:val="21"/>
          <w:szCs w:val="21"/>
        </w:rPr>
        <w:t>期每吨熟料电力消耗量+混</w:t>
      </w:r>
      <w:r>
        <w:rPr>
          <w:rFonts w:ascii="宋体" w:hAnsi="宋体" w:eastAsia="宋体" w:cs="宋体"/>
          <w:sz w:val="21"/>
          <w:szCs w:val="21"/>
        </w:rPr>
        <w:t xml:space="preserve"> </w:t>
      </w:r>
      <w:r>
        <w:rPr>
          <w:rFonts w:ascii="宋体" w:hAnsi="宋体" w:eastAsia="宋体" w:cs="宋体"/>
          <w:spacing w:val="-6"/>
          <w:sz w:val="21"/>
          <w:szCs w:val="21"/>
        </w:rPr>
        <w:t>合材消耗量×本期每吨混合材电力消耗量+石膏消耗量×本期每吨石</w:t>
      </w:r>
      <w:r>
        <w:rPr>
          <w:rFonts w:ascii="宋体" w:hAnsi="宋体" w:eastAsia="宋体" w:cs="宋体"/>
          <w:spacing w:val="-7"/>
          <w:sz w:val="21"/>
          <w:szCs w:val="21"/>
        </w:rPr>
        <w:t>膏电</w:t>
      </w:r>
      <w:r>
        <w:rPr>
          <w:rFonts w:ascii="宋体" w:hAnsi="宋体" w:eastAsia="宋体" w:cs="宋体"/>
          <w:sz w:val="21"/>
          <w:szCs w:val="21"/>
        </w:rPr>
        <w:t xml:space="preserve"> </w:t>
      </w:r>
      <w:r>
        <w:rPr>
          <w:rFonts w:ascii="宋体" w:hAnsi="宋体" w:eastAsia="宋体" w:cs="宋体"/>
          <w:spacing w:val="-1"/>
          <w:sz w:val="21"/>
          <w:szCs w:val="21"/>
        </w:rPr>
        <w:t>力消耗量+应分摊的辅助用电量</w:t>
      </w:r>
    </w:p>
    <w:p w14:paraId="610DC82F">
      <w:pPr>
        <w:spacing w:before="127" w:line="216" w:lineRule="auto"/>
        <w:ind w:left="430"/>
        <w:rPr>
          <w:rFonts w:ascii="宋体" w:hAnsi="宋体" w:eastAsia="宋体" w:cs="宋体"/>
          <w:sz w:val="21"/>
          <w:szCs w:val="21"/>
        </w:rPr>
      </w:pPr>
      <w:r>
        <w:rPr>
          <w:rFonts w:ascii="宋体" w:hAnsi="宋体" w:eastAsia="宋体" w:cs="宋体"/>
          <w:spacing w:val="8"/>
          <w:sz w:val="21"/>
          <w:szCs w:val="21"/>
        </w:rPr>
        <w:t>只进行水泥生产的企业(俗称水泥粉磨站),水泥生产综合电力消费量</w:t>
      </w:r>
    </w:p>
    <w:p w14:paraId="18DD848D">
      <w:pPr>
        <w:spacing w:before="107" w:line="370" w:lineRule="exact"/>
        <w:ind w:left="430"/>
        <w:rPr>
          <w:rFonts w:ascii="宋体" w:hAnsi="宋体" w:eastAsia="宋体" w:cs="宋体"/>
          <w:sz w:val="21"/>
          <w:szCs w:val="21"/>
        </w:rPr>
      </w:pPr>
      <w:r>
        <w:rPr>
          <w:rFonts w:ascii="宋体" w:hAnsi="宋体" w:eastAsia="宋体" w:cs="宋体"/>
          <w:spacing w:val="1"/>
          <w:position w:val="12"/>
          <w:sz w:val="21"/>
          <w:szCs w:val="21"/>
        </w:rPr>
        <w:t>=水泥粉磨及包装工序耗电量+水泥粉磨原料消耗量</w:t>
      </w:r>
      <w:r>
        <w:rPr>
          <w:rFonts w:ascii="宋体" w:hAnsi="宋体" w:eastAsia="宋体" w:cs="宋体"/>
          <w:position w:val="12"/>
          <w:sz w:val="21"/>
          <w:szCs w:val="21"/>
        </w:rPr>
        <w:t>×本期每吨原料进厂工序电耗+水泥发运工序耗</w:t>
      </w:r>
    </w:p>
    <w:p w14:paraId="77F2FB6F">
      <w:pPr>
        <w:spacing w:before="1" w:line="219" w:lineRule="auto"/>
        <w:ind w:left="670"/>
        <w:rPr>
          <w:rFonts w:ascii="宋体" w:hAnsi="宋体" w:eastAsia="宋体" w:cs="宋体"/>
          <w:sz w:val="21"/>
          <w:szCs w:val="21"/>
        </w:rPr>
      </w:pPr>
      <w:r>
        <w:rPr>
          <w:rFonts w:ascii="宋体" w:hAnsi="宋体" w:eastAsia="宋体" w:cs="宋体"/>
          <w:spacing w:val="-3"/>
          <w:sz w:val="21"/>
          <w:szCs w:val="21"/>
        </w:rPr>
        <w:t>电+应分摊的辅助用电量</w:t>
      </w:r>
    </w:p>
    <w:p w14:paraId="54B9985C">
      <w:pPr>
        <w:spacing w:line="219" w:lineRule="auto"/>
        <w:rPr>
          <w:rFonts w:ascii="宋体" w:hAnsi="宋体" w:eastAsia="宋体" w:cs="宋体"/>
          <w:sz w:val="21"/>
          <w:szCs w:val="21"/>
        </w:rPr>
        <w:sectPr>
          <w:headerReference r:id="rId44" w:type="default"/>
          <w:pgSz w:w="11910" w:h="16840"/>
          <w:pgMar w:top="1109" w:right="1195" w:bottom="400" w:left="1239" w:header="838" w:footer="0" w:gutter="0"/>
          <w:cols w:space="720" w:num="1"/>
        </w:sectPr>
      </w:pPr>
    </w:p>
    <w:p w14:paraId="7C8A1C31">
      <w:pPr>
        <w:pStyle w:val="2"/>
        <w:spacing w:line="298" w:lineRule="auto"/>
      </w:pPr>
    </w:p>
    <w:p w14:paraId="533AF21B">
      <w:pPr>
        <w:spacing w:before="68" w:line="219" w:lineRule="auto"/>
        <w:ind w:left="410"/>
        <w:rPr>
          <w:rFonts w:ascii="宋体" w:hAnsi="宋体" w:eastAsia="宋体" w:cs="宋体"/>
          <w:sz w:val="21"/>
          <w:szCs w:val="21"/>
        </w:rPr>
      </w:pPr>
      <w:r>
        <w:rPr>
          <w:rFonts w:ascii="宋体" w:hAnsi="宋体" w:eastAsia="宋体" w:cs="宋体"/>
          <w:spacing w:val="-3"/>
          <w:sz w:val="21"/>
          <w:szCs w:val="21"/>
        </w:rPr>
        <w:t>分母项：水泥产量。说明同上。</w:t>
      </w:r>
    </w:p>
    <w:p w14:paraId="0EDF2866">
      <w:pPr>
        <w:pStyle w:val="2"/>
        <w:spacing w:line="395" w:lineRule="auto"/>
      </w:pPr>
    </w:p>
    <w:p w14:paraId="0D1399BF">
      <w:pPr>
        <w:spacing w:before="68" w:line="221" w:lineRule="auto"/>
        <w:ind w:left="413"/>
        <w:rPr>
          <w:rFonts w:ascii="黑体" w:hAnsi="黑体" w:eastAsia="黑体" w:cs="黑体"/>
          <w:sz w:val="21"/>
          <w:szCs w:val="21"/>
        </w:rPr>
      </w:pPr>
      <w:r>
        <w:rPr>
          <w:rFonts w:ascii="黑体" w:hAnsi="黑体" w:eastAsia="黑体" w:cs="黑体"/>
          <w:b/>
          <w:bCs/>
          <w:spacing w:val="10"/>
          <w:sz w:val="21"/>
          <w:szCs w:val="21"/>
        </w:rPr>
        <w:t>平板玻璃(30)</w:t>
      </w:r>
    </w:p>
    <w:p w14:paraId="6D4FA00F">
      <w:pPr>
        <w:spacing w:before="102" w:line="219" w:lineRule="auto"/>
        <w:ind w:left="410"/>
        <w:rPr>
          <w:rFonts w:ascii="宋体" w:hAnsi="宋体" w:eastAsia="宋体" w:cs="宋体"/>
          <w:sz w:val="21"/>
          <w:szCs w:val="21"/>
        </w:rPr>
      </w:pPr>
      <w:r>
        <w:rPr>
          <w:rFonts w:ascii="宋体" w:hAnsi="宋体" w:eastAsia="宋体" w:cs="宋体"/>
          <w:spacing w:val="-2"/>
          <w:sz w:val="21"/>
          <w:szCs w:val="21"/>
        </w:rPr>
        <w:t>平板玻璃生产工艺分为：浮法、垂直引上、格法、平拉、其他。</w:t>
      </w:r>
    </w:p>
    <w:p w14:paraId="0989D062">
      <w:pPr>
        <w:spacing w:before="117" w:line="221" w:lineRule="auto"/>
        <w:ind w:left="413"/>
        <w:rPr>
          <w:rFonts w:ascii="黑体" w:hAnsi="黑体" w:eastAsia="黑体" w:cs="黑体"/>
          <w:sz w:val="21"/>
          <w:szCs w:val="21"/>
        </w:rPr>
      </w:pPr>
      <w:r>
        <w:rPr>
          <w:rFonts w:ascii="黑体" w:hAnsi="黑体" w:eastAsia="黑体" w:cs="黑体"/>
          <w:b/>
          <w:bCs/>
          <w:spacing w:val="-4"/>
          <w:sz w:val="21"/>
          <w:szCs w:val="21"/>
        </w:rPr>
        <w:t>每重量箱平板玻璃综合能耗</w:t>
      </w:r>
    </w:p>
    <w:p w14:paraId="479BB4AA">
      <w:pPr>
        <w:spacing w:before="102" w:line="370" w:lineRule="exact"/>
        <w:ind w:left="410"/>
        <w:rPr>
          <w:rFonts w:ascii="宋体" w:hAnsi="宋体" w:eastAsia="宋体" w:cs="宋体"/>
          <w:sz w:val="21"/>
          <w:szCs w:val="21"/>
        </w:rPr>
      </w:pPr>
      <w:r>
        <w:rPr>
          <w:rFonts w:ascii="宋体" w:hAnsi="宋体" w:eastAsia="宋体" w:cs="宋体"/>
          <w:spacing w:val="1"/>
          <w:position w:val="12"/>
          <w:sz w:val="21"/>
          <w:szCs w:val="21"/>
        </w:rPr>
        <w:t>计算公式：每重量箱平板玻璃综合能耗(千克标准煤/</w:t>
      </w:r>
      <w:r>
        <w:rPr>
          <w:rFonts w:ascii="宋体" w:hAnsi="宋体" w:eastAsia="宋体" w:cs="宋体"/>
          <w:position w:val="12"/>
          <w:sz w:val="21"/>
          <w:szCs w:val="21"/>
        </w:rPr>
        <w:t>重量箱)=1000×平板玻璃综合能源消耗量(吨</w:t>
      </w:r>
    </w:p>
    <w:p w14:paraId="28C0B0A8">
      <w:pPr>
        <w:spacing w:before="1" w:line="218" w:lineRule="auto"/>
        <w:ind w:left="6219"/>
        <w:rPr>
          <w:rFonts w:ascii="宋体" w:hAnsi="宋体" w:eastAsia="宋体" w:cs="宋体"/>
          <w:sz w:val="21"/>
          <w:szCs w:val="21"/>
        </w:rPr>
      </w:pPr>
      <w:r>
        <w:rPr>
          <w:rFonts w:ascii="宋体" w:hAnsi="宋体" w:eastAsia="宋体" w:cs="宋体"/>
          <w:spacing w:val="11"/>
          <w:sz w:val="21"/>
          <w:szCs w:val="21"/>
        </w:rPr>
        <w:t>标准煤)/平板玻璃产量(重量箱)</w:t>
      </w:r>
    </w:p>
    <w:p w14:paraId="6ACE9E63">
      <w:pPr>
        <w:spacing w:before="102" w:line="284" w:lineRule="auto"/>
        <w:ind w:left="10" w:right="76" w:firstLine="400"/>
        <w:jc w:val="both"/>
        <w:rPr>
          <w:rFonts w:ascii="宋体" w:hAnsi="宋体" w:eastAsia="宋体" w:cs="宋体"/>
          <w:sz w:val="21"/>
          <w:szCs w:val="21"/>
        </w:rPr>
      </w:pPr>
      <w:r>
        <w:rPr>
          <w:rFonts w:ascii="宋体" w:hAnsi="宋体" w:eastAsia="宋体" w:cs="宋体"/>
          <w:spacing w:val="-2"/>
          <w:sz w:val="21"/>
          <w:szCs w:val="21"/>
        </w:rPr>
        <w:t>分子项：平板玻璃综合能源消耗量。包括生产平板玻璃直接消耗的各种能源、辅助生产系统和附属</w:t>
      </w:r>
      <w:r>
        <w:rPr>
          <w:rFonts w:ascii="宋体" w:hAnsi="宋体" w:eastAsia="宋体" w:cs="宋体"/>
          <w:spacing w:val="12"/>
          <w:sz w:val="21"/>
          <w:szCs w:val="21"/>
        </w:rPr>
        <w:t xml:space="preserve"> </w:t>
      </w:r>
      <w:r>
        <w:rPr>
          <w:rFonts w:ascii="宋体" w:hAnsi="宋体" w:eastAsia="宋体" w:cs="宋体"/>
          <w:spacing w:val="-2"/>
          <w:sz w:val="21"/>
          <w:szCs w:val="21"/>
        </w:rPr>
        <w:t>生产系统消耗的一次能源和二次能源，以及需要分摊的企业内部亏损能源。不包括用于基本建设、生活</w:t>
      </w:r>
      <w:r>
        <w:rPr>
          <w:rFonts w:ascii="宋体" w:hAnsi="宋体" w:eastAsia="宋体" w:cs="宋体"/>
          <w:spacing w:val="7"/>
          <w:sz w:val="21"/>
          <w:szCs w:val="21"/>
        </w:rPr>
        <w:t xml:space="preserve"> </w:t>
      </w:r>
      <w:r>
        <w:rPr>
          <w:rFonts w:ascii="宋体" w:hAnsi="宋体" w:eastAsia="宋体" w:cs="宋体"/>
          <w:spacing w:val="-2"/>
          <w:sz w:val="21"/>
          <w:szCs w:val="21"/>
        </w:rPr>
        <w:t>福利设施等非工业生产所消耗的能源和回收利用的余能等。</w:t>
      </w:r>
    </w:p>
    <w:p w14:paraId="7AE47349">
      <w:pPr>
        <w:spacing w:before="110" w:line="371" w:lineRule="exact"/>
        <w:ind w:left="410"/>
        <w:rPr>
          <w:rFonts w:ascii="宋体" w:hAnsi="宋体" w:eastAsia="宋体" w:cs="宋体"/>
          <w:sz w:val="21"/>
          <w:szCs w:val="21"/>
        </w:rPr>
      </w:pPr>
      <w:r>
        <w:rPr>
          <w:rFonts w:ascii="宋体" w:hAnsi="宋体" w:eastAsia="宋体" w:cs="宋体"/>
          <w:spacing w:val="-1"/>
          <w:position w:val="12"/>
          <w:sz w:val="21"/>
          <w:szCs w:val="21"/>
        </w:rPr>
        <w:t>分母项：平板玻璃产量。包括浮法、垂直引上、格法、</w:t>
      </w:r>
      <w:r>
        <w:rPr>
          <w:rFonts w:ascii="宋体" w:hAnsi="宋体" w:eastAsia="宋体" w:cs="宋体"/>
          <w:spacing w:val="-2"/>
          <w:position w:val="12"/>
          <w:sz w:val="21"/>
          <w:szCs w:val="21"/>
        </w:rPr>
        <w:t>平拉等各种生产工艺生产的平板玻璃。计量</w:t>
      </w:r>
    </w:p>
    <w:p w14:paraId="31279CD0">
      <w:pPr>
        <w:spacing w:before="1" w:line="220" w:lineRule="auto"/>
        <w:ind w:left="10"/>
        <w:rPr>
          <w:rFonts w:ascii="宋体" w:hAnsi="宋体" w:eastAsia="宋体" w:cs="宋体"/>
          <w:sz w:val="21"/>
          <w:szCs w:val="21"/>
        </w:rPr>
      </w:pPr>
      <w:r>
        <w:rPr>
          <w:rFonts w:ascii="宋体" w:hAnsi="宋体" w:eastAsia="宋体" w:cs="宋体"/>
          <w:spacing w:val="-5"/>
          <w:sz w:val="21"/>
          <w:szCs w:val="21"/>
        </w:rPr>
        <w:t>单位为重量箱。</w:t>
      </w:r>
    </w:p>
    <w:p w14:paraId="55E59348">
      <w:pPr>
        <w:spacing w:before="113" w:line="220" w:lineRule="auto"/>
        <w:ind w:left="413"/>
        <w:rPr>
          <w:rFonts w:ascii="黑体" w:hAnsi="黑体" w:eastAsia="黑体" w:cs="黑体"/>
          <w:sz w:val="21"/>
          <w:szCs w:val="21"/>
        </w:rPr>
      </w:pPr>
      <w:r>
        <w:rPr>
          <w:rFonts w:ascii="黑体" w:hAnsi="黑体" w:eastAsia="黑体" w:cs="黑体"/>
          <w:b/>
          <w:bCs/>
          <w:spacing w:val="-6"/>
          <w:sz w:val="21"/>
          <w:szCs w:val="21"/>
        </w:rPr>
        <w:t>每重量箱平板玻璃耗燃油</w:t>
      </w:r>
    </w:p>
    <w:p w14:paraId="521446E0">
      <w:pPr>
        <w:spacing w:before="114" w:line="219" w:lineRule="auto"/>
        <w:ind w:right="18"/>
        <w:jc w:val="right"/>
        <w:rPr>
          <w:rFonts w:ascii="宋体" w:hAnsi="宋体" w:eastAsia="宋体" w:cs="宋体"/>
          <w:sz w:val="21"/>
          <w:szCs w:val="21"/>
        </w:rPr>
      </w:pPr>
      <w:r>
        <w:rPr>
          <w:rFonts w:ascii="宋体" w:hAnsi="宋体" w:eastAsia="宋体" w:cs="宋体"/>
          <w:spacing w:val="-2"/>
          <w:sz w:val="21"/>
          <w:szCs w:val="21"/>
        </w:rPr>
        <w:t>计算公式：每重量箱平板玻璃耗燃油(千克/重量箱)=1000×燃油消耗量(吨)/平</w:t>
      </w:r>
      <w:r>
        <w:rPr>
          <w:rFonts w:ascii="宋体" w:hAnsi="宋体" w:eastAsia="宋体" w:cs="宋体"/>
          <w:spacing w:val="-3"/>
          <w:sz w:val="21"/>
          <w:szCs w:val="21"/>
        </w:rPr>
        <w:t>板玻璃产量(重量箱)</w:t>
      </w:r>
    </w:p>
    <w:p w14:paraId="534DAD15">
      <w:pPr>
        <w:spacing w:before="101" w:line="219" w:lineRule="auto"/>
        <w:ind w:left="410"/>
        <w:rPr>
          <w:rFonts w:ascii="宋体" w:hAnsi="宋体" w:eastAsia="宋体" w:cs="宋体"/>
          <w:sz w:val="21"/>
          <w:szCs w:val="21"/>
        </w:rPr>
      </w:pPr>
      <w:r>
        <w:rPr>
          <w:rFonts w:ascii="宋体" w:hAnsi="宋体" w:eastAsia="宋体" w:cs="宋体"/>
          <w:spacing w:val="-2"/>
          <w:sz w:val="21"/>
          <w:szCs w:val="21"/>
        </w:rPr>
        <w:t>分子项：燃油消耗量。指生产平板玻璃的重油、煤焦油、燃料油的消耗量。</w:t>
      </w:r>
    </w:p>
    <w:p w14:paraId="1F77DDA3">
      <w:pPr>
        <w:spacing w:before="111" w:line="219" w:lineRule="auto"/>
        <w:ind w:left="410"/>
        <w:rPr>
          <w:rFonts w:ascii="宋体" w:hAnsi="宋体" w:eastAsia="宋体" w:cs="宋体"/>
          <w:sz w:val="21"/>
          <w:szCs w:val="21"/>
        </w:rPr>
      </w:pPr>
      <w:r>
        <w:rPr>
          <w:rFonts w:ascii="宋体" w:hAnsi="宋体" w:eastAsia="宋体" w:cs="宋体"/>
          <w:spacing w:val="-4"/>
          <w:sz w:val="21"/>
          <w:szCs w:val="21"/>
        </w:rPr>
        <w:t>分母项：平板玻璃产量。计量单位为重量箱。</w:t>
      </w:r>
    </w:p>
    <w:p w14:paraId="71167EFD">
      <w:pPr>
        <w:spacing w:before="117" w:line="221" w:lineRule="auto"/>
        <w:ind w:left="413"/>
        <w:rPr>
          <w:rFonts w:ascii="黑体" w:hAnsi="黑体" w:eastAsia="黑体" w:cs="黑体"/>
          <w:sz w:val="21"/>
          <w:szCs w:val="21"/>
        </w:rPr>
      </w:pPr>
      <w:r>
        <w:rPr>
          <w:rFonts w:ascii="黑体" w:hAnsi="黑体" w:eastAsia="黑体" w:cs="黑体"/>
          <w:b/>
          <w:bCs/>
          <w:spacing w:val="-6"/>
          <w:sz w:val="21"/>
          <w:szCs w:val="21"/>
        </w:rPr>
        <w:t>每重量箱平板玻璃耗电</w:t>
      </w:r>
    </w:p>
    <w:p w14:paraId="6786E922">
      <w:pPr>
        <w:spacing w:before="112" w:line="264" w:lineRule="auto"/>
        <w:ind w:left="5469" w:right="123" w:hanging="5059"/>
        <w:rPr>
          <w:rFonts w:ascii="宋体" w:hAnsi="宋体" w:eastAsia="宋体" w:cs="宋体"/>
          <w:sz w:val="21"/>
          <w:szCs w:val="21"/>
        </w:rPr>
      </w:pPr>
      <w:r>
        <w:rPr>
          <w:rFonts w:ascii="宋体" w:hAnsi="宋体" w:eastAsia="宋体" w:cs="宋体"/>
          <w:spacing w:val="7"/>
          <w:sz w:val="21"/>
          <w:szCs w:val="21"/>
        </w:rPr>
        <w:t>计算公式：每重量箱平板玻璃耗电(千瓦时/重量箱)=100</w:t>
      </w:r>
      <w:r>
        <w:rPr>
          <w:rFonts w:ascii="宋体" w:hAnsi="宋体" w:eastAsia="宋体" w:cs="宋体"/>
          <w:spacing w:val="6"/>
          <w:sz w:val="21"/>
          <w:szCs w:val="21"/>
        </w:rPr>
        <w:t>00×电力消耗量(万千瓦时)/平板玻璃</w:t>
      </w:r>
      <w:r>
        <w:rPr>
          <w:rFonts w:ascii="宋体" w:hAnsi="宋体" w:eastAsia="宋体" w:cs="宋体"/>
          <w:sz w:val="21"/>
          <w:szCs w:val="21"/>
        </w:rPr>
        <w:t xml:space="preserve"> </w:t>
      </w:r>
      <w:r>
        <w:rPr>
          <w:rFonts w:ascii="宋体" w:hAnsi="宋体" w:eastAsia="宋体" w:cs="宋体"/>
          <w:spacing w:val="19"/>
          <w:sz w:val="21"/>
          <w:szCs w:val="21"/>
        </w:rPr>
        <w:t>产量(重量箱)</w:t>
      </w:r>
    </w:p>
    <w:p w14:paraId="2C0ED96D">
      <w:pPr>
        <w:spacing w:before="121" w:line="284" w:lineRule="auto"/>
        <w:ind w:left="10" w:firstLine="400"/>
        <w:jc w:val="both"/>
        <w:rPr>
          <w:rFonts w:ascii="宋体" w:hAnsi="宋体" w:eastAsia="宋体" w:cs="宋体"/>
          <w:sz w:val="21"/>
          <w:szCs w:val="21"/>
        </w:rPr>
      </w:pPr>
      <w:r>
        <w:rPr>
          <w:rFonts w:ascii="宋体" w:hAnsi="宋体" w:eastAsia="宋体" w:cs="宋体"/>
          <w:spacing w:val="-4"/>
          <w:sz w:val="21"/>
          <w:szCs w:val="21"/>
        </w:rPr>
        <w:t>分子项：电力消耗量。指生产平板玻璃时的生产用电</w:t>
      </w:r>
      <w:r>
        <w:rPr>
          <w:rFonts w:ascii="宋体" w:hAnsi="宋体" w:eastAsia="宋体" w:cs="宋体"/>
          <w:spacing w:val="-5"/>
          <w:sz w:val="21"/>
          <w:szCs w:val="21"/>
        </w:rPr>
        <w:t>，包括辅助、附属生产用电，以及厂区、车间、</w:t>
      </w:r>
      <w:r>
        <w:rPr>
          <w:rFonts w:ascii="宋体" w:hAnsi="宋体" w:eastAsia="宋体" w:cs="宋体"/>
          <w:sz w:val="21"/>
          <w:szCs w:val="21"/>
        </w:rPr>
        <w:t xml:space="preserve"> </w:t>
      </w:r>
      <w:r>
        <w:rPr>
          <w:rFonts w:ascii="宋体" w:hAnsi="宋体" w:eastAsia="宋体" w:cs="宋体"/>
          <w:spacing w:val="-2"/>
          <w:sz w:val="21"/>
          <w:szCs w:val="21"/>
        </w:rPr>
        <w:t xml:space="preserve">办公室、仓库照明用电。为多种生产服务的辅助、附属生产部门电力消耗，按其为生产平板玻璃服务的 </w:t>
      </w:r>
      <w:r>
        <w:rPr>
          <w:rFonts w:ascii="宋体" w:hAnsi="宋体" w:eastAsia="宋体" w:cs="宋体"/>
          <w:spacing w:val="-3"/>
          <w:sz w:val="21"/>
          <w:szCs w:val="21"/>
        </w:rPr>
        <w:t>工作量进行分摊。分摊系数由企业自定。</w:t>
      </w:r>
    </w:p>
    <w:p w14:paraId="3BFE532D">
      <w:pPr>
        <w:spacing w:before="100" w:line="219" w:lineRule="auto"/>
        <w:ind w:left="410"/>
        <w:rPr>
          <w:rFonts w:ascii="宋体" w:hAnsi="宋体" w:eastAsia="宋体" w:cs="宋体"/>
          <w:sz w:val="21"/>
          <w:szCs w:val="21"/>
        </w:rPr>
      </w:pPr>
      <w:r>
        <w:rPr>
          <w:rFonts w:ascii="宋体" w:hAnsi="宋体" w:eastAsia="宋体" w:cs="宋体"/>
          <w:spacing w:val="-4"/>
          <w:sz w:val="21"/>
          <w:szCs w:val="21"/>
        </w:rPr>
        <w:t>分母项：平板玻璃产量。计量单位为重量箱。</w:t>
      </w:r>
    </w:p>
    <w:p w14:paraId="1FBE3610">
      <w:pPr>
        <w:pStyle w:val="2"/>
        <w:spacing w:line="396" w:lineRule="auto"/>
      </w:pPr>
    </w:p>
    <w:p w14:paraId="359A1C87">
      <w:pPr>
        <w:spacing w:before="69" w:line="372" w:lineRule="exact"/>
        <w:ind w:left="413"/>
        <w:rPr>
          <w:rFonts w:ascii="黑体" w:hAnsi="黑体" w:eastAsia="黑体" w:cs="黑体"/>
          <w:sz w:val="21"/>
          <w:szCs w:val="21"/>
        </w:rPr>
      </w:pPr>
      <w:r>
        <w:rPr>
          <w:rFonts w:ascii="黑体" w:hAnsi="黑体" w:eastAsia="黑体" w:cs="黑体"/>
          <w:b/>
          <w:bCs/>
          <w:spacing w:val="-6"/>
          <w:position w:val="12"/>
          <w:sz w:val="21"/>
          <w:szCs w:val="21"/>
        </w:rPr>
        <w:t>钢铁工业有关概念</w:t>
      </w:r>
    </w:p>
    <w:p w14:paraId="26AD4A49">
      <w:pPr>
        <w:spacing w:line="223" w:lineRule="auto"/>
        <w:ind w:left="413"/>
        <w:rPr>
          <w:rFonts w:ascii="黑体" w:hAnsi="黑体" w:eastAsia="黑体" w:cs="黑体"/>
          <w:sz w:val="21"/>
          <w:szCs w:val="21"/>
        </w:rPr>
      </w:pPr>
      <w:r>
        <w:rPr>
          <w:rFonts w:ascii="黑体" w:hAnsi="黑体" w:eastAsia="黑体" w:cs="黑体"/>
          <w:b/>
          <w:bCs/>
          <w:spacing w:val="-7"/>
          <w:sz w:val="21"/>
          <w:szCs w:val="21"/>
        </w:rPr>
        <w:t>钢铁工业生产</w:t>
      </w:r>
    </w:p>
    <w:p w14:paraId="6A7060C4">
      <w:pPr>
        <w:spacing w:before="109" w:line="297" w:lineRule="auto"/>
        <w:ind w:left="10" w:right="56" w:firstLine="400"/>
        <w:jc w:val="both"/>
        <w:rPr>
          <w:rFonts w:ascii="宋体" w:hAnsi="宋体" w:eastAsia="宋体" w:cs="宋体"/>
          <w:sz w:val="21"/>
          <w:szCs w:val="21"/>
        </w:rPr>
      </w:pPr>
      <w:r>
        <w:rPr>
          <w:rFonts w:ascii="宋体" w:hAnsi="宋体" w:eastAsia="宋体" w:cs="宋体"/>
          <w:spacing w:val="-1"/>
          <w:sz w:val="21"/>
          <w:szCs w:val="21"/>
        </w:rPr>
        <w:t>指铁、铬、锰等黑色金属矿物的采选、人造块矿、铁合金冶炼、炼铁、炼</w:t>
      </w:r>
      <w:r>
        <w:rPr>
          <w:rFonts w:ascii="宋体" w:hAnsi="宋体" w:eastAsia="宋体" w:cs="宋体"/>
          <w:spacing w:val="-2"/>
          <w:sz w:val="21"/>
          <w:szCs w:val="21"/>
        </w:rPr>
        <w:t>钢、钢加工、钢丝及其制</w:t>
      </w:r>
      <w:r>
        <w:rPr>
          <w:rFonts w:ascii="宋体" w:hAnsi="宋体" w:eastAsia="宋体" w:cs="宋体"/>
          <w:sz w:val="21"/>
          <w:szCs w:val="21"/>
        </w:rPr>
        <w:t xml:space="preserve"> </w:t>
      </w:r>
      <w:r>
        <w:rPr>
          <w:rFonts w:ascii="宋体" w:hAnsi="宋体" w:eastAsia="宋体" w:cs="宋体"/>
          <w:spacing w:val="-2"/>
          <w:sz w:val="21"/>
          <w:szCs w:val="21"/>
        </w:rPr>
        <w:t>品、焦炭、耐火材料制品、碳素制品和为钢铁工业生产服务的运输、机修、动力等生产。  钢铁产品主</w:t>
      </w:r>
      <w:r>
        <w:rPr>
          <w:rFonts w:ascii="宋体" w:hAnsi="宋体" w:eastAsia="宋体" w:cs="宋体"/>
          <w:spacing w:val="14"/>
          <w:sz w:val="21"/>
          <w:szCs w:val="21"/>
        </w:rPr>
        <w:t xml:space="preserve"> </w:t>
      </w:r>
      <w:r>
        <w:rPr>
          <w:rFonts w:ascii="宋体" w:hAnsi="宋体" w:eastAsia="宋体" w:cs="宋体"/>
          <w:spacing w:val="-1"/>
          <w:sz w:val="21"/>
          <w:szCs w:val="21"/>
        </w:rPr>
        <w:t>要有：生铁、粗钢、钢材，生产的主要原材料有：铁矿石及各</w:t>
      </w:r>
      <w:r>
        <w:rPr>
          <w:rFonts w:ascii="宋体" w:hAnsi="宋体" w:eastAsia="宋体" w:cs="宋体"/>
          <w:spacing w:val="-2"/>
          <w:sz w:val="21"/>
          <w:szCs w:val="21"/>
        </w:rPr>
        <w:t>种辅助原料矿及其成品矿、人造块矿、铁</w:t>
      </w:r>
      <w:r>
        <w:rPr>
          <w:rFonts w:ascii="宋体" w:hAnsi="宋体" w:eastAsia="宋体" w:cs="宋体"/>
          <w:sz w:val="21"/>
          <w:szCs w:val="21"/>
        </w:rPr>
        <w:t xml:space="preserve"> </w:t>
      </w:r>
      <w:r>
        <w:rPr>
          <w:rFonts w:ascii="宋体" w:hAnsi="宋体" w:eastAsia="宋体" w:cs="宋体"/>
          <w:spacing w:val="-2"/>
          <w:sz w:val="21"/>
          <w:szCs w:val="21"/>
        </w:rPr>
        <w:t>合金、洗煤、焦炭、焦炉煤气及煤化工产品、耐火材料制品、碳素制品等，钢铁制品主要有：钢丝、钢</w:t>
      </w:r>
      <w:r>
        <w:rPr>
          <w:rFonts w:ascii="宋体" w:hAnsi="宋体" w:eastAsia="宋体" w:cs="宋体"/>
          <w:spacing w:val="12"/>
          <w:sz w:val="21"/>
          <w:szCs w:val="21"/>
        </w:rPr>
        <w:t xml:space="preserve"> </w:t>
      </w:r>
      <w:r>
        <w:rPr>
          <w:rFonts w:ascii="宋体" w:hAnsi="宋体" w:eastAsia="宋体" w:cs="宋体"/>
          <w:spacing w:val="-3"/>
          <w:sz w:val="21"/>
          <w:szCs w:val="21"/>
        </w:rPr>
        <w:t>丝绳、钢绞线、铁丝、铁钉等。</w:t>
      </w:r>
    </w:p>
    <w:p w14:paraId="0D318138">
      <w:pPr>
        <w:spacing w:before="105" w:line="221" w:lineRule="auto"/>
        <w:ind w:left="413"/>
        <w:rPr>
          <w:rFonts w:ascii="黑体" w:hAnsi="黑体" w:eastAsia="黑体" w:cs="黑体"/>
          <w:sz w:val="21"/>
          <w:szCs w:val="21"/>
        </w:rPr>
      </w:pPr>
      <w:r>
        <w:rPr>
          <w:rFonts w:ascii="黑体" w:hAnsi="黑体" w:eastAsia="黑体" w:cs="黑体"/>
          <w:b/>
          <w:bCs/>
          <w:spacing w:val="-5"/>
          <w:sz w:val="21"/>
          <w:szCs w:val="21"/>
        </w:rPr>
        <w:t>企业钢铁工业生产中自耗能源</w:t>
      </w:r>
    </w:p>
    <w:p w14:paraId="20F0CF1D">
      <w:pPr>
        <w:spacing w:before="111" w:line="269" w:lineRule="auto"/>
        <w:ind w:left="10" w:right="66" w:firstLine="400"/>
        <w:rPr>
          <w:rFonts w:ascii="宋体" w:hAnsi="宋体" w:eastAsia="宋体" w:cs="宋体"/>
          <w:sz w:val="21"/>
          <w:szCs w:val="21"/>
        </w:rPr>
      </w:pPr>
      <w:r>
        <w:rPr>
          <w:rFonts w:ascii="宋体" w:hAnsi="宋体" w:eastAsia="宋体" w:cs="宋体"/>
          <w:spacing w:val="-1"/>
          <w:sz w:val="21"/>
          <w:szCs w:val="21"/>
        </w:rPr>
        <w:t>指报告期内钢铁工业生产直接消耗的各种能源及其辅助生产系统、直接为</w:t>
      </w:r>
      <w:r>
        <w:rPr>
          <w:rFonts w:ascii="宋体" w:hAnsi="宋体" w:eastAsia="宋体" w:cs="宋体"/>
          <w:spacing w:val="-2"/>
          <w:sz w:val="21"/>
          <w:szCs w:val="21"/>
        </w:rPr>
        <w:t>钢铁工业生产服务的附属</w:t>
      </w:r>
      <w:r>
        <w:rPr>
          <w:rFonts w:ascii="宋体" w:hAnsi="宋体" w:eastAsia="宋体" w:cs="宋体"/>
          <w:sz w:val="21"/>
          <w:szCs w:val="21"/>
        </w:rPr>
        <w:t xml:space="preserve"> </w:t>
      </w:r>
      <w:r>
        <w:rPr>
          <w:rFonts w:ascii="宋体" w:hAnsi="宋体" w:eastAsia="宋体" w:cs="宋体"/>
          <w:spacing w:val="-1"/>
          <w:sz w:val="21"/>
          <w:szCs w:val="21"/>
        </w:rPr>
        <w:t>生产系统实际消耗的各种能源，不包括非钢铁工业生产消耗的能源</w:t>
      </w:r>
      <w:r>
        <w:rPr>
          <w:rFonts w:ascii="宋体" w:hAnsi="宋体" w:eastAsia="宋体" w:cs="宋体"/>
          <w:spacing w:val="-2"/>
          <w:sz w:val="21"/>
          <w:szCs w:val="21"/>
        </w:rPr>
        <w:t>和外销能源。</w:t>
      </w:r>
    </w:p>
    <w:p w14:paraId="7C5BCC13">
      <w:pPr>
        <w:spacing w:before="111" w:line="285" w:lineRule="auto"/>
        <w:ind w:left="3589" w:right="196" w:hanging="3179"/>
        <w:rPr>
          <w:rFonts w:ascii="宋体" w:hAnsi="宋体" w:eastAsia="宋体" w:cs="宋体"/>
          <w:sz w:val="21"/>
          <w:szCs w:val="21"/>
        </w:rPr>
      </w:pPr>
      <w:r>
        <w:rPr>
          <w:rFonts w:ascii="宋体" w:hAnsi="宋体" w:eastAsia="宋体" w:cs="宋体"/>
          <w:spacing w:val="4"/>
          <w:sz w:val="21"/>
          <w:szCs w:val="21"/>
        </w:rPr>
        <w:t>企业钢铁工业生产中自耗能源量=企业购入能源量+</w:t>
      </w:r>
      <w:r>
        <w:rPr>
          <w:rFonts w:ascii="宋体" w:hAnsi="宋体" w:eastAsia="宋体" w:cs="宋体"/>
          <w:spacing w:val="3"/>
          <w:sz w:val="21"/>
          <w:szCs w:val="21"/>
        </w:rPr>
        <w:t xml:space="preserve">期初库存量一期末库存量一非钢铁工业生产 </w:t>
      </w:r>
      <w:r>
        <w:rPr>
          <w:rFonts w:ascii="宋体" w:hAnsi="宋体" w:eastAsia="宋体" w:cs="宋体"/>
          <w:spacing w:val="4"/>
          <w:sz w:val="21"/>
          <w:szCs w:val="21"/>
        </w:rPr>
        <w:t>消耗的能源量一外销能源量=企业钢铁工业生产</w:t>
      </w:r>
      <w:r>
        <w:rPr>
          <w:rFonts w:ascii="宋体" w:hAnsi="宋体" w:eastAsia="宋体" w:cs="宋体"/>
          <w:spacing w:val="3"/>
          <w:sz w:val="21"/>
          <w:szCs w:val="21"/>
        </w:rPr>
        <w:t>各部位用能之</w:t>
      </w:r>
      <w:r>
        <w:rPr>
          <w:rFonts w:ascii="宋体" w:hAnsi="宋体" w:eastAsia="宋体" w:cs="宋体"/>
          <w:sz w:val="21"/>
          <w:szCs w:val="21"/>
        </w:rPr>
        <w:t xml:space="preserve"> </w:t>
      </w:r>
      <w:r>
        <w:rPr>
          <w:rFonts w:ascii="宋体" w:hAnsi="宋体" w:eastAsia="宋体" w:cs="宋体"/>
          <w:spacing w:val="9"/>
          <w:sz w:val="21"/>
          <w:szCs w:val="21"/>
        </w:rPr>
        <w:t>和+企业能源亏损量</w:t>
      </w:r>
    </w:p>
    <w:p w14:paraId="420E09E6">
      <w:pPr>
        <w:spacing w:before="113" w:line="221" w:lineRule="auto"/>
        <w:ind w:left="413"/>
        <w:rPr>
          <w:rFonts w:ascii="黑体" w:hAnsi="黑体" w:eastAsia="黑体" w:cs="黑体"/>
          <w:sz w:val="21"/>
          <w:szCs w:val="21"/>
        </w:rPr>
      </w:pPr>
      <w:r>
        <w:rPr>
          <w:rFonts w:ascii="黑体" w:hAnsi="黑体" w:eastAsia="黑体" w:cs="黑体"/>
          <w:b/>
          <w:bCs/>
          <w:spacing w:val="-4"/>
          <w:sz w:val="21"/>
          <w:szCs w:val="21"/>
        </w:rPr>
        <w:t>企业外销能源量</w:t>
      </w:r>
    </w:p>
    <w:p w14:paraId="39B15DEE">
      <w:pPr>
        <w:spacing w:before="102" w:line="219" w:lineRule="auto"/>
        <w:ind w:left="410"/>
        <w:rPr>
          <w:rFonts w:ascii="宋体" w:hAnsi="宋体" w:eastAsia="宋体" w:cs="宋体"/>
          <w:sz w:val="21"/>
          <w:szCs w:val="21"/>
        </w:rPr>
      </w:pPr>
      <w:r>
        <w:rPr>
          <w:rFonts w:ascii="宋体" w:hAnsi="宋体" w:eastAsia="宋体" w:cs="宋体"/>
          <w:spacing w:val="-1"/>
          <w:sz w:val="21"/>
          <w:szCs w:val="21"/>
        </w:rPr>
        <w:t>指企业向外销售的购入能源、企业二次能源、下脚燃料及余热</w:t>
      </w:r>
      <w:r>
        <w:rPr>
          <w:rFonts w:ascii="宋体" w:hAnsi="宋体" w:eastAsia="宋体" w:cs="宋体"/>
          <w:spacing w:val="-2"/>
          <w:sz w:val="21"/>
          <w:szCs w:val="21"/>
        </w:rPr>
        <w:t>等。驻厂施工单位、独立核算的非工</w:t>
      </w:r>
    </w:p>
    <w:p w14:paraId="2DF56B7B">
      <w:pPr>
        <w:spacing w:line="219" w:lineRule="auto"/>
        <w:rPr>
          <w:rFonts w:ascii="宋体" w:hAnsi="宋体" w:eastAsia="宋体" w:cs="宋体"/>
          <w:sz w:val="21"/>
          <w:szCs w:val="21"/>
        </w:rPr>
        <w:sectPr>
          <w:headerReference r:id="rId45" w:type="default"/>
          <w:pgSz w:w="11910" w:h="16840"/>
          <w:pgMar w:top="1109" w:right="1215" w:bottom="400" w:left="1239" w:header="848" w:footer="0" w:gutter="0"/>
          <w:cols w:space="720" w:num="1"/>
        </w:sectPr>
      </w:pPr>
    </w:p>
    <w:p w14:paraId="2E7B0C5D">
      <w:pPr>
        <w:pStyle w:val="2"/>
        <w:spacing w:line="346" w:lineRule="auto"/>
      </w:pPr>
    </w:p>
    <w:p w14:paraId="081DBCCF">
      <w:pPr>
        <w:spacing w:before="68" w:line="383" w:lineRule="exact"/>
        <w:rPr>
          <w:rFonts w:ascii="宋体" w:hAnsi="宋体" w:eastAsia="宋体" w:cs="宋体"/>
          <w:sz w:val="21"/>
          <w:szCs w:val="21"/>
        </w:rPr>
      </w:pPr>
      <w:r>
        <w:rPr>
          <w:rFonts w:ascii="宋体" w:hAnsi="宋体" w:eastAsia="宋体" w:cs="宋体"/>
          <w:spacing w:val="11"/>
          <w:position w:val="13"/>
          <w:sz w:val="21"/>
          <w:szCs w:val="21"/>
        </w:rPr>
        <w:t>业生产单位和厂区(车间)以外的生活耗能(</w:t>
      </w:r>
      <w:r>
        <w:rPr>
          <w:rFonts w:ascii="宋体" w:hAnsi="宋体" w:eastAsia="宋体" w:cs="宋体"/>
          <w:spacing w:val="10"/>
          <w:position w:val="13"/>
          <w:sz w:val="21"/>
          <w:szCs w:val="21"/>
        </w:rPr>
        <w:t>如服务公司、医院、学校、职工食堂等),凡有据可查的</w:t>
      </w:r>
    </w:p>
    <w:p w14:paraId="6806CA6C">
      <w:pPr>
        <w:spacing w:line="219" w:lineRule="auto"/>
        <w:rPr>
          <w:rFonts w:ascii="宋体" w:hAnsi="宋体" w:eastAsia="宋体" w:cs="宋体"/>
          <w:sz w:val="21"/>
          <w:szCs w:val="21"/>
        </w:rPr>
      </w:pPr>
      <w:r>
        <w:rPr>
          <w:rFonts w:ascii="宋体" w:hAnsi="宋体" w:eastAsia="宋体" w:cs="宋体"/>
          <w:spacing w:val="-3"/>
          <w:sz w:val="21"/>
          <w:szCs w:val="21"/>
        </w:rPr>
        <w:t>部分均可作为外销能源处理。</w:t>
      </w:r>
    </w:p>
    <w:p w14:paraId="5B0EB1D8">
      <w:pPr>
        <w:pStyle w:val="2"/>
        <w:spacing w:line="387" w:lineRule="auto"/>
      </w:pPr>
    </w:p>
    <w:p w14:paraId="7E28551A">
      <w:pPr>
        <w:spacing w:before="68" w:line="222" w:lineRule="auto"/>
        <w:ind w:left="433"/>
        <w:rPr>
          <w:rFonts w:ascii="黑体" w:hAnsi="黑体" w:eastAsia="黑体" w:cs="黑体"/>
          <w:sz w:val="21"/>
          <w:szCs w:val="21"/>
        </w:rPr>
      </w:pPr>
      <w:r>
        <w:rPr>
          <w:rFonts w:ascii="黑体" w:hAnsi="黑体" w:eastAsia="黑体" w:cs="黑体"/>
          <w:b/>
          <w:bCs/>
          <w:spacing w:val="-4"/>
          <w:sz w:val="21"/>
          <w:szCs w:val="21"/>
        </w:rPr>
        <w:t>工序产品合格产出量</w:t>
      </w:r>
    </w:p>
    <w:p w14:paraId="3A738E56">
      <w:pPr>
        <w:spacing w:before="98" w:line="371" w:lineRule="exact"/>
        <w:ind w:left="430"/>
        <w:rPr>
          <w:rFonts w:ascii="宋体" w:hAnsi="宋体" w:eastAsia="宋体" w:cs="宋体"/>
          <w:sz w:val="21"/>
          <w:szCs w:val="21"/>
        </w:rPr>
      </w:pPr>
      <w:r>
        <w:rPr>
          <w:rFonts w:ascii="宋体" w:hAnsi="宋体" w:eastAsia="宋体" w:cs="宋体"/>
          <w:spacing w:val="1"/>
          <w:position w:val="12"/>
          <w:sz w:val="21"/>
          <w:szCs w:val="21"/>
        </w:rPr>
        <w:t>指企业某生产工序在报告期内生产、已结束本工序全部生产过程(不一</w:t>
      </w:r>
      <w:r>
        <w:rPr>
          <w:rFonts w:ascii="宋体" w:hAnsi="宋体" w:eastAsia="宋体" w:cs="宋体"/>
          <w:position w:val="12"/>
          <w:sz w:val="21"/>
          <w:szCs w:val="21"/>
        </w:rPr>
        <w:t>定已结束本企业全部生产过</w:t>
      </w:r>
    </w:p>
    <w:p w14:paraId="4705FA9C">
      <w:pPr>
        <w:spacing w:before="1" w:line="218" w:lineRule="auto"/>
        <w:rPr>
          <w:rFonts w:ascii="宋体" w:hAnsi="宋体" w:eastAsia="宋体" w:cs="宋体"/>
          <w:sz w:val="21"/>
          <w:szCs w:val="21"/>
        </w:rPr>
      </w:pPr>
      <w:r>
        <w:rPr>
          <w:rFonts w:ascii="宋体" w:hAnsi="宋体" w:eastAsia="宋体" w:cs="宋体"/>
          <w:spacing w:val="-2"/>
          <w:sz w:val="21"/>
          <w:szCs w:val="21"/>
        </w:rPr>
        <w:t>程)、并符合产品质量要求的产品实物数量。包括订货者来料加工</w:t>
      </w:r>
      <w:r>
        <w:rPr>
          <w:rFonts w:ascii="宋体" w:hAnsi="宋体" w:eastAsia="宋体" w:cs="宋体"/>
          <w:spacing w:val="-3"/>
          <w:sz w:val="21"/>
          <w:szCs w:val="21"/>
        </w:rPr>
        <w:t>的产品，不包括委外加工生产的产品。</w:t>
      </w:r>
    </w:p>
    <w:p w14:paraId="02122D19">
      <w:pPr>
        <w:spacing w:before="109" w:line="222" w:lineRule="auto"/>
        <w:ind w:left="433"/>
        <w:rPr>
          <w:rFonts w:ascii="黑体" w:hAnsi="黑体" w:eastAsia="黑体" w:cs="黑体"/>
          <w:sz w:val="21"/>
          <w:szCs w:val="21"/>
        </w:rPr>
      </w:pPr>
      <w:r>
        <w:rPr>
          <w:rFonts w:ascii="黑体" w:hAnsi="黑体" w:eastAsia="黑体" w:cs="黑体"/>
          <w:b/>
          <w:bCs/>
          <w:spacing w:val="-7"/>
          <w:sz w:val="21"/>
          <w:szCs w:val="21"/>
        </w:rPr>
        <w:t>工序净耗能量</w:t>
      </w:r>
    </w:p>
    <w:p w14:paraId="2D84BBBC">
      <w:pPr>
        <w:spacing w:before="100" w:line="288" w:lineRule="auto"/>
        <w:ind w:right="94" w:firstLine="430"/>
        <w:rPr>
          <w:rFonts w:ascii="宋体" w:hAnsi="宋体" w:eastAsia="宋体" w:cs="宋体"/>
          <w:sz w:val="21"/>
          <w:szCs w:val="21"/>
        </w:rPr>
      </w:pPr>
      <w:r>
        <w:rPr>
          <w:rFonts w:ascii="宋体" w:hAnsi="宋体" w:eastAsia="宋体" w:cs="宋体"/>
          <w:spacing w:val="1"/>
          <w:sz w:val="21"/>
          <w:szCs w:val="21"/>
        </w:rPr>
        <w:t>指企业内某工序(如铁矿采矿、铁矿选矿、人造块矿、炼铁、炼钢、钢加工、</w:t>
      </w:r>
      <w:r>
        <w:rPr>
          <w:rFonts w:ascii="宋体" w:hAnsi="宋体" w:eastAsia="宋体" w:cs="宋体"/>
          <w:sz w:val="21"/>
          <w:szCs w:val="21"/>
        </w:rPr>
        <w:t xml:space="preserve">铁合金冶炼以及钢丝 </w:t>
      </w:r>
      <w:r>
        <w:rPr>
          <w:rFonts w:ascii="宋体" w:hAnsi="宋体" w:eastAsia="宋体" w:cs="宋体"/>
          <w:spacing w:val="3"/>
          <w:sz w:val="21"/>
          <w:szCs w:val="21"/>
        </w:rPr>
        <w:t>及其制品、焦炭、耐火材料制品、碳素制品生产)生产过程所消耗的各种能源量(包括主要生产系统、</w:t>
      </w:r>
      <w:r>
        <w:rPr>
          <w:rFonts w:ascii="宋体" w:hAnsi="宋体" w:eastAsia="宋体" w:cs="宋体"/>
          <w:spacing w:val="9"/>
          <w:sz w:val="21"/>
          <w:szCs w:val="21"/>
        </w:rPr>
        <w:t xml:space="preserve"> </w:t>
      </w:r>
      <w:r>
        <w:rPr>
          <w:rFonts w:ascii="宋体" w:hAnsi="宋体" w:eastAsia="宋体" w:cs="宋体"/>
          <w:spacing w:val="5"/>
          <w:sz w:val="21"/>
          <w:szCs w:val="21"/>
        </w:rPr>
        <w:t>辅助生产系统以及直接为生产服务的附属生产系统</w:t>
      </w:r>
      <w:r>
        <w:rPr>
          <w:rFonts w:ascii="宋体" w:hAnsi="宋体" w:eastAsia="宋体" w:cs="宋体"/>
          <w:spacing w:val="4"/>
          <w:sz w:val="21"/>
          <w:szCs w:val="21"/>
        </w:rPr>
        <w:t>所消耗的各种能源),扣除外供量。</w:t>
      </w:r>
    </w:p>
    <w:p w14:paraId="7C8A5D9D">
      <w:pPr>
        <w:spacing w:before="116" w:line="219" w:lineRule="auto"/>
        <w:ind w:left="430"/>
        <w:rPr>
          <w:rFonts w:ascii="宋体" w:hAnsi="宋体" w:eastAsia="宋体" w:cs="宋体"/>
          <w:sz w:val="21"/>
          <w:szCs w:val="21"/>
        </w:rPr>
      </w:pPr>
      <w:r>
        <w:rPr>
          <w:rFonts w:ascii="宋体" w:hAnsi="宋体" w:eastAsia="宋体" w:cs="宋体"/>
          <w:spacing w:val="3"/>
          <w:sz w:val="21"/>
          <w:szCs w:val="21"/>
        </w:rPr>
        <w:t>工序净耗能量=工序内各种能源消耗量之和一工序内能源外供量之和</w:t>
      </w:r>
    </w:p>
    <w:p w14:paraId="26C33658">
      <w:pPr>
        <w:spacing w:before="109" w:line="222" w:lineRule="auto"/>
        <w:ind w:left="433"/>
        <w:rPr>
          <w:rFonts w:ascii="黑体" w:hAnsi="黑体" w:eastAsia="黑体" w:cs="黑体"/>
          <w:sz w:val="21"/>
          <w:szCs w:val="21"/>
        </w:rPr>
      </w:pPr>
      <w:r>
        <w:rPr>
          <w:rFonts w:ascii="黑体" w:hAnsi="黑体" w:eastAsia="黑体" w:cs="黑体"/>
          <w:b/>
          <w:bCs/>
          <w:spacing w:val="-3"/>
          <w:sz w:val="21"/>
          <w:szCs w:val="21"/>
        </w:rPr>
        <w:t>钢铁生产的耗能工质</w:t>
      </w:r>
    </w:p>
    <w:p w14:paraId="4F3304B3">
      <w:pPr>
        <w:spacing w:before="90" w:line="370" w:lineRule="exact"/>
        <w:ind w:right="15"/>
        <w:jc w:val="right"/>
        <w:rPr>
          <w:rFonts w:ascii="宋体" w:hAnsi="宋体" w:eastAsia="宋体" w:cs="宋体"/>
          <w:sz w:val="21"/>
          <w:szCs w:val="21"/>
        </w:rPr>
      </w:pPr>
      <w:r>
        <w:rPr>
          <w:rFonts w:ascii="宋体" w:hAnsi="宋体" w:eastAsia="宋体" w:cs="宋体"/>
          <w:spacing w:val="-5"/>
          <w:position w:val="12"/>
          <w:sz w:val="21"/>
          <w:szCs w:val="21"/>
        </w:rPr>
        <w:t>钢铁工业生产各有关工序单位能耗计算中，通常包含耗能工质的消耗。主要包括：水、氩气、氮气、</w:t>
      </w:r>
    </w:p>
    <w:p w14:paraId="3DCB9CEF">
      <w:pPr>
        <w:spacing w:before="1" w:line="218" w:lineRule="auto"/>
        <w:rPr>
          <w:rFonts w:ascii="宋体" w:hAnsi="宋体" w:eastAsia="宋体" w:cs="宋体"/>
          <w:sz w:val="21"/>
          <w:szCs w:val="21"/>
        </w:rPr>
      </w:pPr>
      <w:r>
        <w:rPr>
          <w:rFonts w:ascii="宋体" w:hAnsi="宋体" w:eastAsia="宋体" w:cs="宋体"/>
          <w:spacing w:val="-4"/>
          <w:sz w:val="21"/>
          <w:szCs w:val="21"/>
        </w:rPr>
        <w:t>氧气、蒸汽、压缩空气。</w:t>
      </w:r>
    </w:p>
    <w:p w14:paraId="18E34C2E">
      <w:pPr>
        <w:spacing w:before="117" w:line="221" w:lineRule="auto"/>
        <w:ind w:left="433"/>
        <w:rPr>
          <w:rFonts w:ascii="黑体" w:hAnsi="黑体" w:eastAsia="黑体" w:cs="黑体"/>
          <w:sz w:val="21"/>
          <w:szCs w:val="21"/>
        </w:rPr>
      </w:pPr>
      <w:r>
        <w:rPr>
          <w:rFonts w:ascii="黑体" w:hAnsi="黑体" w:eastAsia="黑体" w:cs="黑体"/>
          <w:b/>
          <w:bCs/>
          <w:spacing w:val="-3"/>
          <w:sz w:val="21"/>
          <w:szCs w:val="21"/>
        </w:rPr>
        <w:t>有关产品、原材料、能源的折标准量系数</w:t>
      </w:r>
    </w:p>
    <w:p w14:paraId="407C71BE">
      <w:pPr>
        <w:spacing w:before="114" w:line="285" w:lineRule="auto"/>
        <w:ind w:right="20" w:firstLine="430"/>
        <w:jc w:val="both"/>
        <w:rPr>
          <w:rFonts w:ascii="宋体" w:hAnsi="宋体" w:eastAsia="宋体" w:cs="宋体"/>
          <w:sz w:val="21"/>
          <w:szCs w:val="21"/>
        </w:rPr>
      </w:pPr>
      <w:r>
        <w:rPr>
          <w:rFonts w:ascii="宋体" w:hAnsi="宋体" w:eastAsia="宋体" w:cs="宋体"/>
          <w:spacing w:val="1"/>
          <w:sz w:val="21"/>
          <w:szCs w:val="21"/>
        </w:rPr>
        <w:t>钢铁行业在计算工序单位能耗时，电力的折标系数按</w:t>
      </w:r>
      <w:r>
        <w:rPr>
          <w:rFonts w:ascii="宋体" w:hAnsi="宋体" w:eastAsia="宋体" w:cs="宋体"/>
          <w:sz w:val="21"/>
          <w:szCs w:val="21"/>
        </w:rPr>
        <w:t xml:space="preserve">其热功当量折标系数0.1229千克标准煤/千瓦 </w:t>
      </w:r>
      <w:r>
        <w:rPr>
          <w:rFonts w:ascii="宋体" w:hAnsi="宋体" w:eastAsia="宋体" w:cs="宋体"/>
          <w:spacing w:val="-1"/>
          <w:sz w:val="21"/>
          <w:szCs w:val="21"/>
        </w:rPr>
        <w:t>时计算，蒸汽按其热功当量系数0.0341</w:t>
      </w:r>
      <w:r>
        <w:rPr>
          <w:rFonts w:ascii="宋体" w:hAnsi="宋体" w:eastAsia="宋体" w:cs="宋体"/>
          <w:spacing w:val="-2"/>
          <w:sz w:val="21"/>
          <w:szCs w:val="21"/>
        </w:rPr>
        <w:t>2千克标准煤/百万焦耳折算；氧气、氮气、氩气、水、压缩空气</w:t>
      </w:r>
      <w:r>
        <w:rPr>
          <w:rFonts w:ascii="宋体" w:hAnsi="宋体" w:eastAsia="宋体" w:cs="宋体"/>
          <w:sz w:val="21"/>
          <w:szCs w:val="21"/>
        </w:rPr>
        <w:t xml:space="preserve">  按其等价热量折算(千克标准煤/千克或立方米);其他耗能介质的折标系数，有实测值的按实测值计算，</w:t>
      </w:r>
      <w:r>
        <w:rPr>
          <w:rFonts w:ascii="宋体" w:hAnsi="宋体" w:eastAsia="宋体" w:cs="宋体"/>
          <w:spacing w:val="14"/>
          <w:sz w:val="21"/>
          <w:szCs w:val="21"/>
        </w:rPr>
        <w:t xml:space="preserve"> </w:t>
      </w:r>
      <w:r>
        <w:rPr>
          <w:rFonts w:ascii="宋体" w:hAnsi="宋体" w:eastAsia="宋体" w:cs="宋体"/>
          <w:spacing w:val="-3"/>
          <w:sz w:val="21"/>
          <w:szCs w:val="21"/>
        </w:rPr>
        <w:t>没有实测值的按国家统计局公布的折标准煤参考系数计算。</w:t>
      </w:r>
    </w:p>
    <w:p w14:paraId="6645A4ED">
      <w:pPr>
        <w:spacing w:before="138" w:line="264" w:lineRule="auto"/>
        <w:ind w:right="75" w:firstLine="430"/>
        <w:rPr>
          <w:rFonts w:ascii="宋体" w:hAnsi="宋体" w:eastAsia="宋体" w:cs="宋体"/>
          <w:sz w:val="21"/>
          <w:szCs w:val="21"/>
        </w:rPr>
      </w:pPr>
      <w:r>
        <w:rPr>
          <w:rFonts w:ascii="宋体" w:hAnsi="宋体" w:eastAsia="宋体" w:cs="宋体"/>
          <w:spacing w:val="6"/>
          <w:sz w:val="21"/>
          <w:szCs w:val="21"/>
        </w:rPr>
        <w:t>等价热量：指为得到一个单位的能量(或物质),在其生产过程中所消耗的热量。如压缩空气的等</w:t>
      </w:r>
      <w:r>
        <w:rPr>
          <w:rFonts w:ascii="宋体" w:hAnsi="宋体" w:eastAsia="宋体" w:cs="宋体"/>
          <w:spacing w:val="5"/>
          <w:sz w:val="21"/>
          <w:szCs w:val="21"/>
        </w:rPr>
        <w:t xml:space="preserve"> </w:t>
      </w:r>
      <w:r>
        <w:rPr>
          <w:rFonts w:ascii="宋体" w:hAnsi="宋体" w:eastAsia="宋体" w:cs="宋体"/>
          <w:spacing w:val="-11"/>
          <w:sz w:val="21"/>
          <w:szCs w:val="21"/>
        </w:rPr>
        <w:t>价热量：</w:t>
      </w:r>
    </w:p>
    <w:p w14:paraId="39D9BCB4">
      <w:pPr>
        <w:spacing w:before="121" w:line="269" w:lineRule="auto"/>
        <w:ind w:left="4679" w:right="135" w:hanging="4249"/>
        <w:rPr>
          <w:rFonts w:ascii="宋体" w:hAnsi="宋体" w:eastAsia="宋体" w:cs="宋体"/>
          <w:sz w:val="21"/>
          <w:szCs w:val="21"/>
        </w:rPr>
      </w:pPr>
      <w:r>
        <w:rPr>
          <w:rFonts w:ascii="宋体" w:hAnsi="宋体" w:eastAsia="宋体" w:cs="宋体"/>
          <w:spacing w:val="9"/>
          <w:sz w:val="21"/>
          <w:szCs w:val="21"/>
        </w:rPr>
        <w:t>压缩空气的等价热量(千克标准煤/立方米)=生产压缩空气能源自耗量(吨标准煤)/压缩空气生</w:t>
      </w:r>
      <w:r>
        <w:rPr>
          <w:rFonts w:ascii="宋体" w:hAnsi="宋体" w:eastAsia="宋体" w:cs="宋体"/>
          <w:spacing w:val="17"/>
          <w:sz w:val="21"/>
          <w:szCs w:val="21"/>
        </w:rPr>
        <w:t xml:space="preserve"> </w:t>
      </w:r>
      <w:r>
        <w:rPr>
          <w:rFonts w:ascii="宋体" w:hAnsi="宋体" w:eastAsia="宋体" w:cs="宋体"/>
          <w:spacing w:val="8"/>
          <w:sz w:val="21"/>
          <w:szCs w:val="21"/>
        </w:rPr>
        <w:t>产量(立方米)×1000</w:t>
      </w:r>
    </w:p>
    <w:p w14:paraId="6215C0E1">
      <w:pPr>
        <w:pStyle w:val="2"/>
        <w:spacing w:line="386" w:lineRule="auto"/>
      </w:pPr>
    </w:p>
    <w:p w14:paraId="410A084B">
      <w:pPr>
        <w:spacing w:before="70" w:line="369" w:lineRule="exact"/>
        <w:ind w:left="433"/>
        <w:rPr>
          <w:rFonts w:ascii="黑体" w:hAnsi="黑体" w:eastAsia="黑体" w:cs="黑体"/>
          <w:sz w:val="21"/>
          <w:szCs w:val="21"/>
        </w:rPr>
      </w:pPr>
      <w:r>
        <w:rPr>
          <w:rFonts w:ascii="黑体" w:hAnsi="黑体" w:eastAsia="黑体" w:cs="黑体"/>
          <w:b/>
          <w:bCs/>
          <w:spacing w:val="10"/>
          <w:position w:val="11"/>
          <w:sz w:val="21"/>
          <w:szCs w:val="21"/>
        </w:rPr>
        <w:t>黑色金属(31)</w:t>
      </w:r>
    </w:p>
    <w:p w14:paraId="099F23F2">
      <w:pPr>
        <w:spacing w:before="1" w:line="221" w:lineRule="auto"/>
        <w:ind w:left="433"/>
        <w:rPr>
          <w:rFonts w:ascii="黑体" w:hAnsi="黑体" w:eastAsia="黑体" w:cs="黑体"/>
          <w:sz w:val="21"/>
          <w:szCs w:val="21"/>
        </w:rPr>
      </w:pPr>
      <w:r>
        <w:rPr>
          <w:rFonts w:ascii="黑体" w:hAnsi="黑体" w:eastAsia="黑体" w:cs="黑体"/>
          <w:b/>
          <w:bCs/>
          <w:spacing w:val="-5"/>
          <w:sz w:val="21"/>
          <w:szCs w:val="21"/>
        </w:rPr>
        <w:t>吨钢综合能耗</w:t>
      </w:r>
    </w:p>
    <w:p w14:paraId="3BB5EE71">
      <w:pPr>
        <w:spacing w:before="112" w:line="219" w:lineRule="auto"/>
        <w:ind w:left="390"/>
        <w:rPr>
          <w:rFonts w:ascii="宋体" w:hAnsi="宋体" w:eastAsia="宋体" w:cs="宋体"/>
          <w:sz w:val="21"/>
          <w:szCs w:val="21"/>
        </w:rPr>
      </w:pPr>
      <w:r>
        <w:rPr>
          <w:rFonts w:ascii="宋体" w:hAnsi="宋体" w:eastAsia="宋体" w:cs="宋体"/>
          <w:spacing w:val="-1"/>
          <w:sz w:val="21"/>
          <w:szCs w:val="21"/>
        </w:rPr>
        <w:t>计算公式：吨钢综合能耗(千克标准煤/吨)</w:t>
      </w:r>
      <w:r>
        <w:rPr>
          <w:rFonts w:ascii="宋体" w:hAnsi="宋体" w:eastAsia="宋体" w:cs="宋体"/>
          <w:spacing w:val="-2"/>
          <w:sz w:val="21"/>
          <w:szCs w:val="21"/>
        </w:rPr>
        <w:t>=1000×企业净耗能源量(吨标准煤)/粗钢合格产出量(吨)</w:t>
      </w:r>
    </w:p>
    <w:p w14:paraId="3D30F154">
      <w:pPr>
        <w:spacing w:before="99" w:line="279" w:lineRule="auto"/>
        <w:ind w:right="87" w:firstLine="430"/>
        <w:rPr>
          <w:rFonts w:ascii="宋体" w:hAnsi="宋体" w:eastAsia="宋体" w:cs="宋体"/>
          <w:sz w:val="21"/>
          <w:szCs w:val="21"/>
        </w:rPr>
      </w:pPr>
      <w:r>
        <w:rPr>
          <w:rFonts w:ascii="宋体" w:hAnsi="宋体" w:eastAsia="宋体" w:cs="宋体"/>
          <w:spacing w:val="-2"/>
          <w:sz w:val="21"/>
          <w:szCs w:val="21"/>
        </w:rPr>
        <w:t>分子项：企业净耗能源量。指报告期内钢铁工业生产直接消耗的各种能源及其辅助生产系统、直接</w:t>
      </w:r>
      <w:r>
        <w:rPr>
          <w:rFonts w:ascii="宋体" w:hAnsi="宋体" w:eastAsia="宋体" w:cs="宋体"/>
          <w:spacing w:val="13"/>
          <w:sz w:val="21"/>
          <w:szCs w:val="21"/>
        </w:rPr>
        <w:t xml:space="preserve"> </w:t>
      </w:r>
      <w:r>
        <w:rPr>
          <w:rFonts w:ascii="宋体" w:hAnsi="宋体" w:eastAsia="宋体" w:cs="宋体"/>
          <w:spacing w:val="-1"/>
          <w:sz w:val="21"/>
          <w:szCs w:val="21"/>
        </w:rPr>
        <w:t>为钢铁工业生产服务的附属生产系统实际消耗的各种能源总量，不包括非钢铁工业</w:t>
      </w:r>
      <w:r>
        <w:rPr>
          <w:rFonts w:ascii="宋体" w:hAnsi="宋体" w:eastAsia="宋体" w:cs="宋体"/>
          <w:spacing w:val="-2"/>
          <w:sz w:val="21"/>
          <w:szCs w:val="21"/>
        </w:rPr>
        <w:t>生产消耗的能源量和</w:t>
      </w:r>
      <w:r>
        <w:rPr>
          <w:rFonts w:ascii="宋体" w:hAnsi="宋体" w:eastAsia="宋体" w:cs="宋体"/>
          <w:sz w:val="21"/>
          <w:szCs w:val="21"/>
        </w:rPr>
        <w:t xml:space="preserve"> </w:t>
      </w:r>
      <w:r>
        <w:rPr>
          <w:rFonts w:ascii="宋体" w:hAnsi="宋体" w:eastAsia="宋体" w:cs="宋体"/>
          <w:spacing w:val="-6"/>
          <w:sz w:val="21"/>
          <w:szCs w:val="21"/>
        </w:rPr>
        <w:t>外销能源量。</w:t>
      </w:r>
    </w:p>
    <w:p w14:paraId="40558F9B">
      <w:pPr>
        <w:spacing w:before="139" w:line="265" w:lineRule="auto"/>
        <w:ind w:right="161" w:firstLine="430"/>
        <w:rPr>
          <w:rFonts w:ascii="宋体" w:hAnsi="宋体" w:eastAsia="宋体" w:cs="宋体"/>
          <w:sz w:val="21"/>
          <w:szCs w:val="21"/>
        </w:rPr>
      </w:pPr>
      <w:r>
        <w:rPr>
          <w:rFonts w:ascii="宋体" w:hAnsi="宋体" w:eastAsia="宋体" w:cs="宋体"/>
          <w:spacing w:val="2"/>
          <w:sz w:val="21"/>
          <w:szCs w:val="21"/>
        </w:rPr>
        <w:t>企业净耗能源量=企业购入能源量+期初库存量一期末库存量一非</w:t>
      </w:r>
      <w:r>
        <w:rPr>
          <w:rFonts w:ascii="宋体" w:hAnsi="宋体" w:eastAsia="宋体" w:cs="宋体"/>
          <w:spacing w:val="1"/>
          <w:sz w:val="21"/>
          <w:szCs w:val="21"/>
        </w:rPr>
        <w:t>钢铁工业生产消耗的能源量一外</w:t>
      </w:r>
      <w:r>
        <w:rPr>
          <w:rFonts w:ascii="宋体" w:hAnsi="宋体" w:eastAsia="宋体" w:cs="宋体"/>
          <w:sz w:val="21"/>
          <w:szCs w:val="21"/>
        </w:rPr>
        <w:t xml:space="preserve"> </w:t>
      </w:r>
      <w:r>
        <w:rPr>
          <w:rFonts w:ascii="宋体" w:hAnsi="宋体" w:eastAsia="宋体" w:cs="宋体"/>
          <w:spacing w:val="-2"/>
          <w:sz w:val="21"/>
          <w:szCs w:val="21"/>
        </w:rPr>
        <w:t>销能源量</w:t>
      </w:r>
    </w:p>
    <w:p w14:paraId="75E37330">
      <w:pPr>
        <w:spacing w:before="117" w:line="284" w:lineRule="auto"/>
        <w:ind w:firstLine="430"/>
        <w:rPr>
          <w:rFonts w:ascii="宋体" w:hAnsi="宋体" w:eastAsia="宋体" w:cs="宋体"/>
          <w:sz w:val="21"/>
          <w:szCs w:val="21"/>
        </w:rPr>
      </w:pPr>
      <w:r>
        <w:rPr>
          <w:rFonts w:ascii="宋体" w:hAnsi="宋体" w:eastAsia="宋体" w:cs="宋体"/>
          <w:spacing w:val="-1"/>
          <w:sz w:val="21"/>
          <w:szCs w:val="21"/>
        </w:rPr>
        <w:t>钢铁工业生产，指铁、铬、锰等黑色金属矿物的</w:t>
      </w:r>
      <w:r>
        <w:rPr>
          <w:rFonts w:ascii="宋体" w:hAnsi="宋体" w:eastAsia="宋体" w:cs="宋体"/>
          <w:spacing w:val="-2"/>
          <w:sz w:val="21"/>
          <w:szCs w:val="21"/>
        </w:rPr>
        <w:t>采选、人造块矿、铁合金冶炼、炼铁、炼钢、钢加</w:t>
      </w:r>
      <w:r>
        <w:rPr>
          <w:rFonts w:ascii="宋体" w:hAnsi="宋体" w:eastAsia="宋体" w:cs="宋体"/>
          <w:sz w:val="21"/>
          <w:szCs w:val="21"/>
        </w:rPr>
        <w:t xml:space="preserve">  </w:t>
      </w:r>
      <w:r>
        <w:rPr>
          <w:rFonts w:ascii="宋体" w:hAnsi="宋体" w:eastAsia="宋体" w:cs="宋体"/>
          <w:spacing w:val="-4"/>
          <w:sz w:val="21"/>
          <w:szCs w:val="21"/>
        </w:rPr>
        <w:t>工、钢丝及其制品、焦炭、耐火材料制品、碳素制品和为钢铁工业生产服务的运输、机修、动力等生产。</w:t>
      </w:r>
      <w:r>
        <w:rPr>
          <w:rFonts w:ascii="宋体" w:hAnsi="宋体" w:eastAsia="宋体" w:cs="宋体"/>
          <w:spacing w:val="8"/>
          <w:sz w:val="21"/>
          <w:szCs w:val="21"/>
        </w:rPr>
        <w:t xml:space="preserve"> </w:t>
      </w:r>
      <w:r>
        <w:rPr>
          <w:rFonts w:ascii="宋体" w:hAnsi="宋体" w:eastAsia="宋体" w:cs="宋体"/>
          <w:spacing w:val="-2"/>
          <w:sz w:val="21"/>
          <w:szCs w:val="21"/>
        </w:rPr>
        <w:t>在这些之外的生产活动为非钢铁工业生产。</w:t>
      </w:r>
    </w:p>
    <w:p w14:paraId="6AC0CFC5">
      <w:pPr>
        <w:spacing w:before="112" w:line="282" w:lineRule="auto"/>
        <w:ind w:right="93" w:firstLine="430"/>
        <w:rPr>
          <w:rFonts w:ascii="宋体" w:hAnsi="宋体" w:eastAsia="宋体" w:cs="宋体"/>
          <w:sz w:val="21"/>
          <w:szCs w:val="21"/>
        </w:rPr>
      </w:pPr>
      <w:r>
        <w:rPr>
          <w:rFonts w:ascii="宋体" w:hAnsi="宋体" w:eastAsia="宋体" w:cs="宋体"/>
          <w:spacing w:val="-2"/>
          <w:sz w:val="21"/>
          <w:szCs w:val="21"/>
        </w:rPr>
        <w:t>企业外销能源量，指企业向外销售的购入能源、企业生产的二次能源、下脚燃料及余热等。驻厂施</w:t>
      </w:r>
      <w:r>
        <w:rPr>
          <w:rFonts w:ascii="宋体" w:hAnsi="宋体" w:eastAsia="宋体" w:cs="宋体"/>
          <w:spacing w:val="14"/>
          <w:sz w:val="21"/>
          <w:szCs w:val="21"/>
        </w:rPr>
        <w:t xml:space="preserve"> </w:t>
      </w:r>
      <w:r>
        <w:rPr>
          <w:rFonts w:ascii="宋体" w:hAnsi="宋体" w:eastAsia="宋体" w:cs="宋体"/>
          <w:spacing w:val="6"/>
          <w:sz w:val="21"/>
          <w:szCs w:val="21"/>
        </w:rPr>
        <w:t>工单位、独立核算的非工业生产单位和厂区(车间)以外的生活耗能</w:t>
      </w:r>
      <w:r>
        <w:rPr>
          <w:rFonts w:ascii="宋体" w:hAnsi="宋体" w:eastAsia="宋体" w:cs="宋体"/>
          <w:spacing w:val="5"/>
          <w:sz w:val="21"/>
          <w:szCs w:val="21"/>
        </w:rPr>
        <w:t>(如服务公司、医院、学校、职工</w:t>
      </w:r>
      <w:r>
        <w:rPr>
          <w:rFonts w:ascii="宋体" w:hAnsi="宋体" w:eastAsia="宋体" w:cs="宋体"/>
          <w:sz w:val="21"/>
          <w:szCs w:val="21"/>
        </w:rPr>
        <w:t xml:space="preserve"> </w:t>
      </w:r>
      <w:r>
        <w:rPr>
          <w:rFonts w:ascii="宋体" w:hAnsi="宋体" w:eastAsia="宋体" w:cs="宋体"/>
          <w:spacing w:val="7"/>
          <w:sz w:val="21"/>
          <w:szCs w:val="21"/>
        </w:rPr>
        <w:t>食堂等),凡有据可查的部分均可作为外销能</w:t>
      </w:r>
      <w:r>
        <w:rPr>
          <w:rFonts w:ascii="宋体" w:hAnsi="宋体" w:eastAsia="宋体" w:cs="宋体"/>
          <w:spacing w:val="6"/>
          <w:sz w:val="21"/>
          <w:szCs w:val="21"/>
        </w:rPr>
        <w:t>源处理。</w:t>
      </w:r>
    </w:p>
    <w:p w14:paraId="0B06712B">
      <w:pPr>
        <w:spacing w:before="115" w:line="218" w:lineRule="auto"/>
        <w:ind w:left="430"/>
        <w:rPr>
          <w:rFonts w:ascii="宋体" w:hAnsi="宋体" w:eastAsia="宋体" w:cs="宋体"/>
          <w:sz w:val="21"/>
          <w:szCs w:val="21"/>
        </w:rPr>
      </w:pPr>
      <w:r>
        <w:rPr>
          <w:rFonts w:ascii="宋体" w:hAnsi="宋体" w:eastAsia="宋体" w:cs="宋体"/>
          <w:spacing w:val="-1"/>
          <w:sz w:val="21"/>
          <w:szCs w:val="21"/>
        </w:rPr>
        <w:t>分母项：粗钢合格产出量。指报告期内，企业</w:t>
      </w:r>
      <w:r>
        <w:rPr>
          <w:rFonts w:ascii="宋体" w:hAnsi="宋体" w:eastAsia="宋体" w:cs="宋体"/>
          <w:spacing w:val="-2"/>
          <w:sz w:val="21"/>
          <w:szCs w:val="21"/>
        </w:rPr>
        <w:t>完成了粗钢生产过程，并符合产品质量要求的模铸钢</w:t>
      </w:r>
    </w:p>
    <w:p w14:paraId="489B53E2">
      <w:pPr>
        <w:spacing w:line="218" w:lineRule="auto"/>
        <w:rPr>
          <w:rFonts w:ascii="宋体" w:hAnsi="宋体" w:eastAsia="宋体" w:cs="宋体"/>
          <w:sz w:val="21"/>
          <w:szCs w:val="21"/>
        </w:rPr>
        <w:sectPr>
          <w:headerReference r:id="rId46" w:type="default"/>
          <w:pgSz w:w="11910" w:h="16840"/>
          <w:pgMar w:top="1048" w:right="1184" w:bottom="400" w:left="1239" w:header="838" w:footer="0" w:gutter="0"/>
          <w:cols w:space="720" w:num="1"/>
        </w:sectPr>
      </w:pPr>
    </w:p>
    <w:p w14:paraId="3F15A80C">
      <w:pPr>
        <w:pStyle w:val="2"/>
        <w:spacing w:line="287" w:lineRule="auto"/>
      </w:pPr>
    </w:p>
    <w:p w14:paraId="71FAFA37">
      <w:pPr>
        <w:spacing w:before="69" w:line="380" w:lineRule="exact"/>
        <w:rPr>
          <w:rFonts w:ascii="宋体" w:hAnsi="宋体" w:eastAsia="宋体" w:cs="宋体"/>
          <w:sz w:val="21"/>
          <w:szCs w:val="21"/>
        </w:rPr>
      </w:pPr>
      <w:r>
        <w:rPr>
          <w:rFonts w:ascii="宋体" w:hAnsi="宋体" w:eastAsia="宋体" w:cs="宋体"/>
          <w:spacing w:val="4"/>
          <w:position w:val="12"/>
          <w:sz w:val="21"/>
          <w:szCs w:val="21"/>
        </w:rPr>
        <w:t>锭、连铸钢坯、铸造用液态钢(铸钢水)产出量之和，包括订货者来</w:t>
      </w:r>
      <w:r>
        <w:rPr>
          <w:rFonts w:ascii="宋体" w:hAnsi="宋体" w:eastAsia="宋体" w:cs="宋体"/>
          <w:spacing w:val="3"/>
          <w:position w:val="12"/>
          <w:sz w:val="21"/>
          <w:szCs w:val="21"/>
        </w:rPr>
        <w:t>料加工生产的产品，不包括委外加</w:t>
      </w:r>
    </w:p>
    <w:p w14:paraId="4A800F42">
      <w:pPr>
        <w:spacing w:line="219" w:lineRule="auto"/>
        <w:rPr>
          <w:rFonts w:ascii="宋体" w:hAnsi="宋体" w:eastAsia="宋体" w:cs="宋体"/>
          <w:sz w:val="21"/>
          <w:szCs w:val="21"/>
        </w:rPr>
      </w:pPr>
      <w:r>
        <w:rPr>
          <w:rFonts w:ascii="宋体" w:hAnsi="宋体" w:eastAsia="宋体" w:cs="宋体"/>
          <w:spacing w:val="-6"/>
          <w:sz w:val="21"/>
          <w:szCs w:val="21"/>
        </w:rPr>
        <w:t>工生产的产品。</w:t>
      </w:r>
    </w:p>
    <w:p w14:paraId="2D66ACD5">
      <w:pPr>
        <w:pStyle w:val="2"/>
        <w:spacing w:line="388" w:lineRule="auto"/>
      </w:pPr>
    </w:p>
    <w:p w14:paraId="2E35A44C">
      <w:pPr>
        <w:spacing w:before="68" w:line="224" w:lineRule="auto"/>
        <w:ind w:left="443"/>
        <w:rPr>
          <w:rFonts w:ascii="黑体" w:hAnsi="黑体" w:eastAsia="黑体" w:cs="黑体"/>
          <w:sz w:val="21"/>
          <w:szCs w:val="21"/>
        </w:rPr>
      </w:pPr>
      <w:r>
        <w:rPr>
          <w:rFonts w:ascii="黑体" w:hAnsi="黑体" w:eastAsia="黑体" w:cs="黑体"/>
          <w:b/>
          <w:bCs/>
          <w:spacing w:val="-6"/>
          <w:sz w:val="21"/>
          <w:szCs w:val="21"/>
        </w:rPr>
        <w:t>吨钢耗电</w:t>
      </w:r>
    </w:p>
    <w:p w14:paraId="6479E452">
      <w:pPr>
        <w:spacing w:before="116" w:line="271" w:lineRule="auto"/>
        <w:ind w:left="3819" w:right="67" w:hanging="3379"/>
        <w:rPr>
          <w:rFonts w:ascii="宋体" w:hAnsi="宋体" w:eastAsia="宋体" w:cs="宋体"/>
          <w:sz w:val="21"/>
          <w:szCs w:val="21"/>
        </w:rPr>
      </w:pPr>
      <w:r>
        <w:rPr>
          <w:rFonts w:ascii="宋体" w:hAnsi="宋体" w:eastAsia="宋体" w:cs="宋体"/>
          <w:spacing w:val="7"/>
          <w:sz w:val="21"/>
          <w:szCs w:val="21"/>
        </w:rPr>
        <w:t>计算公式：吨钢耗电(千瓦时/吨)=10000×钢铁工业生产</w:t>
      </w:r>
      <w:r>
        <w:rPr>
          <w:rFonts w:ascii="宋体" w:hAnsi="宋体" w:eastAsia="宋体" w:cs="宋体"/>
          <w:spacing w:val="6"/>
          <w:sz w:val="21"/>
          <w:szCs w:val="21"/>
        </w:rPr>
        <w:t>中净耗电总量(万千瓦时)/粗钢合格产</w:t>
      </w:r>
      <w:r>
        <w:rPr>
          <w:rFonts w:ascii="宋体" w:hAnsi="宋体" w:eastAsia="宋体" w:cs="宋体"/>
          <w:sz w:val="21"/>
          <w:szCs w:val="21"/>
        </w:rPr>
        <w:t xml:space="preserve"> </w:t>
      </w:r>
      <w:r>
        <w:rPr>
          <w:rFonts w:ascii="宋体" w:hAnsi="宋体" w:eastAsia="宋体" w:cs="宋体"/>
          <w:spacing w:val="23"/>
          <w:sz w:val="21"/>
          <w:szCs w:val="21"/>
        </w:rPr>
        <w:t>出量(吨)</w:t>
      </w:r>
    </w:p>
    <w:p w14:paraId="72319BD2">
      <w:pPr>
        <w:spacing w:before="101" w:line="269" w:lineRule="auto"/>
        <w:ind w:right="29" w:firstLine="440"/>
        <w:rPr>
          <w:rFonts w:ascii="宋体" w:hAnsi="宋体" w:eastAsia="宋体" w:cs="宋体"/>
          <w:sz w:val="21"/>
          <w:szCs w:val="21"/>
        </w:rPr>
      </w:pPr>
      <w:r>
        <w:rPr>
          <w:rFonts w:ascii="宋体" w:hAnsi="宋体" w:eastAsia="宋体" w:cs="宋体"/>
          <w:spacing w:val="-2"/>
          <w:sz w:val="21"/>
          <w:szCs w:val="21"/>
        </w:rPr>
        <w:t>分子项：钢铁工业生产中净耗电总量。包括报告期内生产直接消耗的各种电力及其辅助生产系统实</w:t>
      </w:r>
      <w:r>
        <w:rPr>
          <w:rFonts w:ascii="宋体" w:hAnsi="宋体" w:eastAsia="宋体" w:cs="宋体"/>
          <w:spacing w:val="15"/>
          <w:sz w:val="21"/>
          <w:szCs w:val="21"/>
        </w:rPr>
        <w:t xml:space="preserve"> </w:t>
      </w:r>
      <w:r>
        <w:rPr>
          <w:rFonts w:ascii="宋体" w:hAnsi="宋体" w:eastAsia="宋体" w:cs="宋体"/>
          <w:spacing w:val="-3"/>
          <w:sz w:val="21"/>
          <w:szCs w:val="21"/>
        </w:rPr>
        <w:t>际消耗的各种电力，即企业净耗的全部电量。</w:t>
      </w:r>
    </w:p>
    <w:p w14:paraId="78B755FB">
      <w:pPr>
        <w:spacing w:before="90" w:line="369" w:lineRule="exact"/>
        <w:ind w:left="440"/>
        <w:rPr>
          <w:rFonts w:ascii="宋体" w:hAnsi="宋体" w:eastAsia="宋体" w:cs="宋体"/>
          <w:sz w:val="21"/>
          <w:szCs w:val="21"/>
        </w:rPr>
      </w:pPr>
      <w:r>
        <w:rPr>
          <w:rFonts w:ascii="宋体" w:hAnsi="宋体" w:eastAsia="宋体" w:cs="宋体"/>
          <w:spacing w:val="-3"/>
          <w:position w:val="11"/>
          <w:sz w:val="21"/>
          <w:szCs w:val="21"/>
        </w:rPr>
        <w:t>分母项：粗钢合格产出量。说明同上。</w:t>
      </w:r>
    </w:p>
    <w:p w14:paraId="66360589">
      <w:pPr>
        <w:spacing w:before="1" w:line="220" w:lineRule="auto"/>
        <w:ind w:left="440"/>
        <w:rPr>
          <w:rFonts w:ascii="黑体" w:hAnsi="黑体" w:eastAsia="黑体" w:cs="黑体"/>
          <w:sz w:val="21"/>
          <w:szCs w:val="21"/>
        </w:rPr>
      </w:pPr>
      <w:r>
        <w:rPr>
          <w:rFonts w:ascii="黑体" w:hAnsi="黑体" w:eastAsia="黑体" w:cs="黑体"/>
          <w:spacing w:val="-3"/>
          <w:sz w:val="21"/>
          <w:szCs w:val="21"/>
        </w:rPr>
        <w:t>吨钢耗新水</w:t>
      </w:r>
    </w:p>
    <w:p w14:paraId="011A1139">
      <w:pPr>
        <w:spacing w:before="111" w:line="219" w:lineRule="auto"/>
        <w:ind w:left="440"/>
        <w:rPr>
          <w:rFonts w:ascii="宋体" w:hAnsi="宋体" w:eastAsia="宋体" w:cs="宋体"/>
          <w:sz w:val="21"/>
          <w:szCs w:val="21"/>
        </w:rPr>
      </w:pPr>
      <w:r>
        <w:rPr>
          <w:rFonts w:ascii="宋体" w:hAnsi="宋体" w:eastAsia="宋体" w:cs="宋体"/>
          <w:spacing w:val="15"/>
          <w:sz w:val="21"/>
          <w:szCs w:val="21"/>
        </w:rPr>
        <w:t>计算公式：吨钢耗新水(吨/吨)=企业耗用新水</w:t>
      </w:r>
      <w:r>
        <w:rPr>
          <w:rFonts w:ascii="宋体" w:hAnsi="宋体" w:eastAsia="宋体" w:cs="宋体"/>
          <w:spacing w:val="14"/>
          <w:sz w:val="21"/>
          <w:szCs w:val="21"/>
        </w:rPr>
        <w:t>量(吨)/粗钢合格产出量(吨)</w:t>
      </w:r>
    </w:p>
    <w:p w14:paraId="4449733D">
      <w:pPr>
        <w:spacing w:before="118" w:line="269" w:lineRule="auto"/>
        <w:ind w:right="32" w:firstLine="440"/>
        <w:rPr>
          <w:rFonts w:ascii="宋体" w:hAnsi="宋体" w:eastAsia="宋体" w:cs="宋体"/>
          <w:sz w:val="21"/>
          <w:szCs w:val="21"/>
        </w:rPr>
      </w:pPr>
      <w:r>
        <w:rPr>
          <w:rFonts w:ascii="宋体" w:hAnsi="宋体" w:eastAsia="宋体" w:cs="宋体"/>
          <w:spacing w:val="-6"/>
          <w:sz w:val="21"/>
          <w:szCs w:val="21"/>
        </w:rPr>
        <w:t>分子项：企业耗用新水量。指企业报告期内用新鲜水量</w:t>
      </w:r>
      <w:r>
        <w:rPr>
          <w:rFonts w:ascii="宋体" w:hAnsi="宋体" w:eastAsia="宋体" w:cs="宋体"/>
          <w:spacing w:val="-7"/>
          <w:sz w:val="21"/>
          <w:szCs w:val="21"/>
        </w:rPr>
        <w:t>，即直接取自“自来水”、“地下水”、“地</w:t>
      </w:r>
      <w:r>
        <w:rPr>
          <w:rFonts w:ascii="宋体" w:hAnsi="宋体" w:eastAsia="宋体" w:cs="宋体"/>
          <w:sz w:val="21"/>
          <w:szCs w:val="21"/>
        </w:rPr>
        <w:t xml:space="preserve"> </w:t>
      </w:r>
      <w:r>
        <w:rPr>
          <w:rFonts w:ascii="宋体" w:hAnsi="宋体" w:eastAsia="宋体" w:cs="宋体"/>
          <w:spacing w:val="-3"/>
          <w:sz w:val="21"/>
          <w:szCs w:val="21"/>
        </w:rPr>
        <w:t>表水”及其他外购水及水产品的数量。</w:t>
      </w:r>
    </w:p>
    <w:p w14:paraId="2C6AFA89">
      <w:pPr>
        <w:spacing w:before="109" w:line="290" w:lineRule="auto"/>
        <w:ind w:right="5" w:firstLine="440"/>
        <w:rPr>
          <w:rFonts w:ascii="宋体" w:hAnsi="宋体" w:eastAsia="宋体" w:cs="宋体"/>
          <w:sz w:val="21"/>
          <w:szCs w:val="21"/>
        </w:rPr>
      </w:pPr>
      <w:r>
        <w:rPr>
          <w:rFonts w:ascii="宋体" w:hAnsi="宋体" w:eastAsia="宋体" w:cs="宋体"/>
          <w:spacing w:val="6"/>
          <w:sz w:val="21"/>
          <w:szCs w:val="21"/>
        </w:rPr>
        <w:t>钢铁联合企业的普通钢厂或特殊钢厂的新水取水量(新水量)供给范围，包括主要生产(含烧结、</w:t>
      </w:r>
      <w:r>
        <w:rPr>
          <w:rFonts w:ascii="宋体" w:hAnsi="宋体" w:eastAsia="宋体" w:cs="宋体"/>
          <w:spacing w:val="10"/>
          <w:sz w:val="21"/>
          <w:szCs w:val="21"/>
        </w:rPr>
        <w:t xml:space="preserve"> </w:t>
      </w:r>
      <w:r>
        <w:rPr>
          <w:rFonts w:ascii="宋体" w:hAnsi="宋体" w:eastAsia="宋体" w:cs="宋体"/>
          <w:spacing w:val="3"/>
          <w:sz w:val="21"/>
          <w:szCs w:val="21"/>
        </w:rPr>
        <w:t>球团、焦化、炼铁、炼钢、轧钢、金属制品等)、辅助生产(含鼓风机站、氧气站、石灰窑、空压站、</w:t>
      </w:r>
      <w:r>
        <w:rPr>
          <w:rFonts w:ascii="宋体" w:hAnsi="宋体" w:eastAsia="宋体" w:cs="宋体"/>
          <w:spacing w:val="18"/>
          <w:sz w:val="21"/>
          <w:szCs w:val="21"/>
        </w:rPr>
        <w:t xml:space="preserve"> </w:t>
      </w:r>
      <w:r>
        <w:rPr>
          <w:rFonts w:ascii="宋体" w:hAnsi="宋体" w:eastAsia="宋体" w:cs="宋体"/>
          <w:spacing w:val="4"/>
          <w:sz w:val="21"/>
          <w:szCs w:val="21"/>
        </w:rPr>
        <w:t>锅炉房、机修、电修、检化验、运输等)和附属生</w:t>
      </w:r>
      <w:r>
        <w:rPr>
          <w:rFonts w:ascii="宋体" w:hAnsi="宋体" w:eastAsia="宋体" w:cs="宋体"/>
          <w:spacing w:val="3"/>
          <w:sz w:val="21"/>
          <w:szCs w:val="21"/>
        </w:rPr>
        <w:t>产(含厂部、科室、绿化、厂内食堂、厂区和车间浴</w:t>
      </w:r>
      <w:r>
        <w:rPr>
          <w:rFonts w:ascii="宋体" w:hAnsi="宋体" w:eastAsia="宋体" w:cs="宋体"/>
          <w:sz w:val="21"/>
          <w:szCs w:val="21"/>
        </w:rPr>
        <w:t xml:space="preserve"> </w:t>
      </w:r>
      <w:r>
        <w:rPr>
          <w:rFonts w:ascii="宋体" w:hAnsi="宋体" w:eastAsia="宋体" w:cs="宋体"/>
          <w:spacing w:val="8"/>
          <w:sz w:val="21"/>
          <w:szCs w:val="21"/>
        </w:rPr>
        <w:t>室、保健站、厕所等);不包括企业电厂用于发电的取水量(含电厂自用的化学水)、矿山选</w:t>
      </w:r>
      <w:r>
        <w:rPr>
          <w:rFonts w:ascii="宋体" w:hAnsi="宋体" w:eastAsia="宋体" w:cs="宋体"/>
          <w:spacing w:val="7"/>
          <w:sz w:val="21"/>
          <w:szCs w:val="21"/>
        </w:rPr>
        <w:t>矿用水和</w:t>
      </w:r>
      <w:r>
        <w:rPr>
          <w:rFonts w:ascii="宋体" w:hAnsi="宋体" w:eastAsia="宋体" w:cs="宋体"/>
          <w:sz w:val="21"/>
          <w:szCs w:val="21"/>
        </w:rPr>
        <w:t xml:space="preserve"> </w:t>
      </w:r>
      <w:r>
        <w:rPr>
          <w:rFonts w:ascii="宋体" w:hAnsi="宋体" w:eastAsia="宋体" w:cs="宋体"/>
          <w:spacing w:val="-7"/>
          <w:sz w:val="21"/>
          <w:szCs w:val="21"/>
        </w:rPr>
        <w:t>外供水量。</w:t>
      </w:r>
    </w:p>
    <w:p w14:paraId="77C657F8">
      <w:pPr>
        <w:spacing w:before="131" w:line="371" w:lineRule="exact"/>
        <w:ind w:left="440"/>
        <w:rPr>
          <w:rFonts w:ascii="宋体" w:hAnsi="宋体" w:eastAsia="宋体" w:cs="宋体"/>
          <w:sz w:val="21"/>
          <w:szCs w:val="21"/>
        </w:rPr>
      </w:pPr>
      <w:r>
        <w:rPr>
          <w:rFonts w:ascii="宋体" w:hAnsi="宋体" w:eastAsia="宋体" w:cs="宋体"/>
          <w:spacing w:val="-1"/>
          <w:position w:val="12"/>
          <w:sz w:val="21"/>
          <w:szCs w:val="21"/>
        </w:rPr>
        <w:t>不产粗钢的企业可以选定自己的主产品，参照本指标计算“</w:t>
      </w:r>
      <w:r>
        <w:rPr>
          <w:rFonts w:ascii="宋体" w:hAnsi="宋体" w:eastAsia="宋体" w:cs="宋体"/>
          <w:spacing w:val="-2"/>
          <w:position w:val="12"/>
          <w:sz w:val="21"/>
          <w:szCs w:val="21"/>
        </w:rPr>
        <w:t>吨产品耗新水”。</w:t>
      </w:r>
    </w:p>
    <w:p w14:paraId="35C5DE53">
      <w:pPr>
        <w:spacing w:line="219" w:lineRule="auto"/>
        <w:ind w:left="440"/>
        <w:rPr>
          <w:rFonts w:ascii="宋体" w:hAnsi="宋体" w:eastAsia="宋体" w:cs="宋体"/>
          <w:sz w:val="21"/>
          <w:szCs w:val="21"/>
        </w:rPr>
      </w:pPr>
      <w:r>
        <w:rPr>
          <w:rFonts w:ascii="宋体" w:hAnsi="宋体" w:eastAsia="宋体" w:cs="宋体"/>
          <w:spacing w:val="-3"/>
          <w:sz w:val="21"/>
          <w:szCs w:val="21"/>
        </w:rPr>
        <w:t>分母项：粗钢合格产出量。说明同上。</w:t>
      </w:r>
    </w:p>
    <w:p w14:paraId="2DB2BD29">
      <w:pPr>
        <w:spacing w:before="116" w:line="222" w:lineRule="auto"/>
        <w:ind w:left="443"/>
        <w:rPr>
          <w:rFonts w:ascii="黑体" w:hAnsi="黑体" w:eastAsia="黑体" w:cs="黑体"/>
          <w:sz w:val="21"/>
          <w:szCs w:val="21"/>
        </w:rPr>
      </w:pPr>
      <w:r>
        <w:rPr>
          <w:rFonts w:ascii="黑体" w:hAnsi="黑体" w:eastAsia="黑体" w:cs="黑体"/>
          <w:b/>
          <w:bCs/>
          <w:spacing w:val="-3"/>
          <w:sz w:val="21"/>
          <w:szCs w:val="21"/>
        </w:rPr>
        <w:t>铁矿烧结工序单位能耗</w:t>
      </w:r>
    </w:p>
    <w:p w14:paraId="60B7F2C7">
      <w:pPr>
        <w:spacing w:before="111" w:line="219" w:lineRule="auto"/>
        <w:ind w:left="440"/>
        <w:rPr>
          <w:rFonts w:ascii="宋体" w:hAnsi="宋体" w:eastAsia="宋体" w:cs="宋体"/>
          <w:sz w:val="21"/>
          <w:szCs w:val="21"/>
        </w:rPr>
      </w:pPr>
      <w:r>
        <w:rPr>
          <w:rFonts w:ascii="宋体" w:hAnsi="宋体" w:eastAsia="宋体" w:cs="宋体"/>
          <w:spacing w:val="5"/>
          <w:sz w:val="21"/>
          <w:szCs w:val="21"/>
        </w:rPr>
        <w:t>计算公式：铁矿烧结工序单位能耗(千克标准煤/吨)=1000×烧结矿工序净</w:t>
      </w:r>
      <w:r>
        <w:rPr>
          <w:rFonts w:ascii="宋体" w:hAnsi="宋体" w:eastAsia="宋体" w:cs="宋体"/>
          <w:spacing w:val="4"/>
          <w:sz w:val="21"/>
          <w:szCs w:val="21"/>
        </w:rPr>
        <w:t>耗能量</w:t>
      </w:r>
      <w:r>
        <w:rPr>
          <w:rFonts w:ascii="宋体" w:hAnsi="宋体" w:eastAsia="宋体" w:cs="宋体"/>
          <w:spacing w:val="1"/>
          <w:sz w:val="21"/>
          <w:szCs w:val="21"/>
        </w:rPr>
        <w:t xml:space="preserve">  </w:t>
      </w:r>
      <w:r>
        <w:rPr>
          <w:rFonts w:ascii="宋体" w:hAnsi="宋体" w:eastAsia="宋体" w:cs="宋体"/>
          <w:spacing w:val="4"/>
          <w:sz w:val="21"/>
          <w:szCs w:val="21"/>
        </w:rPr>
        <w:t>(吨标准煤)/</w:t>
      </w:r>
    </w:p>
    <w:p w14:paraId="5B1F7377">
      <w:pPr>
        <w:spacing w:before="101" w:line="219" w:lineRule="auto"/>
        <w:ind w:left="5580"/>
        <w:rPr>
          <w:rFonts w:ascii="宋体" w:hAnsi="宋体" w:eastAsia="宋体" w:cs="宋体"/>
          <w:sz w:val="21"/>
          <w:szCs w:val="21"/>
        </w:rPr>
      </w:pPr>
      <w:r>
        <w:rPr>
          <w:rFonts w:ascii="宋体" w:hAnsi="宋体" w:eastAsia="宋体" w:cs="宋体"/>
          <w:spacing w:val="15"/>
          <w:sz w:val="21"/>
          <w:szCs w:val="21"/>
        </w:rPr>
        <w:t>烧结矿产出量(吨)</w:t>
      </w:r>
    </w:p>
    <w:p w14:paraId="512AEF00">
      <w:pPr>
        <w:spacing w:before="120" w:line="268" w:lineRule="auto"/>
        <w:ind w:right="32" w:firstLine="440"/>
        <w:rPr>
          <w:rFonts w:ascii="宋体" w:hAnsi="宋体" w:eastAsia="宋体" w:cs="宋体"/>
          <w:sz w:val="21"/>
          <w:szCs w:val="21"/>
        </w:rPr>
      </w:pPr>
      <w:r>
        <w:rPr>
          <w:rFonts w:ascii="宋体" w:hAnsi="宋体" w:eastAsia="宋体" w:cs="宋体"/>
          <w:spacing w:val="1"/>
          <w:sz w:val="21"/>
          <w:szCs w:val="21"/>
        </w:rPr>
        <w:t>分子项：烧结矿工序净耗能量。包括配料中用的焦粉、煤粉，点火和焙</w:t>
      </w:r>
      <w:r>
        <w:rPr>
          <w:rFonts w:ascii="宋体" w:hAnsi="宋体" w:eastAsia="宋体" w:cs="宋体"/>
          <w:sz w:val="21"/>
          <w:szCs w:val="21"/>
        </w:rPr>
        <w:t xml:space="preserve">烧中用的燃油、煤气(包括 </w:t>
      </w:r>
      <w:r>
        <w:rPr>
          <w:rFonts w:ascii="宋体" w:hAnsi="宋体" w:eastAsia="宋体" w:cs="宋体"/>
          <w:spacing w:val="2"/>
          <w:sz w:val="21"/>
          <w:szCs w:val="21"/>
        </w:rPr>
        <w:t>为保持水分稳定所进行的烘干作业所耗的煤气)和</w:t>
      </w:r>
      <w:r>
        <w:rPr>
          <w:rFonts w:ascii="宋体" w:hAnsi="宋体" w:eastAsia="宋体" w:cs="宋体"/>
          <w:spacing w:val="1"/>
          <w:sz w:val="21"/>
          <w:szCs w:val="21"/>
        </w:rPr>
        <w:t>生产中用的电力等，扣除外供量。</w:t>
      </w:r>
    </w:p>
    <w:p w14:paraId="034F5988">
      <w:pPr>
        <w:spacing w:before="111" w:line="219" w:lineRule="auto"/>
        <w:ind w:left="440"/>
        <w:rPr>
          <w:rFonts w:ascii="宋体" w:hAnsi="宋体" w:eastAsia="宋体" w:cs="宋体"/>
          <w:sz w:val="21"/>
          <w:szCs w:val="21"/>
        </w:rPr>
      </w:pPr>
      <w:r>
        <w:rPr>
          <w:rFonts w:ascii="宋体" w:hAnsi="宋体" w:eastAsia="宋体" w:cs="宋体"/>
          <w:spacing w:val="-4"/>
          <w:sz w:val="21"/>
          <w:szCs w:val="21"/>
        </w:rPr>
        <w:t>分母项：烧结矿产出量。</w:t>
      </w:r>
    </w:p>
    <w:p w14:paraId="45A3389B">
      <w:pPr>
        <w:spacing w:before="98" w:line="222" w:lineRule="auto"/>
        <w:ind w:left="443"/>
        <w:rPr>
          <w:rFonts w:ascii="黑体" w:hAnsi="黑体" w:eastAsia="黑体" w:cs="黑体"/>
          <w:sz w:val="21"/>
          <w:szCs w:val="21"/>
        </w:rPr>
      </w:pPr>
      <w:r>
        <w:rPr>
          <w:rFonts w:ascii="黑体" w:hAnsi="黑体" w:eastAsia="黑体" w:cs="黑体"/>
          <w:b/>
          <w:bCs/>
          <w:spacing w:val="-4"/>
          <w:sz w:val="21"/>
          <w:szCs w:val="21"/>
        </w:rPr>
        <w:t>炼铁工序单位能耗</w:t>
      </w:r>
    </w:p>
    <w:p w14:paraId="52B47259">
      <w:pPr>
        <w:spacing w:before="120" w:line="264" w:lineRule="auto"/>
        <w:ind w:left="5070" w:right="31" w:hanging="4630"/>
        <w:rPr>
          <w:rFonts w:ascii="宋体" w:hAnsi="宋体" w:eastAsia="宋体" w:cs="宋体"/>
          <w:sz w:val="21"/>
          <w:szCs w:val="21"/>
        </w:rPr>
      </w:pPr>
      <w:r>
        <w:rPr>
          <w:rFonts w:ascii="宋体" w:hAnsi="宋体" w:eastAsia="宋体" w:cs="宋体"/>
          <w:spacing w:val="5"/>
          <w:sz w:val="21"/>
          <w:szCs w:val="21"/>
        </w:rPr>
        <w:t>计算公式：炼铁工序单位能耗(千克标准煤/吨)=1000×炼铁工序净耗能量(吨标准煤)/生铁合格</w:t>
      </w:r>
      <w:r>
        <w:rPr>
          <w:rFonts w:ascii="宋体" w:hAnsi="宋体" w:eastAsia="宋体" w:cs="宋体"/>
          <w:spacing w:val="7"/>
          <w:sz w:val="21"/>
          <w:szCs w:val="21"/>
        </w:rPr>
        <w:t xml:space="preserve"> </w:t>
      </w:r>
      <w:r>
        <w:rPr>
          <w:rFonts w:ascii="宋体" w:hAnsi="宋体" w:eastAsia="宋体" w:cs="宋体"/>
          <w:spacing w:val="21"/>
          <w:sz w:val="21"/>
          <w:szCs w:val="21"/>
        </w:rPr>
        <w:t>产出量(吨)</w:t>
      </w:r>
    </w:p>
    <w:p w14:paraId="08381821">
      <w:pPr>
        <w:spacing w:before="111" w:line="219" w:lineRule="auto"/>
        <w:ind w:left="440"/>
        <w:rPr>
          <w:rFonts w:ascii="宋体" w:hAnsi="宋体" w:eastAsia="宋体" w:cs="宋体"/>
          <w:sz w:val="21"/>
          <w:szCs w:val="21"/>
        </w:rPr>
      </w:pPr>
      <w:r>
        <w:rPr>
          <w:rFonts w:ascii="宋体" w:hAnsi="宋体" w:eastAsia="宋体" w:cs="宋体"/>
          <w:spacing w:val="-5"/>
          <w:sz w:val="21"/>
          <w:szCs w:val="21"/>
        </w:rPr>
        <w:t>分子项：炼铁工序净耗能量。</w:t>
      </w:r>
    </w:p>
    <w:p w14:paraId="1E75C5F2">
      <w:pPr>
        <w:spacing w:before="120" w:line="268" w:lineRule="auto"/>
        <w:ind w:left="440" w:right="1672"/>
        <w:rPr>
          <w:rFonts w:ascii="宋体" w:hAnsi="宋体" w:eastAsia="宋体" w:cs="宋体"/>
          <w:sz w:val="21"/>
          <w:szCs w:val="21"/>
        </w:rPr>
      </w:pPr>
      <w:r>
        <w:rPr>
          <w:rFonts w:ascii="宋体" w:hAnsi="宋体" w:eastAsia="宋体" w:cs="宋体"/>
          <w:spacing w:val="2"/>
          <w:sz w:val="21"/>
          <w:szCs w:val="21"/>
        </w:rPr>
        <w:t>炼铁工序净耗能量=炼铁工序内各种能源消耗量之和一炼铁工序能源外供量之和</w:t>
      </w:r>
      <w:r>
        <w:rPr>
          <w:rFonts w:ascii="宋体" w:hAnsi="宋体" w:eastAsia="宋体" w:cs="宋体"/>
          <w:spacing w:val="1"/>
          <w:sz w:val="21"/>
          <w:szCs w:val="21"/>
        </w:rPr>
        <w:t xml:space="preserve"> </w:t>
      </w:r>
      <w:r>
        <w:rPr>
          <w:rFonts w:ascii="宋体" w:hAnsi="宋体" w:eastAsia="宋体" w:cs="宋体"/>
          <w:spacing w:val="-4"/>
          <w:sz w:val="21"/>
          <w:szCs w:val="21"/>
        </w:rPr>
        <w:t>分母项：生铁合格产出量。</w:t>
      </w:r>
    </w:p>
    <w:p w14:paraId="7997AEFB">
      <w:pPr>
        <w:spacing w:before="107" w:line="222" w:lineRule="auto"/>
        <w:ind w:left="443"/>
        <w:rPr>
          <w:rFonts w:ascii="黑体" w:hAnsi="黑体" w:eastAsia="黑体" w:cs="黑体"/>
          <w:sz w:val="21"/>
          <w:szCs w:val="21"/>
        </w:rPr>
      </w:pPr>
      <w:r>
        <w:rPr>
          <w:rFonts w:ascii="黑体" w:hAnsi="黑体" w:eastAsia="黑体" w:cs="黑体"/>
          <w:b/>
          <w:bCs/>
          <w:spacing w:val="-3"/>
          <w:sz w:val="21"/>
          <w:szCs w:val="21"/>
        </w:rPr>
        <w:t>转炉炼钢综合工序单位能耗</w:t>
      </w:r>
    </w:p>
    <w:p w14:paraId="04072C7F">
      <w:pPr>
        <w:spacing w:before="111" w:line="268" w:lineRule="auto"/>
        <w:ind w:left="5969" w:right="29" w:hanging="5529"/>
        <w:rPr>
          <w:rFonts w:ascii="宋体" w:hAnsi="宋体" w:eastAsia="宋体" w:cs="宋体"/>
          <w:sz w:val="21"/>
          <w:szCs w:val="21"/>
        </w:rPr>
      </w:pPr>
      <w:r>
        <w:rPr>
          <w:rFonts w:ascii="宋体" w:hAnsi="宋体" w:eastAsia="宋体" w:cs="宋体"/>
          <w:spacing w:val="5"/>
          <w:sz w:val="21"/>
          <w:szCs w:val="21"/>
        </w:rPr>
        <w:t>计算公式：转炉炼钢综合工序单位能耗(千克标准煤/吨)=1000×转炉炼钢综合工序净耗能量(吨</w:t>
      </w:r>
      <w:r>
        <w:rPr>
          <w:rFonts w:ascii="宋体" w:hAnsi="宋体" w:eastAsia="宋体" w:cs="宋体"/>
          <w:spacing w:val="14"/>
          <w:sz w:val="21"/>
          <w:szCs w:val="21"/>
        </w:rPr>
        <w:t xml:space="preserve"> </w:t>
      </w:r>
      <w:r>
        <w:rPr>
          <w:rFonts w:ascii="宋体" w:hAnsi="宋体" w:eastAsia="宋体" w:cs="宋体"/>
          <w:spacing w:val="10"/>
          <w:sz w:val="21"/>
          <w:szCs w:val="21"/>
        </w:rPr>
        <w:t>标准煤)/转炉钢合格产出量(吨)</w:t>
      </w:r>
    </w:p>
    <w:p w14:paraId="75836EC4">
      <w:pPr>
        <w:spacing w:before="100" w:line="284" w:lineRule="auto"/>
        <w:ind w:right="33" w:firstLine="440"/>
        <w:jc w:val="both"/>
        <w:rPr>
          <w:rFonts w:ascii="宋体" w:hAnsi="宋体" w:eastAsia="宋体" w:cs="宋体"/>
          <w:sz w:val="21"/>
          <w:szCs w:val="21"/>
        </w:rPr>
      </w:pPr>
      <w:r>
        <w:rPr>
          <w:rFonts w:ascii="宋体" w:hAnsi="宋体" w:eastAsia="宋体" w:cs="宋体"/>
          <w:spacing w:val="3"/>
          <w:sz w:val="21"/>
          <w:szCs w:val="21"/>
        </w:rPr>
        <w:t>分子项：转炉炼钢综合工序净耗能量。指从原料进厂到钢锭、连铸钢坯、铸造用液态钢(铸钢水)</w:t>
      </w:r>
      <w:r>
        <w:rPr>
          <w:rFonts w:ascii="宋体" w:hAnsi="宋体" w:eastAsia="宋体" w:cs="宋体"/>
          <w:spacing w:val="6"/>
          <w:sz w:val="21"/>
          <w:szCs w:val="21"/>
        </w:rPr>
        <w:t xml:space="preserve"> </w:t>
      </w:r>
      <w:r>
        <w:rPr>
          <w:rFonts w:ascii="宋体" w:hAnsi="宋体" w:eastAsia="宋体" w:cs="宋体"/>
          <w:spacing w:val="3"/>
          <w:sz w:val="21"/>
          <w:szCs w:val="21"/>
        </w:rPr>
        <w:t>出厂的整个炼钢工序过程，包括铁水预处理、转炉冶炼、二次冶金(精炼)、连铸和铸锭精整、产品出</w:t>
      </w:r>
      <w:r>
        <w:rPr>
          <w:rFonts w:ascii="宋体" w:hAnsi="宋体" w:eastAsia="宋体" w:cs="宋体"/>
          <w:sz w:val="21"/>
          <w:szCs w:val="21"/>
        </w:rPr>
        <w:t xml:space="preserve"> </w:t>
      </w:r>
      <w:r>
        <w:rPr>
          <w:rFonts w:ascii="宋体" w:hAnsi="宋体" w:eastAsia="宋体" w:cs="宋体"/>
          <w:spacing w:val="-1"/>
          <w:sz w:val="21"/>
          <w:szCs w:val="21"/>
        </w:rPr>
        <w:t>厂等全过程的能源消耗量，扣除炼钢工序外供能源量。</w:t>
      </w:r>
    </w:p>
    <w:p w14:paraId="08514E3E">
      <w:pPr>
        <w:spacing w:before="122" w:line="219" w:lineRule="auto"/>
        <w:ind w:left="440"/>
        <w:rPr>
          <w:rFonts w:ascii="宋体" w:hAnsi="宋体" w:eastAsia="宋体" w:cs="宋体"/>
          <w:sz w:val="21"/>
          <w:szCs w:val="21"/>
        </w:rPr>
      </w:pPr>
      <w:r>
        <w:rPr>
          <w:rFonts w:ascii="宋体" w:hAnsi="宋体" w:eastAsia="宋体" w:cs="宋体"/>
          <w:spacing w:val="-5"/>
          <w:sz w:val="21"/>
          <w:szCs w:val="21"/>
        </w:rPr>
        <w:t>分母项：转炉钢合格产出量。</w:t>
      </w:r>
    </w:p>
    <w:p w14:paraId="131E08E0">
      <w:pPr>
        <w:spacing w:line="219" w:lineRule="auto"/>
        <w:rPr>
          <w:rFonts w:ascii="宋体" w:hAnsi="宋体" w:eastAsia="宋体" w:cs="宋体"/>
          <w:sz w:val="21"/>
          <w:szCs w:val="21"/>
        </w:rPr>
        <w:sectPr>
          <w:headerReference r:id="rId47" w:type="default"/>
          <w:pgSz w:w="11910" w:h="16840"/>
          <w:pgMar w:top="1109" w:right="1249" w:bottom="400" w:left="1229" w:header="838" w:footer="0" w:gutter="0"/>
          <w:cols w:space="720" w:num="1"/>
        </w:sectPr>
      </w:pPr>
    </w:p>
    <w:p w14:paraId="3EDA9760">
      <w:pPr>
        <w:pStyle w:val="2"/>
        <w:spacing w:line="294" w:lineRule="auto"/>
      </w:pPr>
    </w:p>
    <w:p w14:paraId="783E8336">
      <w:pPr>
        <w:spacing w:before="68" w:line="222" w:lineRule="auto"/>
        <w:ind w:left="443"/>
        <w:rPr>
          <w:rFonts w:ascii="黑体" w:hAnsi="黑体" w:eastAsia="黑体" w:cs="黑体"/>
          <w:sz w:val="21"/>
          <w:szCs w:val="21"/>
        </w:rPr>
      </w:pPr>
      <w:r>
        <w:rPr>
          <w:rFonts w:ascii="黑体" w:hAnsi="黑体" w:eastAsia="黑体" w:cs="黑体"/>
          <w:b/>
          <w:bCs/>
          <w:spacing w:val="-4"/>
          <w:sz w:val="21"/>
          <w:szCs w:val="21"/>
        </w:rPr>
        <w:t>电炉炼钢综合工序单位能耗</w:t>
      </w:r>
    </w:p>
    <w:p w14:paraId="5E0507FE">
      <w:pPr>
        <w:spacing w:before="101" w:line="380" w:lineRule="exact"/>
        <w:ind w:left="440"/>
        <w:rPr>
          <w:rFonts w:ascii="宋体" w:hAnsi="宋体" w:eastAsia="宋体" w:cs="宋体"/>
          <w:sz w:val="21"/>
          <w:szCs w:val="21"/>
        </w:rPr>
      </w:pPr>
      <w:r>
        <w:rPr>
          <w:rFonts w:ascii="宋体" w:hAnsi="宋体" w:eastAsia="宋体" w:cs="宋体"/>
          <w:spacing w:val="5"/>
          <w:position w:val="12"/>
          <w:sz w:val="21"/>
          <w:szCs w:val="21"/>
        </w:rPr>
        <w:t>计算公式：电炉炼钢综合工序单位能耗(千克标准煤/吨)=1000×电炉炼钢综合工序净耗能量(吨</w:t>
      </w:r>
    </w:p>
    <w:p w14:paraId="2E655E02">
      <w:pPr>
        <w:spacing w:line="219" w:lineRule="auto"/>
        <w:ind w:left="6000"/>
        <w:rPr>
          <w:rFonts w:ascii="宋体" w:hAnsi="宋体" w:eastAsia="宋体" w:cs="宋体"/>
          <w:sz w:val="21"/>
          <w:szCs w:val="21"/>
        </w:rPr>
      </w:pPr>
      <w:r>
        <w:rPr>
          <w:rFonts w:ascii="宋体" w:hAnsi="宋体" w:eastAsia="宋体" w:cs="宋体"/>
          <w:spacing w:val="10"/>
          <w:sz w:val="21"/>
          <w:szCs w:val="21"/>
        </w:rPr>
        <w:t>标准煤)/电炉钢合格产出量(吨)</w:t>
      </w:r>
    </w:p>
    <w:p w14:paraId="78BFBE9F">
      <w:pPr>
        <w:spacing w:before="89" w:line="291" w:lineRule="auto"/>
        <w:ind w:left="10" w:right="89" w:firstLine="430"/>
        <w:jc w:val="both"/>
        <w:rPr>
          <w:rFonts w:ascii="宋体" w:hAnsi="宋体" w:eastAsia="宋体" w:cs="宋体"/>
          <w:sz w:val="21"/>
          <w:szCs w:val="21"/>
        </w:rPr>
      </w:pPr>
      <w:r>
        <w:rPr>
          <w:rFonts w:ascii="宋体" w:hAnsi="宋体" w:eastAsia="宋体" w:cs="宋体"/>
          <w:spacing w:val="3"/>
          <w:sz w:val="21"/>
          <w:szCs w:val="21"/>
        </w:rPr>
        <w:t>分子项：电炉炼钢综合工序净耗能量。指从原料进厂到钢锭、连铸</w:t>
      </w:r>
      <w:r>
        <w:rPr>
          <w:rFonts w:ascii="宋体" w:hAnsi="宋体" w:eastAsia="宋体" w:cs="宋体"/>
          <w:spacing w:val="2"/>
          <w:sz w:val="21"/>
          <w:szCs w:val="21"/>
        </w:rPr>
        <w:t>钢坯、铸造用液态钢(铸钢水)</w:t>
      </w:r>
      <w:r>
        <w:rPr>
          <w:rFonts w:ascii="宋体" w:hAnsi="宋体" w:eastAsia="宋体" w:cs="宋体"/>
          <w:sz w:val="21"/>
          <w:szCs w:val="21"/>
        </w:rPr>
        <w:t xml:space="preserve"> </w:t>
      </w:r>
      <w:r>
        <w:rPr>
          <w:rFonts w:ascii="宋体" w:hAnsi="宋体" w:eastAsia="宋体" w:cs="宋体"/>
          <w:spacing w:val="1"/>
          <w:sz w:val="21"/>
          <w:szCs w:val="21"/>
        </w:rPr>
        <w:t>出厂的整个炼钢工序过程，包括：废钢预热和处理、原材料的烘烤、干燥(包括石灰的二次烘烤</w:t>
      </w:r>
      <w:r>
        <w:rPr>
          <w:rFonts w:ascii="宋体" w:hAnsi="宋体" w:eastAsia="宋体" w:cs="宋体"/>
          <w:sz w:val="21"/>
          <w:szCs w:val="21"/>
        </w:rPr>
        <w:t xml:space="preserve">、耐火 </w:t>
      </w:r>
      <w:r>
        <w:rPr>
          <w:rFonts w:ascii="宋体" w:hAnsi="宋体" w:eastAsia="宋体" w:cs="宋体"/>
          <w:spacing w:val="8"/>
          <w:sz w:val="21"/>
          <w:szCs w:val="21"/>
        </w:rPr>
        <w:t>材料及粉状材料的干燥、铁合金的烘烤等),电炉冶炼(包括熔炼、洗炉、液渣保护等),二次</w:t>
      </w:r>
      <w:r>
        <w:rPr>
          <w:rFonts w:ascii="宋体" w:hAnsi="宋体" w:eastAsia="宋体" w:cs="宋体"/>
          <w:spacing w:val="7"/>
          <w:sz w:val="21"/>
          <w:szCs w:val="21"/>
        </w:rPr>
        <w:t>冶金(炉</w:t>
      </w:r>
      <w:r>
        <w:rPr>
          <w:rFonts w:ascii="宋体" w:hAnsi="宋体" w:eastAsia="宋体" w:cs="宋体"/>
          <w:sz w:val="21"/>
          <w:szCs w:val="21"/>
        </w:rPr>
        <w:t xml:space="preserve"> </w:t>
      </w:r>
      <w:r>
        <w:rPr>
          <w:rFonts w:ascii="宋体" w:hAnsi="宋体" w:eastAsia="宋体" w:cs="宋体"/>
          <w:spacing w:val="5"/>
          <w:sz w:val="21"/>
          <w:szCs w:val="21"/>
        </w:rPr>
        <w:t>外精炼、炉外处理等),连铸和铸锭精整等的能源消耗量，不是仅指电炉冶</w:t>
      </w:r>
      <w:r>
        <w:rPr>
          <w:rFonts w:ascii="宋体" w:hAnsi="宋体" w:eastAsia="宋体" w:cs="宋体"/>
          <w:spacing w:val="4"/>
          <w:sz w:val="21"/>
          <w:szCs w:val="21"/>
        </w:rPr>
        <w:t>炼。</w:t>
      </w:r>
    </w:p>
    <w:p w14:paraId="15A37F52">
      <w:pPr>
        <w:spacing w:before="127" w:line="219" w:lineRule="auto"/>
        <w:ind w:left="440"/>
        <w:rPr>
          <w:rFonts w:ascii="宋体" w:hAnsi="宋体" w:eastAsia="宋体" w:cs="宋体"/>
          <w:sz w:val="21"/>
          <w:szCs w:val="21"/>
        </w:rPr>
      </w:pPr>
      <w:r>
        <w:rPr>
          <w:rFonts w:ascii="宋体" w:hAnsi="宋体" w:eastAsia="宋体" w:cs="宋体"/>
          <w:spacing w:val="-5"/>
          <w:sz w:val="21"/>
          <w:szCs w:val="21"/>
        </w:rPr>
        <w:t>分母项：电炉钢合格产出量。</w:t>
      </w:r>
    </w:p>
    <w:p w14:paraId="25A85030">
      <w:pPr>
        <w:pStyle w:val="2"/>
        <w:spacing w:line="405" w:lineRule="auto"/>
      </w:pPr>
    </w:p>
    <w:p w14:paraId="6C21C0E9">
      <w:pPr>
        <w:spacing w:before="69" w:line="222" w:lineRule="auto"/>
        <w:ind w:left="443"/>
        <w:rPr>
          <w:rFonts w:ascii="黑体" w:hAnsi="黑体" w:eastAsia="黑体" w:cs="黑体"/>
          <w:sz w:val="21"/>
          <w:szCs w:val="21"/>
        </w:rPr>
      </w:pPr>
      <w:r>
        <w:rPr>
          <w:rFonts w:ascii="黑体" w:hAnsi="黑体" w:eastAsia="黑体" w:cs="黑体"/>
          <w:b/>
          <w:bCs/>
          <w:spacing w:val="-5"/>
          <w:sz w:val="21"/>
          <w:szCs w:val="21"/>
        </w:rPr>
        <w:t>电炉炼钢综合电力消耗</w:t>
      </w:r>
    </w:p>
    <w:p w14:paraId="3C85369E">
      <w:pPr>
        <w:spacing w:before="110" w:line="264" w:lineRule="auto"/>
        <w:ind w:left="5159" w:right="59" w:hanging="4719"/>
        <w:rPr>
          <w:rFonts w:ascii="宋体" w:hAnsi="宋体" w:eastAsia="宋体" w:cs="宋体"/>
          <w:sz w:val="21"/>
          <w:szCs w:val="21"/>
        </w:rPr>
      </w:pPr>
      <w:r>
        <w:rPr>
          <w:rFonts w:ascii="宋体" w:hAnsi="宋体" w:eastAsia="宋体" w:cs="宋体"/>
          <w:spacing w:val="6"/>
          <w:sz w:val="21"/>
          <w:szCs w:val="21"/>
        </w:rPr>
        <w:t>计算公式：电炉炼钢综合电力消耗(千瓦时/吨)=10000×电炉炼钢综合电力净消耗量(万千</w:t>
      </w:r>
      <w:r>
        <w:rPr>
          <w:rFonts w:ascii="宋体" w:hAnsi="宋体" w:eastAsia="宋体" w:cs="宋体"/>
          <w:spacing w:val="5"/>
          <w:sz w:val="21"/>
          <w:szCs w:val="21"/>
        </w:rPr>
        <w:t>瓦时)</w:t>
      </w:r>
      <w:r>
        <w:rPr>
          <w:rFonts w:ascii="宋体" w:hAnsi="宋体" w:eastAsia="宋体" w:cs="宋体"/>
          <w:sz w:val="21"/>
          <w:szCs w:val="21"/>
        </w:rPr>
        <w:t xml:space="preserve"> </w:t>
      </w:r>
      <w:r>
        <w:rPr>
          <w:rFonts w:ascii="宋体" w:hAnsi="宋体" w:eastAsia="宋体" w:cs="宋体"/>
          <w:spacing w:val="5"/>
          <w:sz w:val="21"/>
          <w:szCs w:val="21"/>
        </w:rPr>
        <w:t>/电炉钢合格产出量(吨)</w:t>
      </w:r>
    </w:p>
    <w:p w14:paraId="463C3943">
      <w:pPr>
        <w:spacing w:before="100" w:line="291" w:lineRule="auto"/>
        <w:ind w:left="10" w:right="79" w:firstLine="430"/>
        <w:jc w:val="both"/>
        <w:rPr>
          <w:rFonts w:ascii="宋体" w:hAnsi="宋体" w:eastAsia="宋体" w:cs="宋体"/>
          <w:sz w:val="21"/>
          <w:szCs w:val="21"/>
        </w:rPr>
      </w:pPr>
      <w:r>
        <w:rPr>
          <w:rFonts w:ascii="宋体" w:hAnsi="宋体" w:eastAsia="宋体" w:cs="宋体"/>
          <w:spacing w:val="4"/>
          <w:sz w:val="21"/>
          <w:szCs w:val="21"/>
        </w:rPr>
        <w:t>分子项：电炉炼钢综合电力净耗量。指从原料进厂到钢锭</w:t>
      </w:r>
      <w:r>
        <w:rPr>
          <w:rFonts w:ascii="宋体" w:hAnsi="宋体" w:eastAsia="宋体" w:cs="宋体"/>
          <w:spacing w:val="3"/>
          <w:sz w:val="21"/>
          <w:szCs w:val="21"/>
        </w:rPr>
        <w:t>、连铸钢坯、铸造用液态钢(铸钢水)出</w:t>
      </w:r>
      <w:r>
        <w:rPr>
          <w:rFonts w:ascii="宋体" w:hAnsi="宋体" w:eastAsia="宋体" w:cs="宋体"/>
          <w:sz w:val="21"/>
          <w:szCs w:val="21"/>
        </w:rPr>
        <w:t xml:space="preserve"> </w:t>
      </w:r>
      <w:r>
        <w:rPr>
          <w:rFonts w:ascii="宋体" w:hAnsi="宋体" w:eastAsia="宋体" w:cs="宋体"/>
          <w:spacing w:val="1"/>
          <w:sz w:val="21"/>
          <w:szCs w:val="21"/>
        </w:rPr>
        <w:t>厂的整个炼钢工序过程，包括：废钢预热和处理、原材料的烘烤、干燥(包括石灰的二次烘烤</w:t>
      </w:r>
      <w:r>
        <w:rPr>
          <w:rFonts w:ascii="宋体" w:hAnsi="宋体" w:eastAsia="宋体" w:cs="宋体"/>
          <w:sz w:val="21"/>
          <w:szCs w:val="21"/>
        </w:rPr>
        <w:t xml:space="preserve">、耐火材 </w:t>
      </w:r>
      <w:r>
        <w:rPr>
          <w:rFonts w:ascii="宋体" w:hAnsi="宋体" w:eastAsia="宋体" w:cs="宋体"/>
          <w:spacing w:val="12"/>
          <w:sz w:val="21"/>
          <w:szCs w:val="21"/>
        </w:rPr>
        <w:t>料及粉状材料的干燥、铁合金的烘烤等),电炉冶炼(包括熔炼、洗炉、液渣保护等),二次冶金(炉</w:t>
      </w:r>
      <w:r>
        <w:rPr>
          <w:rFonts w:ascii="宋体" w:hAnsi="宋体" w:eastAsia="宋体" w:cs="宋体"/>
          <w:spacing w:val="14"/>
          <w:sz w:val="21"/>
          <w:szCs w:val="21"/>
        </w:rPr>
        <w:t xml:space="preserve"> </w:t>
      </w:r>
      <w:r>
        <w:rPr>
          <w:rFonts w:ascii="宋体" w:hAnsi="宋体" w:eastAsia="宋体" w:cs="宋体"/>
          <w:spacing w:val="5"/>
          <w:sz w:val="21"/>
          <w:szCs w:val="21"/>
        </w:rPr>
        <w:t>外精炼、炉外处理等),连铸和铸锭精整等的电</w:t>
      </w:r>
      <w:r>
        <w:rPr>
          <w:rFonts w:ascii="宋体" w:hAnsi="宋体" w:eastAsia="宋体" w:cs="宋体"/>
          <w:spacing w:val="4"/>
          <w:sz w:val="21"/>
          <w:szCs w:val="21"/>
        </w:rPr>
        <w:t>力消耗量，不是仅指电弧炉冶炼耗电。</w:t>
      </w:r>
    </w:p>
    <w:p w14:paraId="2A3CEA07">
      <w:pPr>
        <w:spacing w:before="127" w:line="219" w:lineRule="auto"/>
        <w:ind w:left="440"/>
        <w:rPr>
          <w:rFonts w:ascii="宋体" w:hAnsi="宋体" w:eastAsia="宋体" w:cs="宋体"/>
          <w:sz w:val="21"/>
          <w:szCs w:val="21"/>
        </w:rPr>
      </w:pPr>
      <w:r>
        <w:rPr>
          <w:rFonts w:ascii="宋体" w:hAnsi="宋体" w:eastAsia="宋体" w:cs="宋体"/>
          <w:spacing w:val="-5"/>
          <w:sz w:val="21"/>
          <w:szCs w:val="21"/>
        </w:rPr>
        <w:t>分母项：电炉钢合格产出量。</w:t>
      </w:r>
    </w:p>
    <w:p w14:paraId="7D44128B">
      <w:pPr>
        <w:spacing w:before="108" w:line="222" w:lineRule="auto"/>
        <w:ind w:left="443"/>
        <w:rPr>
          <w:rFonts w:ascii="黑体" w:hAnsi="黑体" w:eastAsia="黑体" w:cs="黑体"/>
          <w:sz w:val="21"/>
          <w:szCs w:val="21"/>
        </w:rPr>
      </w:pPr>
      <w:r>
        <w:rPr>
          <w:rFonts w:ascii="黑体" w:hAnsi="黑体" w:eastAsia="黑体" w:cs="黑体"/>
          <w:b/>
          <w:bCs/>
          <w:spacing w:val="-4"/>
          <w:sz w:val="21"/>
          <w:szCs w:val="21"/>
        </w:rPr>
        <w:t>轧钢工序单位能耗</w:t>
      </w:r>
    </w:p>
    <w:p w14:paraId="1E58366E">
      <w:pPr>
        <w:spacing w:before="121" w:line="267" w:lineRule="auto"/>
        <w:ind w:left="5159" w:right="96" w:hanging="4719"/>
        <w:rPr>
          <w:rFonts w:ascii="宋体" w:hAnsi="宋体" w:eastAsia="宋体" w:cs="宋体"/>
          <w:sz w:val="21"/>
          <w:szCs w:val="21"/>
        </w:rPr>
      </w:pPr>
      <w:r>
        <w:rPr>
          <w:rFonts w:ascii="宋体" w:hAnsi="宋体" w:eastAsia="宋体" w:cs="宋体"/>
          <w:spacing w:val="5"/>
          <w:sz w:val="21"/>
          <w:szCs w:val="21"/>
        </w:rPr>
        <w:t>计算公式：轧钢工序单位能耗(千克标准煤/吨)=1000×轧钢工序净耗能量(吨标准煤)/企业最终</w:t>
      </w:r>
      <w:r>
        <w:rPr>
          <w:rFonts w:ascii="宋体" w:hAnsi="宋体" w:eastAsia="宋体" w:cs="宋体"/>
          <w:spacing w:val="7"/>
          <w:sz w:val="21"/>
          <w:szCs w:val="21"/>
        </w:rPr>
        <w:t xml:space="preserve"> </w:t>
      </w:r>
      <w:r>
        <w:rPr>
          <w:rFonts w:ascii="宋体" w:hAnsi="宋体" w:eastAsia="宋体" w:cs="宋体"/>
          <w:spacing w:val="9"/>
          <w:sz w:val="21"/>
          <w:szCs w:val="21"/>
        </w:rPr>
        <w:t>钢材产品合格产出量(吨)</w:t>
      </w:r>
    </w:p>
    <w:p w14:paraId="31A51DBF">
      <w:pPr>
        <w:spacing w:before="111" w:line="268" w:lineRule="auto"/>
        <w:ind w:left="10" w:right="92" w:firstLine="430"/>
        <w:rPr>
          <w:rFonts w:ascii="宋体" w:hAnsi="宋体" w:eastAsia="宋体" w:cs="宋体"/>
          <w:sz w:val="21"/>
          <w:szCs w:val="21"/>
        </w:rPr>
      </w:pPr>
      <w:r>
        <w:rPr>
          <w:rFonts w:ascii="宋体" w:hAnsi="宋体" w:eastAsia="宋体" w:cs="宋体"/>
          <w:spacing w:val="-2"/>
          <w:sz w:val="21"/>
          <w:szCs w:val="21"/>
        </w:rPr>
        <w:t>分子项：轧钢工序净耗能量。指包括热压延加工、冷压延加工、焊接加工、镀涂层加工等钢材生产</w:t>
      </w:r>
      <w:r>
        <w:rPr>
          <w:rFonts w:ascii="宋体" w:hAnsi="宋体" w:eastAsia="宋体" w:cs="宋体"/>
          <w:spacing w:val="17"/>
          <w:sz w:val="21"/>
          <w:szCs w:val="21"/>
        </w:rPr>
        <w:t xml:space="preserve"> </w:t>
      </w:r>
      <w:r>
        <w:rPr>
          <w:rFonts w:ascii="宋体" w:hAnsi="宋体" w:eastAsia="宋体" w:cs="宋体"/>
          <w:spacing w:val="-4"/>
          <w:sz w:val="21"/>
          <w:szCs w:val="21"/>
        </w:rPr>
        <w:t>的各个环节所消耗的净能量。</w:t>
      </w:r>
    </w:p>
    <w:p w14:paraId="48A0B1E0">
      <w:pPr>
        <w:spacing w:before="111" w:line="267" w:lineRule="auto"/>
        <w:ind w:left="10" w:firstLine="430"/>
        <w:rPr>
          <w:rFonts w:ascii="宋体" w:hAnsi="宋体" w:eastAsia="宋体" w:cs="宋体"/>
          <w:sz w:val="21"/>
          <w:szCs w:val="21"/>
        </w:rPr>
      </w:pPr>
      <w:r>
        <w:rPr>
          <w:rFonts w:ascii="宋体" w:hAnsi="宋体" w:eastAsia="宋体" w:cs="宋体"/>
          <w:spacing w:val="1"/>
          <w:sz w:val="21"/>
          <w:szCs w:val="21"/>
        </w:rPr>
        <w:t>分母项：企业最终钢材产品合格产出量。轧钢包括的种</w:t>
      </w:r>
      <w:r>
        <w:rPr>
          <w:rFonts w:ascii="宋体" w:hAnsi="宋体" w:eastAsia="宋体" w:cs="宋体"/>
          <w:sz w:val="21"/>
          <w:szCs w:val="21"/>
        </w:rPr>
        <w:t xml:space="preserve">类主要有：线材(盘条)、特厚板、厚钢板、 </w:t>
      </w:r>
      <w:r>
        <w:rPr>
          <w:rFonts w:ascii="宋体" w:hAnsi="宋体" w:eastAsia="宋体" w:cs="宋体"/>
          <w:spacing w:val="-5"/>
          <w:sz w:val="21"/>
          <w:szCs w:val="21"/>
        </w:rPr>
        <w:t>中板、热轧薄板、冷轧薄板、中厚宽钢带、热轧薄宽钢带、冷轧薄宽钢带、热轧窄钢带、冷轧窄钢带等。</w:t>
      </w:r>
    </w:p>
    <w:p w14:paraId="2AD52922">
      <w:pPr>
        <w:spacing w:before="98" w:line="222" w:lineRule="auto"/>
        <w:ind w:left="443"/>
        <w:rPr>
          <w:rFonts w:ascii="黑体" w:hAnsi="黑体" w:eastAsia="黑体" w:cs="黑体"/>
          <w:sz w:val="21"/>
          <w:szCs w:val="21"/>
        </w:rPr>
      </w:pPr>
      <w:r>
        <w:rPr>
          <w:rFonts w:ascii="黑体" w:hAnsi="黑体" w:eastAsia="黑体" w:cs="黑体"/>
          <w:b/>
          <w:bCs/>
          <w:spacing w:val="-6"/>
          <w:sz w:val="21"/>
          <w:szCs w:val="21"/>
        </w:rPr>
        <w:t>轧钢工序单位电力消耗</w:t>
      </w:r>
    </w:p>
    <w:p w14:paraId="306F6733">
      <w:pPr>
        <w:spacing w:before="122" w:line="263" w:lineRule="auto"/>
        <w:ind w:left="5070" w:right="115" w:hanging="4630"/>
        <w:rPr>
          <w:rFonts w:ascii="宋体" w:hAnsi="宋体" w:eastAsia="宋体" w:cs="宋体"/>
          <w:sz w:val="21"/>
          <w:szCs w:val="21"/>
        </w:rPr>
      </w:pPr>
      <w:r>
        <w:rPr>
          <w:rFonts w:ascii="宋体" w:hAnsi="宋体" w:eastAsia="宋体" w:cs="宋体"/>
          <w:spacing w:val="7"/>
          <w:sz w:val="21"/>
          <w:szCs w:val="21"/>
        </w:rPr>
        <w:t>计算公式：轧钢工序单位电力消耗(千瓦时/吨)=10000×轧钢工序电力净消耗量(万千瓦时)/企</w:t>
      </w:r>
      <w:r>
        <w:rPr>
          <w:rFonts w:ascii="宋体" w:hAnsi="宋体" w:eastAsia="宋体" w:cs="宋体"/>
          <w:sz w:val="21"/>
          <w:szCs w:val="21"/>
        </w:rPr>
        <w:t xml:space="preserve"> </w:t>
      </w:r>
      <w:r>
        <w:rPr>
          <w:rFonts w:ascii="宋体" w:hAnsi="宋体" w:eastAsia="宋体" w:cs="宋体"/>
          <w:spacing w:val="7"/>
          <w:sz w:val="21"/>
          <w:szCs w:val="21"/>
        </w:rPr>
        <w:t>业最终钢材产品合格产出量(吨)</w:t>
      </w:r>
    </w:p>
    <w:p w14:paraId="4C5D9934">
      <w:pPr>
        <w:spacing w:before="111" w:line="370" w:lineRule="exact"/>
        <w:ind w:right="15"/>
        <w:jc w:val="right"/>
        <w:rPr>
          <w:rFonts w:ascii="宋体" w:hAnsi="宋体" w:eastAsia="宋体" w:cs="宋体"/>
          <w:sz w:val="21"/>
          <w:szCs w:val="21"/>
        </w:rPr>
      </w:pPr>
      <w:r>
        <w:rPr>
          <w:rFonts w:ascii="宋体" w:hAnsi="宋体" w:eastAsia="宋体" w:cs="宋体"/>
          <w:spacing w:val="-5"/>
          <w:position w:val="12"/>
          <w:sz w:val="21"/>
          <w:szCs w:val="21"/>
        </w:rPr>
        <w:t>分子项：轧钢工序电力消耗量。指钢材生产过程的全部用电量，其中包括热处理、压缩空气、氮气、</w:t>
      </w:r>
    </w:p>
    <w:p w14:paraId="6B742B37">
      <w:pPr>
        <w:spacing w:before="1" w:line="218" w:lineRule="auto"/>
        <w:ind w:left="10"/>
        <w:rPr>
          <w:rFonts w:ascii="宋体" w:hAnsi="宋体" w:eastAsia="宋体" w:cs="宋体"/>
          <w:sz w:val="21"/>
          <w:szCs w:val="21"/>
        </w:rPr>
      </w:pPr>
      <w:r>
        <w:rPr>
          <w:rFonts w:ascii="宋体" w:hAnsi="宋体" w:eastAsia="宋体" w:cs="宋体"/>
          <w:spacing w:val="-1"/>
          <w:sz w:val="21"/>
          <w:szCs w:val="21"/>
        </w:rPr>
        <w:t>蒸汽、氢气、冷却水等介质系统的用电，但不包括大</w:t>
      </w:r>
      <w:r>
        <w:rPr>
          <w:rFonts w:ascii="宋体" w:hAnsi="宋体" w:eastAsia="宋体" w:cs="宋体"/>
          <w:spacing w:val="-2"/>
          <w:sz w:val="21"/>
          <w:szCs w:val="21"/>
        </w:rPr>
        <w:t>修理及非生产用电。</w:t>
      </w:r>
    </w:p>
    <w:p w14:paraId="317CAAA6">
      <w:pPr>
        <w:spacing w:before="111" w:line="219" w:lineRule="auto"/>
        <w:ind w:left="440"/>
        <w:rPr>
          <w:rFonts w:ascii="宋体" w:hAnsi="宋体" w:eastAsia="宋体" w:cs="宋体"/>
          <w:sz w:val="21"/>
          <w:szCs w:val="21"/>
        </w:rPr>
      </w:pPr>
      <w:r>
        <w:rPr>
          <w:rFonts w:ascii="宋体" w:hAnsi="宋体" w:eastAsia="宋体" w:cs="宋体"/>
          <w:spacing w:val="-3"/>
          <w:sz w:val="21"/>
          <w:szCs w:val="21"/>
        </w:rPr>
        <w:t>分母项：企业最终钢材产品合格产出量。轧钢类型同上。</w:t>
      </w:r>
    </w:p>
    <w:p w14:paraId="48BD5FB6">
      <w:pPr>
        <w:spacing w:before="99" w:line="222" w:lineRule="auto"/>
        <w:ind w:left="443"/>
        <w:rPr>
          <w:rFonts w:ascii="黑体" w:hAnsi="黑体" w:eastAsia="黑体" w:cs="黑体"/>
          <w:sz w:val="21"/>
          <w:szCs w:val="21"/>
        </w:rPr>
      </w:pPr>
      <w:r>
        <w:rPr>
          <w:rFonts w:ascii="黑体" w:hAnsi="黑体" w:eastAsia="黑体" w:cs="黑体"/>
          <w:b/>
          <w:bCs/>
          <w:spacing w:val="-4"/>
          <w:sz w:val="21"/>
          <w:szCs w:val="21"/>
        </w:rPr>
        <w:t>硅铁工序单位能耗</w:t>
      </w:r>
    </w:p>
    <w:p w14:paraId="1251B61D">
      <w:pPr>
        <w:spacing w:before="120" w:line="219" w:lineRule="auto"/>
        <w:ind w:left="440"/>
        <w:rPr>
          <w:rFonts w:ascii="宋体" w:hAnsi="宋体" w:eastAsia="宋体" w:cs="宋体"/>
          <w:sz w:val="21"/>
          <w:szCs w:val="21"/>
        </w:rPr>
      </w:pPr>
      <w:r>
        <w:rPr>
          <w:rFonts w:ascii="宋体" w:hAnsi="宋体" w:eastAsia="宋体" w:cs="宋体"/>
          <w:spacing w:val="5"/>
          <w:sz w:val="21"/>
          <w:szCs w:val="21"/>
        </w:rPr>
        <w:t>计算公式：硅铁工序单位能耗(千克标准煤/标准吨)=1000×硅铁工序净耗能量(吨标准煤)/硅铁</w:t>
      </w:r>
    </w:p>
    <w:p w14:paraId="3B7E45D9">
      <w:pPr>
        <w:spacing w:before="111" w:line="268" w:lineRule="auto"/>
        <w:ind w:left="440" w:right="1599" w:firstLine="5039"/>
        <w:rPr>
          <w:rFonts w:ascii="宋体" w:hAnsi="宋体" w:eastAsia="宋体" w:cs="宋体"/>
          <w:sz w:val="21"/>
          <w:szCs w:val="21"/>
        </w:rPr>
      </w:pPr>
      <w:r>
        <w:rPr>
          <w:rFonts w:ascii="宋体" w:hAnsi="宋体" w:eastAsia="宋体" w:cs="宋体"/>
          <w:spacing w:val="8"/>
          <w:sz w:val="21"/>
          <w:szCs w:val="21"/>
        </w:rPr>
        <w:t>合格产品标准量(标准吨)</w:t>
      </w:r>
      <w:r>
        <w:rPr>
          <w:rFonts w:ascii="宋体" w:hAnsi="宋体" w:eastAsia="宋体" w:cs="宋体"/>
          <w:spacing w:val="9"/>
          <w:sz w:val="21"/>
          <w:szCs w:val="21"/>
        </w:rPr>
        <w:t xml:space="preserve"> </w:t>
      </w:r>
      <w:r>
        <w:rPr>
          <w:rFonts w:ascii="宋体" w:hAnsi="宋体" w:eastAsia="宋体" w:cs="宋体"/>
          <w:spacing w:val="-2"/>
          <w:sz w:val="21"/>
          <w:szCs w:val="21"/>
        </w:rPr>
        <w:t>分子项：硅铁工序净耗能量。指硅铁工序中的能耗量。</w:t>
      </w:r>
    </w:p>
    <w:p w14:paraId="5C295ACB">
      <w:pPr>
        <w:spacing w:before="111" w:line="219" w:lineRule="auto"/>
        <w:ind w:left="440"/>
        <w:rPr>
          <w:rFonts w:ascii="宋体" w:hAnsi="宋体" w:eastAsia="宋体" w:cs="宋体"/>
          <w:sz w:val="21"/>
          <w:szCs w:val="21"/>
        </w:rPr>
      </w:pPr>
      <w:r>
        <w:rPr>
          <w:rFonts w:ascii="宋体" w:hAnsi="宋体" w:eastAsia="宋体" w:cs="宋体"/>
          <w:spacing w:val="2"/>
          <w:sz w:val="21"/>
          <w:szCs w:val="21"/>
        </w:rPr>
        <w:t>分母项：硅铁合格产品标准量。指硅铁按含硅75%的标</w:t>
      </w:r>
      <w:r>
        <w:rPr>
          <w:rFonts w:ascii="宋体" w:hAnsi="宋体" w:eastAsia="宋体" w:cs="宋体"/>
          <w:spacing w:val="1"/>
          <w:sz w:val="21"/>
          <w:szCs w:val="21"/>
        </w:rPr>
        <w:t>准折算为标准吨。</w:t>
      </w:r>
    </w:p>
    <w:p w14:paraId="4C1BDCEF">
      <w:pPr>
        <w:spacing w:before="97" w:line="222" w:lineRule="auto"/>
        <w:ind w:left="443"/>
        <w:rPr>
          <w:rFonts w:ascii="黑体" w:hAnsi="黑体" w:eastAsia="黑体" w:cs="黑体"/>
          <w:sz w:val="21"/>
          <w:szCs w:val="21"/>
        </w:rPr>
      </w:pPr>
      <w:r>
        <w:rPr>
          <w:rFonts w:ascii="黑体" w:hAnsi="黑体" w:eastAsia="黑体" w:cs="黑体"/>
          <w:b/>
          <w:bCs/>
          <w:spacing w:val="-4"/>
          <w:sz w:val="21"/>
          <w:szCs w:val="21"/>
        </w:rPr>
        <w:t>硅铁单位电耗</w:t>
      </w:r>
    </w:p>
    <w:p w14:paraId="63C986FD">
      <w:pPr>
        <w:spacing w:before="120" w:line="269" w:lineRule="auto"/>
        <w:ind w:left="4749" w:right="91" w:hanging="4309"/>
        <w:rPr>
          <w:rFonts w:ascii="宋体" w:hAnsi="宋体" w:eastAsia="宋体" w:cs="宋体"/>
          <w:sz w:val="21"/>
          <w:szCs w:val="21"/>
        </w:rPr>
      </w:pPr>
      <w:r>
        <w:rPr>
          <w:rFonts w:ascii="宋体" w:hAnsi="宋体" w:eastAsia="宋体" w:cs="宋体"/>
          <w:spacing w:val="8"/>
          <w:sz w:val="21"/>
          <w:szCs w:val="21"/>
        </w:rPr>
        <w:t>计算公式：硅铁单位电耗(千瓦时/标准吨)=10</w:t>
      </w:r>
      <w:r>
        <w:rPr>
          <w:rFonts w:ascii="宋体" w:hAnsi="宋体" w:eastAsia="宋体" w:cs="宋体"/>
          <w:spacing w:val="7"/>
          <w:sz w:val="21"/>
          <w:szCs w:val="21"/>
        </w:rPr>
        <w:t>000×硅铁冶炼总耗电量(万千瓦时)/硅铁合格产</w:t>
      </w:r>
      <w:r>
        <w:rPr>
          <w:rFonts w:ascii="宋体" w:hAnsi="宋体" w:eastAsia="宋体" w:cs="宋体"/>
          <w:sz w:val="21"/>
          <w:szCs w:val="21"/>
        </w:rPr>
        <w:t xml:space="preserve"> </w:t>
      </w:r>
      <w:r>
        <w:rPr>
          <w:rFonts w:ascii="宋体" w:hAnsi="宋体" w:eastAsia="宋体" w:cs="宋体"/>
          <w:spacing w:val="11"/>
          <w:sz w:val="21"/>
          <w:szCs w:val="21"/>
        </w:rPr>
        <w:t>品标准量(标准吨)</w:t>
      </w:r>
    </w:p>
    <w:p w14:paraId="134DB9F4">
      <w:pPr>
        <w:spacing w:before="109" w:line="219" w:lineRule="auto"/>
        <w:ind w:left="440"/>
        <w:rPr>
          <w:rFonts w:ascii="宋体" w:hAnsi="宋体" w:eastAsia="宋体" w:cs="宋体"/>
          <w:sz w:val="21"/>
          <w:szCs w:val="21"/>
        </w:rPr>
      </w:pPr>
      <w:r>
        <w:rPr>
          <w:rFonts w:ascii="宋体" w:hAnsi="宋体" w:eastAsia="宋体" w:cs="宋体"/>
          <w:spacing w:val="-1"/>
          <w:sz w:val="21"/>
          <w:szCs w:val="21"/>
        </w:rPr>
        <w:t>分子项：硅铁冶炼总耗电量。指硅铁工序中的电</w:t>
      </w:r>
      <w:r>
        <w:rPr>
          <w:rFonts w:ascii="宋体" w:hAnsi="宋体" w:eastAsia="宋体" w:cs="宋体"/>
          <w:spacing w:val="-2"/>
          <w:sz w:val="21"/>
          <w:szCs w:val="21"/>
        </w:rPr>
        <w:t>力消耗量，包括产品冶炼过程用电和生产时的烘炉</w:t>
      </w:r>
    </w:p>
    <w:p w14:paraId="39B919BB">
      <w:pPr>
        <w:spacing w:line="219" w:lineRule="auto"/>
        <w:rPr>
          <w:rFonts w:ascii="宋体" w:hAnsi="宋体" w:eastAsia="宋体" w:cs="宋体"/>
          <w:sz w:val="21"/>
          <w:szCs w:val="21"/>
        </w:rPr>
        <w:sectPr>
          <w:headerReference r:id="rId48" w:type="default"/>
          <w:pgSz w:w="11910" w:h="16840"/>
          <w:pgMar w:top="1109" w:right="1174" w:bottom="400" w:left="1239" w:header="838" w:footer="0" w:gutter="0"/>
          <w:cols w:space="720" w:num="1"/>
        </w:sectPr>
      </w:pPr>
    </w:p>
    <w:p w14:paraId="10BF0F18">
      <w:pPr>
        <w:pStyle w:val="2"/>
        <w:spacing w:line="288" w:lineRule="auto"/>
      </w:pPr>
    </w:p>
    <w:p w14:paraId="577B229B">
      <w:pPr>
        <w:spacing w:before="69" w:line="219" w:lineRule="auto"/>
        <w:ind w:left="10"/>
        <w:rPr>
          <w:rFonts w:ascii="宋体" w:hAnsi="宋体" w:eastAsia="宋体" w:cs="宋体"/>
          <w:sz w:val="21"/>
          <w:szCs w:val="21"/>
        </w:rPr>
      </w:pPr>
      <w:r>
        <w:rPr>
          <w:rFonts w:ascii="宋体" w:hAnsi="宋体" w:eastAsia="宋体" w:cs="宋体"/>
          <w:spacing w:val="-3"/>
          <w:sz w:val="21"/>
          <w:szCs w:val="21"/>
        </w:rPr>
        <w:t>用电、洗炉用电、动力用电、照明用电等。</w:t>
      </w:r>
    </w:p>
    <w:p w14:paraId="705DD66A">
      <w:pPr>
        <w:spacing w:before="120" w:line="219" w:lineRule="auto"/>
        <w:ind w:left="410"/>
        <w:rPr>
          <w:rFonts w:ascii="宋体" w:hAnsi="宋体" w:eastAsia="宋体" w:cs="宋体"/>
          <w:sz w:val="21"/>
          <w:szCs w:val="21"/>
        </w:rPr>
      </w:pPr>
      <w:r>
        <w:rPr>
          <w:rFonts w:ascii="宋体" w:hAnsi="宋体" w:eastAsia="宋体" w:cs="宋体"/>
          <w:spacing w:val="2"/>
          <w:sz w:val="21"/>
          <w:szCs w:val="21"/>
        </w:rPr>
        <w:t>分母项：硅铁合格产品标准量。硅铁按含硅75%的标准折</w:t>
      </w:r>
      <w:r>
        <w:rPr>
          <w:rFonts w:ascii="宋体" w:hAnsi="宋体" w:eastAsia="宋体" w:cs="宋体"/>
          <w:spacing w:val="1"/>
          <w:sz w:val="21"/>
          <w:szCs w:val="21"/>
        </w:rPr>
        <w:t>算为标准吨。</w:t>
      </w:r>
    </w:p>
    <w:p w14:paraId="37BB0DC1">
      <w:pPr>
        <w:pStyle w:val="2"/>
        <w:spacing w:line="397" w:lineRule="auto"/>
      </w:pPr>
    </w:p>
    <w:p w14:paraId="31587829">
      <w:pPr>
        <w:spacing w:before="68" w:line="222" w:lineRule="auto"/>
        <w:ind w:left="413"/>
        <w:rPr>
          <w:rFonts w:ascii="黑体" w:hAnsi="黑体" w:eastAsia="黑体" w:cs="黑体"/>
          <w:sz w:val="21"/>
          <w:szCs w:val="21"/>
        </w:rPr>
      </w:pPr>
      <w:r>
        <w:rPr>
          <w:rFonts w:ascii="黑体" w:hAnsi="黑体" w:eastAsia="黑体" w:cs="黑体"/>
          <w:b/>
          <w:bCs/>
          <w:spacing w:val="-3"/>
          <w:sz w:val="21"/>
          <w:szCs w:val="21"/>
        </w:rPr>
        <w:t>锰硅合金工序单位能耗</w:t>
      </w:r>
    </w:p>
    <w:p w14:paraId="666A96AB">
      <w:pPr>
        <w:spacing w:before="120" w:line="219" w:lineRule="auto"/>
        <w:ind w:right="23"/>
        <w:jc w:val="right"/>
        <w:rPr>
          <w:rFonts w:ascii="宋体" w:hAnsi="宋体" w:eastAsia="宋体" w:cs="宋体"/>
          <w:sz w:val="21"/>
          <w:szCs w:val="21"/>
        </w:rPr>
      </w:pPr>
      <w:r>
        <w:rPr>
          <w:rFonts w:ascii="宋体" w:hAnsi="宋体" w:eastAsia="宋体" w:cs="宋体"/>
          <w:spacing w:val="-1"/>
          <w:sz w:val="21"/>
          <w:szCs w:val="21"/>
        </w:rPr>
        <w:t>计算公式：锰硅合金工序单位能耗(千克标准煤/标准吨)=1000×锰硅合金工序净耗能量(吨标准煤)</w:t>
      </w:r>
    </w:p>
    <w:p w14:paraId="458DF83B">
      <w:pPr>
        <w:spacing w:before="109" w:line="264" w:lineRule="auto"/>
        <w:ind w:left="410" w:right="474" w:firstLine="5329"/>
        <w:rPr>
          <w:rFonts w:ascii="宋体" w:hAnsi="宋体" w:eastAsia="宋体" w:cs="宋体"/>
          <w:sz w:val="21"/>
          <w:szCs w:val="21"/>
        </w:rPr>
      </w:pPr>
      <w:r>
        <w:rPr>
          <w:rFonts w:ascii="宋体" w:hAnsi="宋体" w:eastAsia="宋体" w:cs="宋体"/>
          <w:spacing w:val="-3"/>
          <w:sz w:val="21"/>
          <w:szCs w:val="21"/>
        </w:rPr>
        <w:t>/锰硅合金合格产品标准量(标准吨)</w:t>
      </w:r>
      <w:r>
        <w:rPr>
          <w:rFonts w:ascii="宋体" w:hAnsi="宋体" w:eastAsia="宋体" w:cs="宋体"/>
          <w:sz w:val="21"/>
          <w:szCs w:val="21"/>
        </w:rPr>
        <w:t xml:space="preserve"> </w:t>
      </w:r>
      <w:r>
        <w:rPr>
          <w:rFonts w:ascii="宋体" w:hAnsi="宋体" w:eastAsia="宋体" w:cs="宋体"/>
          <w:spacing w:val="-2"/>
          <w:sz w:val="21"/>
          <w:szCs w:val="21"/>
        </w:rPr>
        <w:t>分子项：锰硅合金工序净耗能量。指锰硅合金冶炼工序中的</w:t>
      </w:r>
      <w:r>
        <w:rPr>
          <w:rFonts w:ascii="宋体" w:hAnsi="宋体" w:eastAsia="宋体" w:cs="宋体"/>
          <w:spacing w:val="-3"/>
          <w:sz w:val="21"/>
          <w:szCs w:val="21"/>
        </w:rPr>
        <w:t>能耗量。</w:t>
      </w:r>
    </w:p>
    <w:p w14:paraId="13B0659A">
      <w:pPr>
        <w:spacing w:before="121" w:line="219" w:lineRule="auto"/>
        <w:ind w:left="410"/>
        <w:rPr>
          <w:rFonts w:ascii="宋体" w:hAnsi="宋体" w:eastAsia="宋体" w:cs="宋体"/>
          <w:sz w:val="21"/>
          <w:szCs w:val="21"/>
        </w:rPr>
      </w:pPr>
      <w:r>
        <w:rPr>
          <w:rFonts w:ascii="宋体" w:hAnsi="宋体" w:eastAsia="宋体" w:cs="宋体"/>
          <w:spacing w:val="4"/>
          <w:sz w:val="21"/>
          <w:szCs w:val="21"/>
        </w:rPr>
        <w:t>分母项：锰硅合金合格产品标准量。锰硅合金按硅+锰=82%的标准折算。</w:t>
      </w:r>
    </w:p>
    <w:p w14:paraId="1415C472">
      <w:pPr>
        <w:spacing w:before="97" w:line="222" w:lineRule="auto"/>
        <w:ind w:left="413"/>
        <w:rPr>
          <w:rFonts w:ascii="黑体" w:hAnsi="黑体" w:eastAsia="黑体" w:cs="黑体"/>
          <w:sz w:val="21"/>
          <w:szCs w:val="21"/>
        </w:rPr>
      </w:pPr>
      <w:r>
        <w:rPr>
          <w:rFonts w:ascii="黑体" w:hAnsi="黑体" w:eastAsia="黑体" w:cs="黑体"/>
          <w:b/>
          <w:bCs/>
          <w:spacing w:val="-3"/>
          <w:sz w:val="21"/>
          <w:szCs w:val="21"/>
        </w:rPr>
        <w:t>锰硅合金单位电耗</w:t>
      </w:r>
    </w:p>
    <w:p w14:paraId="55F172DB">
      <w:pPr>
        <w:spacing w:before="120" w:line="268" w:lineRule="auto"/>
        <w:ind w:left="5159" w:right="92" w:hanging="4749"/>
        <w:rPr>
          <w:rFonts w:ascii="宋体" w:hAnsi="宋体" w:eastAsia="宋体" w:cs="宋体"/>
          <w:sz w:val="21"/>
          <w:szCs w:val="21"/>
        </w:rPr>
      </w:pPr>
      <w:r>
        <w:rPr>
          <w:rFonts w:ascii="宋体" w:hAnsi="宋体" w:eastAsia="宋体" w:cs="宋体"/>
          <w:spacing w:val="7"/>
          <w:sz w:val="21"/>
          <w:szCs w:val="21"/>
        </w:rPr>
        <w:t>计算公式：锰硅合金单位电耗(千瓦时/标准吨)=1</w:t>
      </w:r>
      <w:r>
        <w:rPr>
          <w:rFonts w:ascii="宋体" w:hAnsi="宋体" w:eastAsia="宋体" w:cs="宋体"/>
          <w:spacing w:val="6"/>
          <w:sz w:val="21"/>
          <w:szCs w:val="21"/>
        </w:rPr>
        <w:t>0000×锰硅合金冶炼总耗电量(万千瓦时)/锰</w:t>
      </w:r>
      <w:r>
        <w:rPr>
          <w:rFonts w:ascii="宋体" w:hAnsi="宋体" w:eastAsia="宋体" w:cs="宋体"/>
          <w:sz w:val="21"/>
          <w:szCs w:val="21"/>
        </w:rPr>
        <w:t xml:space="preserve"> </w:t>
      </w:r>
      <w:r>
        <w:rPr>
          <w:rFonts w:ascii="宋体" w:hAnsi="宋体" w:eastAsia="宋体" w:cs="宋体"/>
          <w:spacing w:val="8"/>
          <w:sz w:val="21"/>
          <w:szCs w:val="21"/>
        </w:rPr>
        <w:t>硅合金合格产品标准量(标准吨)</w:t>
      </w:r>
    </w:p>
    <w:p w14:paraId="1FCFC03C">
      <w:pPr>
        <w:spacing w:before="112" w:line="263" w:lineRule="auto"/>
        <w:ind w:left="10" w:right="41" w:firstLine="400"/>
        <w:rPr>
          <w:rFonts w:ascii="宋体" w:hAnsi="宋体" w:eastAsia="宋体" w:cs="宋体"/>
          <w:sz w:val="21"/>
          <w:szCs w:val="21"/>
        </w:rPr>
      </w:pPr>
      <w:r>
        <w:rPr>
          <w:rFonts w:ascii="宋体" w:hAnsi="宋体" w:eastAsia="宋体" w:cs="宋体"/>
          <w:spacing w:val="-1"/>
          <w:sz w:val="21"/>
          <w:szCs w:val="21"/>
        </w:rPr>
        <w:t>分子项：锰硅合金冶炼总耗电量。指硅锰合金冶炼工</w:t>
      </w:r>
      <w:r>
        <w:rPr>
          <w:rFonts w:ascii="宋体" w:hAnsi="宋体" w:eastAsia="宋体" w:cs="宋体"/>
          <w:spacing w:val="-2"/>
          <w:sz w:val="21"/>
          <w:szCs w:val="21"/>
        </w:rPr>
        <w:t>序中电力消耗量。电力消耗量包括产品冶炼过</w:t>
      </w:r>
      <w:r>
        <w:rPr>
          <w:rFonts w:ascii="宋体" w:hAnsi="宋体" w:eastAsia="宋体" w:cs="宋体"/>
          <w:sz w:val="21"/>
          <w:szCs w:val="21"/>
        </w:rPr>
        <w:t xml:space="preserve"> </w:t>
      </w:r>
      <w:r>
        <w:rPr>
          <w:rFonts w:ascii="宋体" w:hAnsi="宋体" w:eastAsia="宋体" w:cs="宋体"/>
          <w:spacing w:val="-2"/>
          <w:sz w:val="21"/>
          <w:szCs w:val="21"/>
        </w:rPr>
        <w:t>程电和生产时的烘炉电、洗炉电、动力电、照明电等。</w:t>
      </w:r>
    </w:p>
    <w:p w14:paraId="5D44E2C2">
      <w:pPr>
        <w:spacing w:before="121" w:line="219" w:lineRule="auto"/>
        <w:ind w:left="410"/>
        <w:rPr>
          <w:rFonts w:ascii="宋体" w:hAnsi="宋体" w:eastAsia="宋体" w:cs="宋体"/>
          <w:sz w:val="21"/>
          <w:szCs w:val="21"/>
        </w:rPr>
      </w:pPr>
      <w:r>
        <w:rPr>
          <w:rFonts w:ascii="宋体" w:hAnsi="宋体" w:eastAsia="宋体" w:cs="宋体"/>
          <w:spacing w:val="4"/>
          <w:sz w:val="21"/>
          <w:szCs w:val="21"/>
        </w:rPr>
        <w:t>分母项：锰硅合金合格产品标准量。锰硅合金按硅+锰=82%的标准折算。</w:t>
      </w:r>
    </w:p>
    <w:p w14:paraId="69D0F0AE">
      <w:pPr>
        <w:pStyle w:val="2"/>
        <w:spacing w:line="395" w:lineRule="auto"/>
      </w:pPr>
    </w:p>
    <w:p w14:paraId="4BB9746D">
      <w:pPr>
        <w:spacing w:before="68" w:line="221" w:lineRule="auto"/>
        <w:ind w:left="413"/>
        <w:rPr>
          <w:rFonts w:ascii="黑体" w:hAnsi="黑体" w:eastAsia="黑体" w:cs="黑体"/>
          <w:sz w:val="21"/>
          <w:szCs w:val="21"/>
        </w:rPr>
      </w:pPr>
      <w:r>
        <w:rPr>
          <w:rFonts w:ascii="黑体" w:hAnsi="黑体" w:eastAsia="黑体" w:cs="黑体"/>
          <w:b/>
          <w:bCs/>
          <w:spacing w:val="20"/>
          <w:sz w:val="21"/>
          <w:szCs w:val="21"/>
        </w:rPr>
        <w:t>铜(32)</w:t>
      </w:r>
    </w:p>
    <w:p w14:paraId="31342CCE">
      <w:pPr>
        <w:spacing w:before="109" w:line="221" w:lineRule="auto"/>
        <w:ind w:left="413"/>
        <w:rPr>
          <w:rFonts w:ascii="黑体" w:hAnsi="黑体" w:eastAsia="黑体" w:cs="黑体"/>
          <w:sz w:val="21"/>
          <w:szCs w:val="21"/>
        </w:rPr>
      </w:pPr>
      <w:r>
        <w:rPr>
          <w:rFonts w:ascii="黑体" w:hAnsi="黑体" w:eastAsia="黑体" w:cs="黑体"/>
          <w:b/>
          <w:bCs/>
          <w:spacing w:val="-4"/>
          <w:sz w:val="21"/>
          <w:szCs w:val="21"/>
        </w:rPr>
        <w:t>单位粗铜综合能耗</w:t>
      </w:r>
    </w:p>
    <w:p w14:paraId="7E190A9D">
      <w:pPr>
        <w:spacing w:before="114" w:line="263" w:lineRule="auto"/>
        <w:ind w:left="5169" w:right="182" w:hanging="4759"/>
        <w:rPr>
          <w:rFonts w:ascii="宋体" w:hAnsi="宋体" w:eastAsia="宋体" w:cs="宋体"/>
          <w:sz w:val="21"/>
          <w:szCs w:val="21"/>
        </w:rPr>
      </w:pPr>
      <w:r>
        <w:rPr>
          <w:rFonts w:ascii="宋体" w:hAnsi="宋体" w:eastAsia="宋体" w:cs="宋体"/>
          <w:spacing w:val="7"/>
          <w:sz w:val="21"/>
          <w:szCs w:val="21"/>
        </w:rPr>
        <w:t>计算公式：单位粗铜综合能耗(千克标准煤/吨)=1000×矿产粗铜综合能源消费量(吨标准煤)/</w:t>
      </w:r>
      <w:r>
        <w:rPr>
          <w:rFonts w:ascii="宋体" w:hAnsi="宋体" w:eastAsia="宋体" w:cs="宋体"/>
          <w:sz w:val="21"/>
          <w:szCs w:val="21"/>
        </w:rPr>
        <w:t xml:space="preserve"> </w:t>
      </w:r>
      <w:r>
        <w:rPr>
          <w:rFonts w:ascii="宋体" w:hAnsi="宋体" w:eastAsia="宋体" w:cs="宋体"/>
          <w:spacing w:val="12"/>
          <w:sz w:val="21"/>
          <w:szCs w:val="21"/>
        </w:rPr>
        <w:t>矿产粗铜产量(吨)</w:t>
      </w:r>
    </w:p>
    <w:p w14:paraId="47308158">
      <w:pPr>
        <w:spacing w:before="120" w:line="264" w:lineRule="auto"/>
        <w:ind w:left="410" w:right="1305"/>
        <w:rPr>
          <w:rFonts w:ascii="宋体" w:hAnsi="宋体" w:eastAsia="宋体" w:cs="宋体"/>
          <w:sz w:val="21"/>
          <w:szCs w:val="21"/>
        </w:rPr>
      </w:pPr>
      <w:r>
        <w:rPr>
          <w:rFonts w:ascii="宋体" w:hAnsi="宋体" w:eastAsia="宋体" w:cs="宋体"/>
          <w:spacing w:val="-2"/>
          <w:sz w:val="21"/>
          <w:szCs w:val="21"/>
        </w:rPr>
        <w:t>分子项：矿产粗铜综合能源消费量。指从处理铜精矿到产出粗铜所消耗的能源总量。</w:t>
      </w:r>
      <w:r>
        <w:rPr>
          <w:rFonts w:ascii="宋体" w:hAnsi="宋体" w:eastAsia="宋体" w:cs="宋体"/>
          <w:spacing w:val="7"/>
          <w:sz w:val="21"/>
          <w:szCs w:val="21"/>
        </w:rPr>
        <w:t xml:space="preserve"> </w:t>
      </w:r>
      <w:r>
        <w:rPr>
          <w:rFonts w:ascii="宋体" w:hAnsi="宋体" w:eastAsia="宋体" w:cs="宋体"/>
          <w:spacing w:val="-3"/>
          <w:sz w:val="21"/>
          <w:szCs w:val="21"/>
        </w:rPr>
        <w:t>分母项：矿产粗铜产量。指合格入库产量。</w:t>
      </w:r>
    </w:p>
    <w:p w14:paraId="1A76ADAA">
      <w:pPr>
        <w:spacing w:before="116" w:line="221" w:lineRule="auto"/>
        <w:ind w:left="413"/>
        <w:rPr>
          <w:rFonts w:ascii="黑体" w:hAnsi="黑体" w:eastAsia="黑体" w:cs="黑体"/>
          <w:sz w:val="21"/>
          <w:szCs w:val="21"/>
        </w:rPr>
      </w:pPr>
      <w:r>
        <w:rPr>
          <w:rFonts w:ascii="黑体" w:hAnsi="黑体" w:eastAsia="黑体" w:cs="黑体"/>
          <w:b/>
          <w:bCs/>
          <w:spacing w:val="-4"/>
          <w:sz w:val="21"/>
          <w:szCs w:val="21"/>
        </w:rPr>
        <w:t>铜精炼综合能耗</w:t>
      </w:r>
    </w:p>
    <w:p w14:paraId="7651FE90">
      <w:pPr>
        <w:spacing w:before="102" w:line="370" w:lineRule="exact"/>
        <w:ind w:left="410"/>
        <w:rPr>
          <w:rFonts w:ascii="宋体" w:hAnsi="宋体" w:eastAsia="宋体" w:cs="宋体"/>
          <w:sz w:val="21"/>
          <w:szCs w:val="21"/>
        </w:rPr>
      </w:pPr>
      <w:r>
        <w:rPr>
          <w:rFonts w:ascii="宋体" w:hAnsi="宋体" w:eastAsia="宋体" w:cs="宋体"/>
          <w:spacing w:val="6"/>
          <w:position w:val="12"/>
          <w:sz w:val="21"/>
          <w:szCs w:val="21"/>
        </w:rPr>
        <w:t>计算公式：铜精炼综合能耗(千克标准煤/吨)=1000×粗铜到精炼铜消耗的能源总量(吨标准煤)</w:t>
      </w:r>
    </w:p>
    <w:p w14:paraId="2D308885">
      <w:pPr>
        <w:spacing w:before="1" w:line="218" w:lineRule="auto"/>
        <w:ind w:left="4950"/>
        <w:rPr>
          <w:rFonts w:ascii="宋体" w:hAnsi="宋体" w:eastAsia="宋体" w:cs="宋体"/>
          <w:sz w:val="21"/>
          <w:szCs w:val="21"/>
        </w:rPr>
      </w:pPr>
      <w:r>
        <w:rPr>
          <w:rFonts w:ascii="宋体" w:hAnsi="宋体" w:eastAsia="宋体" w:cs="宋体"/>
          <w:spacing w:val="20"/>
          <w:sz w:val="21"/>
          <w:szCs w:val="21"/>
        </w:rPr>
        <w:t>/精炼铜(电解铜)产量(吨)</w:t>
      </w:r>
    </w:p>
    <w:p w14:paraId="356357EA">
      <w:pPr>
        <w:spacing w:before="112" w:line="268" w:lineRule="auto"/>
        <w:ind w:left="10" w:right="53" w:firstLine="400"/>
        <w:rPr>
          <w:rFonts w:ascii="宋体" w:hAnsi="宋体" w:eastAsia="宋体" w:cs="宋体"/>
          <w:sz w:val="21"/>
          <w:szCs w:val="21"/>
        </w:rPr>
      </w:pPr>
      <w:r>
        <w:rPr>
          <w:rFonts w:ascii="宋体" w:hAnsi="宋体" w:eastAsia="宋体" w:cs="宋体"/>
          <w:spacing w:val="8"/>
          <w:sz w:val="21"/>
          <w:szCs w:val="21"/>
        </w:rPr>
        <w:t>分子项：粗铜到精炼铜(电解铜)消耗的能源总量。指从投入粗铜开始到产出精炼铜(电解铜)的</w:t>
      </w:r>
      <w:r>
        <w:rPr>
          <w:rFonts w:ascii="宋体" w:hAnsi="宋体" w:eastAsia="宋体" w:cs="宋体"/>
          <w:spacing w:val="1"/>
          <w:sz w:val="21"/>
          <w:szCs w:val="21"/>
        </w:rPr>
        <w:t xml:space="preserve"> </w:t>
      </w:r>
      <w:r>
        <w:rPr>
          <w:rFonts w:ascii="宋体" w:hAnsi="宋体" w:eastAsia="宋体" w:cs="宋体"/>
          <w:spacing w:val="-4"/>
          <w:sz w:val="21"/>
          <w:szCs w:val="21"/>
        </w:rPr>
        <w:t>生产过程中消耗的能源量。</w:t>
      </w:r>
    </w:p>
    <w:p w14:paraId="0183EDA2">
      <w:pPr>
        <w:tabs>
          <w:tab w:val="left" w:pos="120"/>
        </w:tabs>
        <w:spacing w:before="99" w:line="290" w:lineRule="auto"/>
        <w:ind w:left="10" w:right="37" w:firstLine="400"/>
        <w:rPr>
          <w:rFonts w:ascii="宋体" w:hAnsi="宋体" w:eastAsia="宋体" w:cs="宋体"/>
          <w:sz w:val="21"/>
          <w:szCs w:val="21"/>
        </w:rPr>
      </w:pPr>
      <w:r>
        <w:rPr>
          <w:rFonts w:ascii="宋体" w:hAnsi="宋体" w:eastAsia="宋体" w:cs="宋体"/>
          <w:spacing w:val="3"/>
          <w:sz w:val="21"/>
          <w:szCs w:val="21"/>
        </w:rPr>
        <w:t>分母项：精炼铜(电解铜)产量。指合格入库产量。包括以铜精矿作原料经电解生产的矿产阴极铜</w:t>
      </w:r>
      <w:r>
        <w:rPr>
          <w:rFonts w:ascii="宋体" w:hAnsi="宋体" w:eastAsia="宋体" w:cs="宋体"/>
          <w:spacing w:val="4"/>
          <w:sz w:val="21"/>
          <w:szCs w:val="21"/>
        </w:rPr>
        <w:t xml:space="preserve"> </w:t>
      </w:r>
      <w:r>
        <w:rPr>
          <w:rFonts w:ascii="宋体" w:hAnsi="宋体" w:eastAsia="宋体" w:cs="宋体"/>
          <w:sz w:val="21"/>
          <w:szCs w:val="21"/>
        </w:rPr>
        <w:tab/>
      </w:r>
      <w:r>
        <w:rPr>
          <w:rFonts w:ascii="宋体" w:hAnsi="宋体" w:eastAsia="宋体" w:cs="宋体"/>
          <w:spacing w:val="5"/>
          <w:sz w:val="21"/>
          <w:szCs w:val="21"/>
        </w:rPr>
        <w:t>(也叫矿产铜)、以铜废料作原料经电解生产的再生铜(杂产铜)、以购买的粗铜和阳极铜作原料经电</w:t>
      </w:r>
      <w:r>
        <w:rPr>
          <w:rFonts w:ascii="宋体" w:hAnsi="宋体" w:eastAsia="宋体" w:cs="宋体"/>
          <w:spacing w:val="6"/>
          <w:sz w:val="21"/>
          <w:szCs w:val="21"/>
        </w:rPr>
        <w:t xml:space="preserve"> </w:t>
      </w:r>
      <w:r>
        <w:rPr>
          <w:rFonts w:ascii="宋体" w:hAnsi="宋体" w:eastAsia="宋体" w:cs="宋体"/>
          <w:spacing w:val="-2"/>
          <w:sz w:val="21"/>
          <w:szCs w:val="21"/>
        </w:rPr>
        <w:t>解生产的精炼铜和湿法冶炼生产的电极铜。</w:t>
      </w:r>
    </w:p>
    <w:p w14:paraId="2B207409">
      <w:pPr>
        <w:spacing w:before="97" w:line="221" w:lineRule="auto"/>
        <w:ind w:left="413"/>
        <w:rPr>
          <w:rFonts w:ascii="黑体" w:hAnsi="黑体" w:eastAsia="黑体" w:cs="黑体"/>
          <w:sz w:val="21"/>
          <w:szCs w:val="21"/>
        </w:rPr>
      </w:pPr>
      <w:r>
        <w:rPr>
          <w:rFonts w:ascii="黑体" w:hAnsi="黑体" w:eastAsia="黑体" w:cs="黑体"/>
          <w:b/>
          <w:bCs/>
          <w:spacing w:val="-4"/>
          <w:sz w:val="21"/>
          <w:szCs w:val="21"/>
        </w:rPr>
        <w:t>单位铜冶炼综合能耗</w:t>
      </w:r>
    </w:p>
    <w:p w14:paraId="14501CEC">
      <w:pPr>
        <w:spacing w:before="113" w:line="263" w:lineRule="auto"/>
        <w:ind w:left="5370" w:right="60" w:hanging="4960"/>
        <w:rPr>
          <w:rFonts w:ascii="宋体" w:hAnsi="宋体" w:eastAsia="宋体" w:cs="宋体"/>
          <w:sz w:val="21"/>
          <w:szCs w:val="21"/>
        </w:rPr>
      </w:pPr>
      <w:r>
        <w:rPr>
          <w:rFonts w:ascii="宋体" w:hAnsi="宋体" w:eastAsia="宋体" w:cs="宋体"/>
          <w:spacing w:val="5"/>
          <w:sz w:val="21"/>
          <w:szCs w:val="21"/>
        </w:rPr>
        <w:t>计算公式：单位铜冶炼综合能耗(千克标准煤/吨)=1000×铜冶炼各工序综合能源消费量(吨标准</w:t>
      </w:r>
      <w:r>
        <w:rPr>
          <w:rFonts w:ascii="宋体" w:hAnsi="宋体" w:eastAsia="宋体" w:cs="宋体"/>
          <w:spacing w:val="3"/>
          <w:sz w:val="21"/>
          <w:szCs w:val="21"/>
        </w:rPr>
        <w:t xml:space="preserve"> </w:t>
      </w:r>
      <w:r>
        <w:rPr>
          <w:rFonts w:ascii="宋体" w:hAnsi="宋体" w:eastAsia="宋体" w:cs="宋体"/>
          <w:spacing w:val="23"/>
          <w:sz w:val="21"/>
          <w:szCs w:val="21"/>
        </w:rPr>
        <w:t>煤)/精炼铜(电解铜)产量(吨)</w:t>
      </w:r>
    </w:p>
    <w:p w14:paraId="488A8D63">
      <w:pPr>
        <w:spacing w:before="112" w:line="268" w:lineRule="auto"/>
        <w:ind w:left="10" w:right="47" w:firstLine="400"/>
        <w:rPr>
          <w:rFonts w:ascii="宋体" w:hAnsi="宋体" w:eastAsia="宋体" w:cs="宋体"/>
          <w:sz w:val="21"/>
          <w:szCs w:val="21"/>
        </w:rPr>
      </w:pPr>
      <w:r>
        <w:rPr>
          <w:rFonts w:ascii="宋体" w:hAnsi="宋体" w:eastAsia="宋体" w:cs="宋体"/>
          <w:spacing w:val="3"/>
          <w:sz w:val="21"/>
          <w:szCs w:val="21"/>
        </w:rPr>
        <w:t>分子项：铜冶炼各工序综合能源消费量。指从处理铜精矿等物料到产出精炼铜(电解铜)的过程中</w:t>
      </w:r>
      <w:r>
        <w:rPr>
          <w:rFonts w:ascii="宋体" w:hAnsi="宋体" w:eastAsia="宋体" w:cs="宋体"/>
          <w:spacing w:val="13"/>
          <w:sz w:val="21"/>
          <w:szCs w:val="21"/>
        </w:rPr>
        <w:t xml:space="preserve"> </w:t>
      </w:r>
      <w:r>
        <w:rPr>
          <w:rFonts w:ascii="宋体" w:hAnsi="宋体" w:eastAsia="宋体" w:cs="宋体"/>
          <w:spacing w:val="-4"/>
          <w:sz w:val="21"/>
          <w:szCs w:val="21"/>
        </w:rPr>
        <w:t>所消耗的各类能源总量。</w:t>
      </w:r>
    </w:p>
    <w:p w14:paraId="4089F587">
      <w:pPr>
        <w:spacing w:before="119" w:line="219" w:lineRule="auto"/>
        <w:ind w:left="410"/>
        <w:rPr>
          <w:rFonts w:ascii="宋体" w:hAnsi="宋体" w:eastAsia="宋体" w:cs="宋体"/>
          <w:sz w:val="21"/>
          <w:szCs w:val="21"/>
        </w:rPr>
      </w:pPr>
      <w:r>
        <w:rPr>
          <w:rFonts w:ascii="宋体" w:hAnsi="宋体" w:eastAsia="宋体" w:cs="宋体"/>
          <w:spacing w:val="7"/>
          <w:sz w:val="21"/>
          <w:szCs w:val="21"/>
        </w:rPr>
        <w:t>分母项：精炼铜(电解铜)产量。说明同上。</w:t>
      </w:r>
    </w:p>
    <w:p w14:paraId="670375E5">
      <w:pPr>
        <w:spacing w:before="118" w:line="221" w:lineRule="auto"/>
        <w:ind w:left="413"/>
        <w:rPr>
          <w:rFonts w:ascii="黑体" w:hAnsi="黑体" w:eastAsia="黑体" w:cs="黑体"/>
          <w:sz w:val="21"/>
          <w:szCs w:val="21"/>
        </w:rPr>
      </w:pPr>
      <w:r>
        <w:rPr>
          <w:rFonts w:ascii="黑体" w:hAnsi="黑体" w:eastAsia="黑体" w:cs="黑体"/>
          <w:b/>
          <w:bCs/>
          <w:spacing w:val="-3"/>
          <w:sz w:val="21"/>
          <w:szCs w:val="21"/>
        </w:rPr>
        <w:t>铜电解直流电单耗</w:t>
      </w:r>
    </w:p>
    <w:p w14:paraId="3B2E46FF">
      <w:pPr>
        <w:spacing w:before="92" w:line="219" w:lineRule="auto"/>
        <w:ind w:left="410"/>
        <w:rPr>
          <w:rFonts w:ascii="宋体" w:hAnsi="宋体" w:eastAsia="宋体" w:cs="宋体"/>
          <w:sz w:val="21"/>
          <w:szCs w:val="21"/>
        </w:rPr>
      </w:pPr>
      <w:r>
        <w:rPr>
          <w:rFonts w:ascii="宋体" w:hAnsi="宋体" w:eastAsia="宋体" w:cs="宋体"/>
          <w:spacing w:val="10"/>
          <w:sz w:val="21"/>
          <w:szCs w:val="21"/>
        </w:rPr>
        <w:t>计算公式：铜电解直流电单耗(千瓦时/吨)=10000×精炼铜(电解铜)消</w:t>
      </w:r>
      <w:r>
        <w:rPr>
          <w:rFonts w:ascii="宋体" w:hAnsi="宋体" w:eastAsia="宋体" w:cs="宋体"/>
          <w:spacing w:val="9"/>
          <w:sz w:val="21"/>
          <w:szCs w:val="21"/>
        </w:rPr>
        <w:t>耗的直流电量(万千瓦</w:t>
      </w:r>
    </w:p>
    <w:p w14:paraId="06850D02">
      <w:pPr>
        <w:spacing w:before="131" w:line="263" w:lineRule="auto"/>
        <w:ind w:left="410" w:right="1564" w:firstLine="4319"/>
        <w:rPr>
          <w:rFonts w:ascii="宋体" w:hAnsi="宋体" w:eastAsia="宋体" w:cs="宋体"/>
          <w:sz w:val="21"/>
          <w:szCs w:val="21"/>
        </w:rPr>
      </w:pPr>
      <w:r>
        <w:rPr>
          <w:rFonts w:ascii="宋体" w:hAnsi="宋体" w:eastAsia="宋体" w:cs="宋体"/>
          <w:spacing w:val="24"/>
          <w:sz w:val="21"/>
          <w:szCs w:val="21"/>
        </w:rPr>
        <w:t>时)/精炼铜(电解铜)产量(吨)</w:t>
      </w:r>
      <w:r>
        <w:rPr>
          <w:rFonts w:ascii="宋体" w:hAnsi="宋体" w:eastAsia="宋体" w:cs="宋体"/>
          <w:spacing w:val="10"/>
          <w:sz w:val="21"/>
          <w:szCs w:val="21"/>
        </w:rPr>
        <w:t xml:space="preserve"> </w:t>
      </w:r>
      <w:r>
        <w:rPr>
          <w:rFonts w:ascii="宋体" w:hAnsi="宋体" w:eastAsia="宋体" w:cs="宋体"/>
          <w:spacing w:val="5"/>
          <w:sz w:val="21"/>
          <w:szCs w:val="21"/>
        </w:rPr>
        <w:t>分子项：精炼铜(电解铜)消耗的直流电量。包括线</w:t>
      </w:r>
      <w:r>
        <w:rPr>
          <w:rFonts w:ascii="宋体" w:hAnsi="宋体" w:eastAsia="宋体" w:cs="宋体"/>
          <w:spacing w:val="4"/>
          <w:sz w:val="21"/>
          <w:szCs w:val="21"/>
        </w:rPr>
        <w:t>路损失量和始极片耗电量。</w:t>
      </w:r>
    </w:p>
    <w:p w14:paraId="7B8F71B6">
      <w:pPr>
        <w:spacing w:line="263" w:lineRule="auto"/>
        <w:rPr>
          <w:rFonts w:ascii="宋体" w:hAnsi="宋体" w:eastAsia="宋体" w:cs="宋体"/>
          <w:sz w:val="21"/>
          <w:szCs w:val="21"/>
        </w:rPr>
        <w:sectPr>
          <w:headerReference r:id="rId49" w:type="default"/>
          <w:pgSz w:w="11910" w:h="16840"/>
          <w:pgMar w:top="1109" w:right="1249" w:bottom="400" w:left="1239" w:header="867" w:footer="0" w:gutter="0"/>
          <w:cols w:space="720" w:num="1"/>
        </w:sectPr>
      </w:pPr>
    </w:p>
    <w:p w14:paraId="0757FC44">
      <w:pPr>
        <w:pStyle w:val="2"/>
        <w:spacing w:line="297" w:lineRule="auto"/>
      </w:pPr>
    </w:p>
    <w:p w14:paraId="42261A20">
      <w:pPr>
        <w:spacing w:before="68" w:line="219" w:lineRule="auto"/>
        <w:ind w:left="420"/>
        <w:rPr>
          <w:rFonts w:ascii="宋体" w:hAnsi="宋体" w:eastAsia="宋体" w:cs="宋体"/>
          <w:sz w:val="21"/>
          <w:szCs w:val="21"/>
        </w:rPr>
      </w:pPr>
      <w:r>
        <w:rPr>
          <w:rFonts w:ascii="宋体" w:hAnsi="宋体" w:eastAsia="宋体" w:cs="宋体"/>
          <w:spacing w:val="7"/>
          <w:sz w:val="21"/>
          <w:szCs w:val="21"/>
        </w:rPr>
        <w:t>分母项：精炼铜(电解铜)产量。说明同上。</w:t>
      </w:r>
    </w:p>
    <w:p w14:paraId="33FC18A2">
      <w:pPr>
        <w:pStyle w:val="2"/>
        <w:spacing w:line="399" w:lineRule="auto"/>
      </w:pPr>
    </w:p>
    <w:p w14:paraId="1A5C9DAB">
      <w:pPr>
        <w:spacing w:before="68" w:line="224" w:lineRule="auto"/>
        <w:ind w:left="423"/>
        <w:rPr>
          <w:rFonts w:ascii="黑体" w:hAnsi="黑体" w:eastAsia="黑体" w:cs="黑体"/>
          <w:sz w:val="21"/>
          <w:szCs w:val="21"/>
        </w:rPr>
      </w:pPr>
      <w:r>
        <w:rPr>
          <w:rFonts w:ascii="黑体" w:hAnsi="黑体" w:eastAsia="黑体" w:cs="黑体"/>
          <w:b/>
          <w:bCs/>
          <w:spacing w:val="22"/>
          <w:sz w:val="21"/>
          <w:szCs w:val="21"/>
        </w:rPr>
        <w:t>铝(32)</w:t>
      </w:r>
    </w:p>
    <w:p w14:paraId="1FFD3BDC">
      <w:pPr>
        <w:spacing w:before="111" w:line="220" w:lineRule="auto"/>
        <w:ind w:left="423"/>
        <w:rPr>
          <w:rFonts w:ascii="黑体" w:hAnsi="黑体" w:eastAsia="黑体" w:cs="黑体"/>
          <w:sz w:val="21"/>
          <w:szCs w:val="21"/>
        </w:rPr>
      </w:pPr>
      <w:r>
        <w:rPr>
          <w:rFonts w:ascii="黑体" w:hAnsi="黑体" w:eastAsia="黑体" w:cs="黑体"/>
          <w:b/>
          <w:bCs/>
          <w:spacing w:val="-6"/>
          <w:sz w:val="21"/>
          <w:szCs w:val="21"/>
        </w:rPr>
        <w:t>单位氧化铝综合能耗</w:t>
      </w:r>
    </w:p>
    <w:p w14:paraId="63FB2BC2">
      <w:pPr>
        <w:spacing w:before="114" w:line="263" w:lineRule="auto"/>
        <w:ind w:left="5259" w:right="19" w:hanging="4839"/>
        <w:rPr>
          <w:rFonts w:ascii="宋体" w:hAnsi="宋体" w:eastAsia="宋体" w:cs="宋体"/>
          <w:sz w:val="21"/>
          <w:szCs w:val="21"/>
        </w:rPr>
      </w:pPr>
      <w:r>
        <w:rPr>
          <w:rFonts w:ascii="宋体" w:hAnsi="宋体" w:eastAsia="宋体" w:cs="宋体"/>
          <w:spacing w:val="4"/>
          <w:sz w:val="21"/>
          <w:szCs w:val="21"/>
        </w:rPr>
        <w:t>计算公式：单位氧化铝综合能耗(千克标准煤/吨)=1000×氧化铝生</w:t>
      </w:r>
      <w:r>
        <w:rPr>
          <w:rFonts w:ascii="宋体" w:hAnsi="宋体" w:eastAsia="宋体" w:cs="宋体"/>
          <w:spacing w:val="3"/>
          <w:sz w:val="21"/>
          <w:szCs w:val="21"/>
        </w:rPr>
        <w:t>产综合能源消费量(吨标准煤)</w:t>
      </w:r>
      <w:r>
        <w:rPr>
          <w:rFonts w:ascii="宋体" w:hAnsi="宋体" w:eastAsia="宋体" w:cs="宋体"/>
          <w:sz w:val="21"/>
          <w:szCs w:val="21"/>
        </w:rPr>
        <w:t xml:space="preserve"> </w:t>
      </w:r>
      <w:r>
        <w:rPr>
          <w:rFonts w:ascii="宋体" w:hAnsi="宋体" w:eastAsia="宋体" w:cs="宋体"/>
          <w:spacing w:val="7"/>
          <w:sz w:val="21"/>
          <w:szCs w:val="21"/>
        </w:rPr>
        <w:t>/实产氧化铝产量(吨)</w:t>
      </w:r>
    </w:p>
    <w:p w14:paraId="73502A14">
      <w:pPr>
        <w:spacing w:before="102" w:line="325" w:lineRule="auto"/>
        <w:ind w:left="10" w:right="44" w:firstLine="410"/>
        <w:jc w:val="both"/>
        <w:rPr>
          <w:rFonts w:ascii="宋体" w:hAnsi="宋体" w:eastAsia="宋体" w:cs="宋体"/>
          <w:sz w:val="21"/>
          <w:szCs w:val="21"/>
        </w:rPr>
      </w:pPr>
      <w:r>
        <w:rPr>
          <w:rFonts w:ascii="宋体" w:hAnsi="宋体" w:eastAsia="宋体" w:cs="宋体"/>
          <w:spacing w:val="-2"/>
          <w:sz w:val="21"/>
          <w:szCs w:val="21"/>
        </w:rPr>
        <w:t>分子项：氧化铝生产综合能源消费量。包括氧化铝工艺用能和间接能源消耗。氧化铝工艺用能，指</w:t>
      </w:r>
      <w:r>
        <w:rPr>
          <w:rFonts w:ascii="宋体" w:hAnsi="宋体" w:eastAsia="宋体" w:cs="宋体"/>
          <w:spacing w:val="18"/>
          <w:sz w:val="21"/>
          <w:szCs w:val="21"/>
        </w:rPr>
        <w:t xml:space="preserve"> </w:t>
      </w:r>
      <w:r>
        <w:rPr>
          <w:rFonts w:ascii="宋体" w:hAnsi="宋体" w:eastAsia="宋体" w:cs="宋体"/>
          <w:spacing w:val="-1"/>
          <w:sz w:val="21"/>
          <w:szCs w:val="21"/>
        </w:rPr>
        <w:t>生产氧化铝所直接消耗的各项能源，包括煤</w:t>
      </w:r>
      <w:r>
        <w:rPr>
          <w:rFonts w:ascii="宋体" w:hAnsi="宋体" w:eastAsia="宋体" w:cs="宋体"/>
          <w:spacing w:val="-2"/>
          <w:sz w:val="21"/>
          <w:szCs w:val="21"/>
        </w:rPr>
        <w:t>、油、焦、汽、电、煤气、汽油、柴油等消耗；间接能源消</w:t>
      </w:r>
    </w:p>
    <w:p w14:paraId="216F9670">
      <w:pPr>
        <w:spacing w:before="1" w:line="218" w:lineRule="auto"/>
        <w:ind w:left="10"/>
        <w:rPr>
          <w:rFonts w:ascii="宋体" w:hAnsi="宋体" w:eastAsia="宋体" w:cs="宋体"/>
          <w:sz w:val="21"/>
          <w:szCs w:val="21"/>
        </w:rPr>
      </w:pPr>
      <w:r>
        <w:rPr>
          <w:rFonts w:ascii="宋体" w:hAnsi="宋体" w:eastAsia="宋体" w:cs="宋体"/>
          <w:spacing w:val="-1"/>
          <w:sz w:val="21"/>
          <w:szCs w:val="21"/>
        </w:rPr>
        <w:t>耗，指企业辅助、附属部门能耗分摊量、能源转换损耗分摊量和企业内部能源正常损耗量。</w:t>
      </w:r>
    </w:p>
    <w:p w14:paraId="6B33F47F">
      <w:pPr>
        <w:spacing w:before="107" w:line="285" w:lineRule="auto"/>
        <w:ind w:left="10" w:firstLine="410"/>
        <w:jc w:val="both"/>
        <w:rPr>
          <w:rFonts w:ascii="宋体" w:hAnsi="宋体" w:eastAsia="宋体" w:cs="宋体"/>
          <w:sz w:val="21"/>
          <w:szCs w:val="21"/>
        </w:rPr>
      </w:pPr>
      <w:r>
        <w:rPr>
          <w:rFonts w:ascii="宋体" w:hAnsi="宋体" w:eastAsia="宋体" w:cs="宋体"/>
          <w:spacing w:val="2"/>
          <w:sz w:val="21"/>
          <w:szCs w:val="21"/>
        </w:rPr>
        <w:t>分母项：实产氧化铝产量。包括冶金级氧化铝(指生产电解铝的原料)和化学品级氧化铝(折合量</w:t>
      </w:r>
      <w:r>
        <w:rPr>
          <w:rFonts w:ascii="宋体" w:hAnsi="宋体" w:eastAsia="宋体" w:cs="宋体"/>
          <w:spacing w:val="1"/>
          <w:sz w:val="21"/>
          <w:szCs w:val="21"/>
        </w:rPr>
        <w:t>),</w:t>
      </w:r>
      <w:r>
        <w:rPr>
          <w:rFonts w:ascii="宋体" w:hAnsi="宋体" w:eastAsia="宋体" w:cs="宋体"/>
          <w:sz w:val="21"/>
          <w:szCs w:val="21"/>
        </w:rPr>
        <w:t xml:space="preserve"> </w:t>
      </w:r>
      <w:r>
        <w:rPr>
          <w:rFonts w:ascii="宋体" w:hAnsi="宋体" w:eastAsia="宋体" w:cs="宋体"/>
          <w:spacing w:val="-1"/>
          <w:sz w:val="21"/>
          <w:szCs w:val="21"/>
        </w:rPr>
        <w:t>如氢氧化铝系列商品折合量(普通氢氧化铝、</w:t>
      </w:r>
      <w:r>
        <w:rPr>
          <w:rFonts w:ascii="宋体" w:hAnsi="宋体" w:eastAsia="宋体" w:cs="宋体"/>
          <w:spacing w:val="-2"/>
          <w:sz w:val="21"/>
          <w:szCs w:val="21"/>
        </w:rPr>
        <w:t>特种氢氧化铝、白色氢氧化铝填料氢氧化铝等)、氧化铝系</w:t>
      </w:r>
      <w:r>
        <w:rPr>
          <w:rFonts w:ascii="宋体" w:hAnsi="宋体" w:eastAsia="宋体" w:cs="宋体"/>
          <w:sz w:val="21"/>
          <w:szCs w:val="21"/>
        </w:rPr>
        <w:t xml:space="preserve"> 列折合量(煅烧氧化铝、助燃剂用低温氧化铝、电工填料氧化铝等)、拟薄水铝石系列折合量等。</w:t>
      </w:r>
    </w:p>
    <w:p w14:paraId="340D054E">
      <w:pPr>
        <w:spacing w:before="108" w:line="222" w:lineRule="auto"/>
        <w:ind w:left="423"/>
        <w:rPr>
          <w:rFonts w:ascii="黑体" w:hAnsi="黑体" w:eastAsia="黑体" w:cs="黑体"/>
          <w:sz w:val="21"/>
          <w:szCs w:val="21"/>
        </w:rPr>
      </w:pPr>
      <w:r>
        <w:rPr>
          <w:rFonts w:ascii="黑体" w:hAnsi="黑体" w:eastAsia="黑体" w:cs="黑体"/>
          <w:b/>
          <w:bCs/>
          <w:spacing w:val="-6"/>
          <w:sz w:val="21"/>
          <w:szCs w:val="21"/>
        </w:rPr>
        <w:t>单位电解铝综合能耗</w:t>
      </w:r>
    </w:p>
    <w:p w14:paraId="5D320234">
      <w:pPr>
        <w:spacing w:before="111" w:line="268" w:lineRule="auto"/>
        <w:ind w:left="5380" w:right="56" w:hanging="4960"/>
        <w:rPr>
          <w:rFonts w:ascii="宋体" w:hAnsi="宋体" w:eastAsia="宋体" w:cs="宋体"/>
          <w:sz w:val="21"/>
          <w:szCs w:val="21"/>
        </w:rPr>
      </w:pPr>
      <w:r>
        <w:rPr>
          <w:rFonts w:ascii="宋体" w:hAnsi="宋体" w:eastAsia="宋体" w:cs="宋体"/>
          <w:spacing w:val="5"/>
          <w:sz w:val="21"/>
          <w:szCs w:val="21"/>
        </w:rPr>
        <w:t>计算公式：单位电解铝综合能耗(千克标准煤/吨)=1000×全厂综合能源消费量(吨标准煤)/合格</w:t>
      </w:r>
      <w:r>
        <w:rPr>
          <w:rFonts w:ascii="宋体" w:hAnsi="宋体" w:eastAsia="宋体" w:cs="宋体"/>
          <w:spacing w:val="7"/>
          <w:sz w:val="21"/>
          <w:szCs w:val="21"/>
        </w:rPr>
        <w:t xml:space="preserve"> </w:t>
      </w:r>
      <w:r>
        <w:rPr>
          <w:rFonts w:ascii="宋体" w:hAnsi="宋体" w:eastAsia="宋体" w:cs="宋体"/>
          <w:spacing w:val="10"/>
          <w:sz w:val="21"/>
          <w:szCs w:val="21"/>
        </w:rPr>
        <w:t>交库的电解铝产量(吨)</w:t>
      </w:r>
    </w:p>
    <w:p w14:paraId="33753F50">
      <w:pPr>
        <w:spacing w:before="107" w:line="272" w:lineRule="auto"/>
        <w:ind w:left="10" w:right="56" w:firstLine="410"/>
        <w:rPr>
          <w:rFonts w:ascii="宋体" w:hAnsi="宋体" w:eastAsia="宋体" w:cs="宋体"/>
          <w:sz w:val="21"/>
          <w:szCs w:val="21"/>
        </w:rPr>
      </w:pPr>
      <w:r>
        <w:rPr>
          <w:rFonts w:ascii="宋体" w:hAnsi="宋体" w:eastAsia="宋体" w:cs="宋体"/>
          <w:spacing w:val="6"/>
          <w:sz w:val="21"/>
          <w:szCs w:val="21"/>
        </w:rPr>
        <w:t>分子项：全厂综合能源消费量。包括电解铝工艺能耗总量(直</w:t>
      </w:r>
      <w:r>
        <w:rPr>
          <w:rFonts w:ascii="宋体" w:hAnsi="宋体" w:eastAsia="宋体" w:cs="宋体"/>
          <w:spacing w:val="5"/>
          <w:sz w:val="21"/>
          <w:szCs w:val="21"/>
        </w:rPr>
        <w:t>接消耗),辅助和附属部门消耗的柴</w:t>
      </w:r>
      <w:r>
        <w:rPr>
          <w:rFonts w:ascii="宋体" w:hAnsi="宋体" w:eastAsia="宋体" w:cs="宋体"/>
          <w:sz w:val="21"/>
          <w:szCs w:val="21"/>
        </w:rPr>
        <w:t xml:space="preserve"> </w:t>
      </w:r>
      <w:r>
        <w:rPr>
          <w:rFonts w:ascii="宋体" w:hAnsi="宋体" w:eastAsia="宋体" w:cs="宋体"/>
          <w:spacing w:val="-5"/>
          <w:sz w:val="21"/>
          <w:szCs w:val="21"/>
        </w:rPr>
        <w:t>油、汽油、蒸汽。</w:t>
      </w:r>
    </w:p>
    <w:p w14:paraId="4C1401E2">
      <w:pPr>
        <w:spacing w:before="106" w:line="219" w:lineRule="auto"/>
        <w:ind w:left="420"/>
        <w:rPr>
          <w:rFonts w:ascii="宋体" w:hAnsi="宋体" w:eastAsia="宋体" w:cs="宋体"/>
          <w:sz w:val="21"/>
          <w:szCs w:val="21"/>
        </w:rPr>
      </w:pPr>
      <w:r>
        <w:rPr>
          <w:rFonts w:ascii="宋体" w:hAnsi="宋体" w:eastAsia="宋体" w:cs="宋体"/>
          <w:spacing w:val="-4"/>
          <w:sz w:val="21"/>
          <w:szCs w:val="21"/>
        </w:rPr>
        <w:t>分母项：合格交库的电解铝产量。说明同上。</w:t>
      </w:r>
    </w:p>
    <w:p w14:paraId="30573C4E">
      <w:pPr>
        <w:spacing w:before="105" w:line="221" w:lineRule="auto"/>
        <w:ind w:left="423"/>
        <w:rPr>
          <w:rFonts w:ascii="黑体" w:hAnsi="黑体" w:eastAsia="黑体" w:cs="黑体"/>
          <w:sz w:val="21"/>
          <w:szCs w:val="21"/>
        </w:rPr>
      </w:pPr>
      <w:r>
        <w:rPr>
          <w:rFonts w:ascii="黑体" w:hAnsi="黑体" w:eastAsia="黑体" w:cs="黑体"/>
          <w:b/>
          <w:bCs/>
          <w:spacing w:val="-4"/>
          <w:sz w:val="21"/>
          <w:szCs w:val="21"/>
        </w:rPr>
        <w:t>单位铝锭综合交流电耗</w:t>
      </w:r>
    </w:p>
    <w:p w14:paraId="25870661">
      <w:pPr>
        <w:spacing w:before="113" w:line="264" w:lineRule="auto"/>
        <w:ind w:left="5169" w:right="95" w:hanging="4749"/>
        <w:rPr>
          <w:rFonts w:ascii="宋体" w:hAnsi="宋体" w:eastAsia="宋体" w:cs="宋体"/>
          <w:sz w:val="21"/>
          <w:szCs w:val="21"/>
        </w:rPr>
      </w:pPr>
      <w:r>
        <w:rPr>
          <w:rFonts w:ascii="宋体" w:hAnsi="宋体" w:eastAsia="宋体" w:cs="宋体"/>
          <w:spacing w:val="7"/>
          <w:sz w:val="21"/>
          <w:szCs w:val="21"/>
        </w:rPr>
        <w:t>计算公式：单位铝锭综合交流电耗(千瓦时/吨)=100</w:t>
      </w:r>
      <w:r>
        <w:rPr>
          <w:rFonts w:ascii="宋体" w:hAnsi="宋体" w:eastAsia="宋体" w:cs="宋体"/>
          <w:spacing w:val="6"/>
          <w:sz w:val="21"/>
          <w:szCs w:val="21"/>
        </w:rPr>
        <w:t>00×铝锭交流电消耗总量(万千瓦时)/合格</w:t>
      </w:r>
      <w:r>
        <w:rPr>
          <w:rFonts w:ascii="宋体" w:hAnsi="宋体" w:eastAsia="宋体" w:cs="宋体"/>
          <w:sz w:val="21"/>
          <w:szCs w:val="21"/>
        </w:rPr>
        <w:t xml:space="preserve"> </w:t>
      </w:r>
      <w:r>
        <w:rPr>
          <w:rFonts w:ascii="宋体" w:hAnsi="宋体" w:eastAsia="宋体" w:cs="宋体"/>
          <w:spacing w:val="10"/>
          <w:sz w:val="21"/>
          <w:szCs w:val="21"/>
        </w:rPr>
        <w:t>交库的铝锭产量(吨)</w:t>
      </w:r>
    </w:p>
    <w:p w14:paraId="16632600">
      <w:pPr>
        <w:spacing w:before="121" w:line="285" w:lineRule="auto"/>
        <w:ind w:left="10" w:right="40" w:firstLine="410"/>
        <w:jc w:val="both"/>
        <w:rPr>
          <w:rFonts w:ascii="宋体" w:hAnsi="宋体" w:eastAsia="宋体" w:cs="宋体"/>
          <w:sz w:val="21"/>
          <w:szCs w:val="21"/>
        </w:rPr>
      </w:pPr>
      <w:r>
        <w:rPr>
          <w:rFonts w:ascii="宋体" w:hAnsi="宋体" w:eastAsia="宋体" w:cs="宋体"/>
          <w:spacing w:val="-2"/>
          <w:sz w:val="21"/>
          <w:szCs w:val="21"/>
        </w:rPr>
        <w:t>分子项：铝锭交流电消耗总量为铝锭生产全部用电量，含电解工序交流电用量；电解工序、铸造工</w:t>
      </w:r>
      <w:r>
        <w:rPr>
          <w:rFonts w:ascii="宋体" w:hAnsi="宋体" w:eastAsia="宋体" w:cs="宋体"/>
          <w:spacing w:val="16"/>
          <w:sz w:val="21"/>
          <w:szCs w:val="21"/>
        </w:rPr>
        <w:t xml:space="preserve"> </w:t>
      </w:r>
      <w:r>
        <w:rPr>
          <w:rFonts w:ascii="宋体" w:hAnsi="宋体" w:eastAsia="宋体" w:cs="宋体"/>
          <w:spacing w:val="-1"/>
          <w:sz w:val="21"/>
          <w:szCs w:val="21"/>
        </w:rPr>
        <w:t>序的动力及照明用电；如电解的通风排烟和烟气净化设</w:t>
      </w:r>
      <w:r>
        <w:rPr>
          <w:rFonts w:ascii="宋体" w:hAnsi="宋体" w:eastAsia="宋体" w:cs="宋体"/>
          <w:spacing w:val="-2"/>
          <w:sz w:val="21"/>
          <w:szCs w:val="21"/>
        </w:rPr>
        <w:t>施，铸造的混合炉、熔炼炉、扒渣机、堆垛机、</w:t>
      </w:r>
      <w:r>
        <w:rPr>
          <w:rFonts w:ascii="宋体" w:hAnsi="宋体" w:eastAsia="宋体" w:cs="宋体"/>
          <w:sz w:val="21"/>
          <w:szCs w:val="21"/>
        </w:rPr>
        <w:t xml:space="preserve"> </w:t>
      </w:r>
      <w:r>
        <w:rPr>
          <w:rFonts w:ascii="宋体" w:hAnsi="宋体" w:eastAsia="宋体" w:cs="宋体"/>
          <w:spacing w:val="-2"/>
          <w:sz w:val="21"/>
          <w:szCs w:val="21"/>
        </w:rPr>
        <w:t>天车等设备用电；分摊的辅助、附属部门用电。如为电解服务的供电车间、机修车间、电维车间、计算</w:t>
      </w:r>
      <w:r>
        <w:rPr>
          <w:rFonts w:ascii="宋体" w:hAnsi="宋体" w:eastAsia="宋体" w:cs="宋体"/>
          <w:spacing w:val="8"/>
          <w:sz w:val="21"/>
          <w:szCs w:val="21"/>
        </w:rPr>
        <w:t xml:space="preserve"> </w:t>
      </w:r>
      <w:r>
        <w:rPr>
          <w:rFonts w:ascii="宋体" w:hAnsi="宋体" w:eastAsia="宋体" w:cs="宋体"/>
          <w:spacing w:val="-3"/>
          <w:sz w:val="21"/>
          <w:szCs w:val="21"/>
        </w:rPr>
        <w:t>机室、化验室等分摊的线路损失等。</w:t>
      </w:r>
    </w:p>
    <w:p w14:paraId="73D24570">
      <w:pPr>
        <w:spacing w:before="141" w:line="218" w:lineRule="auto"/>
        <w:jc w:val="right"/>
        <w:rPr>
          <w:rFonts w:ascii="宋体" w:hAnsi="宋体" w:eastAsia="宋体" w:cs="宋体"/>
          <w:sz w:val="21"/>
          <w:szCs w:val="21"/>
        </w:rPr>
      </w:pPr>
      <w:r>
        <w:rPr>
          <w:rFonts w:ascii="宋体" w:hAnsi="宋体" w:eastAsia="宋体" w:cs="宋体"/>
          <w:spacing w:val="-5"/>
          <w:sz w:val="21"/>
          <w:szCs w:val="21"/>
        </w:rPr>
        <w:t>分母项：合格交库的铝锭产量是指报告期内生产合格交库的铝锭产量，包括商品产量</w:t>
      </w:r>
      <w:r>
        <w:rPr>
          <w:rFonts w:ascii="宋体" w:hAnsi="宋体" w:eastAsia="宋体" w:cs="宋体"/>
          <w:spacing w:val="-6"/>
          <w:sz w:val="21"/>
          <w:szCs w:val="21"/>
        </w:rPr>
        <w:t>和自用量之和。</w:t>
      </w:r>
    </w:p>
    <w:p w14:paraId="2F0B2789">
      <w:pPr>
        <w:pStyle w:val="2"/>
        <w:spacing w:line="411" w:lineRule="auto"/>
      </w:pPr>
    </w:p>
    <w:p w14:paraId="56F8662D">
      <w:pPr>
        <w:spacing w:before="68" w:line="221" w:lineRule="auto"/>
        <w:ind w:left="420"/>
        <w:rPr>
          <w:rFonts w:ascii="黑体" w:hAnsi="黑体" w:eastAsia="黑体" w:cs="黑体"/>
          <w:sz w:val="21"/>
          <w:szCs w:val="21"/>
        </w:rPr>
      </w:pPr>
      <w:r>
        <w:rPr>
          <w:rFonts w:ascii="黑体" w:hAnsi="黑体" w:eastAsia="黑体" w:cs="黑体"/>
          <w:spacing w:val="16"/>
          <w:sz w:val="21"/>
          <w:szCs w:val="21"/>
        </w:rPr>
        <w:t>铅锌(32)</w:t>
      </w:r>
    </w:p>
    <w:p w14:paraId="73B928B3">
      <w:pPr>
        <w:spacing w:before="89" w:line="222" w:lineRule="auto"/>
        <w:ind w:left="420"/>
        <w:rPr>
          <w:rFonts w:ascii="黑体" w:hAnsi="黑体" w:eastAsia="黑体" w:cs="黑体"/>
          <w:sz w:val="21"/>
          <w:szCs w:val="21"/>
        </w:rPr>
      </w:pPr>
      <w:r>
        <w:rPr>
          <w:rFonts w:ascii="黑体" w:hAnsi="黑体" w:eastAsia="黑体" w:cs="黑体"/>
          <w:spacing w:val="-2"/>
          <w:sz w:val="21"/>
          <w:szCs w:val="21"/>
        </w:rPr>
        <w:t>单位粗铅综合能耗</w:t>
      </w:r>
    </w:p>
    <w:p w14:paraId="39AE1D86">
      <w:pPr>
        <w:spacing w:before="119" w:line="268" w:lineRule="auto"/>
        <w:ind w:left="5159" w:right="196" w:hanging="4739"/>
        <w:rPr>
          <w:rFonts w:ascii="宋体" w:hAnsi="宋体" w:eastAsia="宋体" w:cs="宋体"/>
          <w:sz w:val="21"/>
          <w:szCs w:val="21"/>
        </w:rPr>
      </w:pPr>
      <w:r>
        <w:rPr>
          <w:rFonts w:ascii="宋体" w:hAnsi="宋体" w:eastAsia="宋体" w:cs="宋体"/>
          <w:spacing w:val="7"/>
          <w:sz w:val="21"/>
          <w:szCs w:val="21"/>
        </w:rPr>
        <w:t>计算公式：单位粗铅综合能耗(千克标准煤/吨)=1000×矿产粗铅综合能源</w:t>
      </w:r>
      <w:r>
        <w:rPr>
          <w:rFonts w:ascii="宋体" w:hAnsi="宋体" w:eastAsia="宋体" w:cs="宋体"/>
          <w:spacing w:val="6"/>
          <w:sz w:val="21"/>
          <w:szCs w:val="21"/>
        </w:rPr>
        <w:t>消费量(吨标准煤)/</w:t>
      </w:r>
      <w:r>
        <w:rPr>
          <w:rFonts w:ascii="宋体" w:hAnsi="宋体" w:eastAsia="宋体" w:cs="宋体"/>
          <w:sz w:val="21"/>
          <w:szCs w:val="21"/>
        </w:rPr>
        <w:t xml:space="preserve"> </w:t>
      </w:r>
      <w:r>
        <w:rPr>
          <w:rFonts w:ascii="宋体" w:hAnsi="宋体" w:eastAsia="宋体" w:cs="宋体"/>
          <w:spacing w:val="7"/>
          <w:sz w:val="21"/>
          <w:szCs w:val="21"/>
        </w:rPr>
        <w:t>合格交库的矿产粗铅产出量(吨)</w:t>
      </w:r>
    </w:p>
    <w:p w14:paraId="5FD02A56">
      <w:pPr>
        <w:spacing w:before="110" w:line="268" w:lineRule="auto"/>
        <w:ind w:left="420" w:right="749"/>
        <w:rPr>
          <w:rFonts w:ascii="宋体" w:hAnsi="宋体" w:eastAsia="宋体" w:cs="宋体"/>
          <w:sz w:val="21"/>
          <w:szCs w:val="21"/>
        </w:rPr>
      </w:pPr>
      <w:r>
        <w:rPr>
          <w:rFonts w:ascii="宋体" w:hAnsi="宋体" w:eastAsia="宋体" w:cs="宋体"/>
          <w:spacing w:val="5"/>
          <w:sz w:val="21"/>
          <w:szCs w:val="21"/>
        </w:rPr>
        <w:t>分子项：矿产粗铅综合能源消费量。包括粗</w:t>
      </w:r>
      <w:r>
        <w:rPr>
          <w:rFonts w:ascii="宋体" w:hAnsi="宋体" w:eastAsia="宋体" w:cs="宋体"/>
          <w:spacing w:val="4"/>
          <w:sz w:val="21"/>
          <w:szCs w:val="21"/>
        </w:rPr>
        <w:t>铅工艺能耗(动力+燃料)和辅助用能分摊量。</w:t>
      </w:r>
      <w:r>
        <w:rPr>
          <w:rFonts w:ascii="宋体" w:hAnsi="宋体" w:eastAsia="宋体" w:cs="宋体"/>
          <w:sz w:val="21"/>
          <w:szCs w:val="21"/>
        </w:rPr>
        <w:t xml:space="preserve"> </w:t>
      </w:r>
      <w:r>
        <w:rPr>
          <w:rFonts w:ascii="宋体" w:hAnsi="宋体" w:eastAsia="宋体" w:cs="宋体"/>
          <w:spacing w:val="-1"/>
          <w:sz w:val="21"/>
          <w:szCs w:val="21"/>
        </w:rPr>
        <w:t>辅助用能分摊量=辅助用能×分摊系数</w:t>
      </w:r>
    </w:p>
    <w:p w14:paraId="19274FFF">
      <w:pPr>
        <w:spacing w:before="111" w:line="219" w:lineRule="auto"/>
        <w:ind w:left="420"/>
        <w:rPr>
          <w:rFonts w:ascii="宋体" w:hAnsi="宋体" w:eastAsia="宋体" w:cs="宋体"/>
          <w:sz w:val="21"/>
          <w:szCs w:val="21"/>
        </w:rPr>
      </w:pPr>
      <w:r>
        <w:rPr>
          <w:rFonts w:ascii="宋体" w:hAnsi="宋体" w:eastAsia="宋体" w:cs="宋体"/>
          <w:spacing w:val="7"/>
          <w:sz w:val="21"/>
          <w:szCs w:val="21"/>
        </w:rPr>
        <w:t>分摊系数=粗铅工艺总能耗/(全厂总能耗一辅助用能)</w:t>
      </w:r>
    </w:p>
    <w:p w14:paraId="4DC9D5CE">
      <w:pPr>
        <w:spacing w:before="100" w:line="370" w:lineRule="exact"/>
        <w:ind w:right="47"/>
        <w:jc w:val="right"/>
        <w:rPr>
          <w:rFonts w:ascii="宋体" w:hAnsi="宋体" w:eastAsia="宋体" w:cs="宋体"/>
          <w:sz w:val="21"/>
          <w:szCs w:val="21"/>
        </w:rPr>
      </w:pPr>
      <w:r>
        <w:rPr>
          <w:rFonts w:ascii="宋体" w:hAnsi="宋体" w:eastAsia="宋体" w:cs="宋体"/>
          <w:spacing w:val="-1"/>
          <w:position w:val="12"/>
          <w:sz w:val="21"/>
          <w:szCs w:val="21"/>
        </w:rPr>
        <w:t>分母项：合格交库的矿产粗铅产出量。指合格交库</w:t>
      </w:r>
      <w:r>
        <w:rPr>
          <w:rFonts w:ascii="宋体" w:hAnsi="宋体" w:eastAsia="宋体" w:cs="宋体"/>
          <w:spacing w:val="-2"/>
          <w:position w:val="12"/>
          <w:sz w:val="21"/>
          <w:szCs w:val="21"/>
        </w:rPr>
        <w:t>的粗铅产量。矿产粗铅指用铅精矿作原料生产的</w:t>
      </w:r>
    </w:p>
    <w:p w14:paraId="53405AE1">
      <w:pPr>
        <w:spacing w:before="1" w:line="219" w:lineRule="auto"/>
        <w:ind w:left="10"/>
        <w:rPr>
          <w:rFonts w:ascii="宋体" w:hAnsi="宋体" w:eastAsia="宋体" w:cs="宋体"/>
          <w:sz w:val="21"/>
          <w:szCs w:val="21"/>
        </w:rPr>
      </w:pPr>
      <w:r>
        <w:rPr>
          <w:rFonts w:ascii="宋体" w:hAnsi="宋体" w:eastAsia="宋体" w:cs="宋体"/>
          <w:spacing w:val="-2"/>
          <w:sz w:val="21"/>
          <w:szCs w:val="21"/>
        </w:rPr>
        <w:t>矿产粗铅，不含开炉用粗铅和用铅碎料作原料生产的再生粗铅。</w:t>
      </w:r>
    </w:p>
    <w:p w14:paraId="182ED40D">
      <w:pPr>
        <w:spacing w:before="106" w:line="221" w:lineRule="auto"/>
        <w:ind w:left="423"/>
        <w:rPr>
          <w:rFonts w:ascii="黑体" w:hAnsi="黑体" w:eastAsia="黑体" w:cs="黑体"/>
          <w:sz w:val="21"/>
          <w:szCs w:val="21"/>
        </w:rPr>
      </w:pPr>
      <w:r>
        <w:rPr>
          <w:rFonts w:ascii="黑体" w:hAnsi="黑体" w:eastAsia="黑体" w:cs="黑体"/>
          <w:b/>
          <w:bCs/>
          <w:spacing w:val="-4"/>
          <w:sz w:val="21"/>
          <w:szCs w:val="21"/>
        </w:rPr>
        <w:t>单位铅冶炼综合能耗</w:t>
      </w:r>
    </w:p>
    <w:p w14:paraId="42F0E8EF">
      <w:pPr>
        <w:spacing w:before="113" w:line="268" w:lineRule="auto"/>
        <w:ind w:left="5269" w:right="56" w:hanging="4849"/>
        <w:rPr>
          <w:rFonts w:ascii="宋体" w:hAnsi="宋体" w:eastAsia="宋体" w:cs="宋体"/>
          <w:sz w:val="21"/>
          <w:szCs w:val="21"/>
        </w:rPr>
      </w:pPr>
      <w:r>
        <w:rPr>
          <w:rFonts w:ascii="宋体" w:hAnsi="宋体" w:eastAsia="宋体" w:cs="宋体"/>
          <w:spacing w:val="5"/>
          <w:sz w:val="21"/>
          <w:szCs w:val="21"/>
        </w:rPr>
        <w:t>计算公式：单位铅冶炼综合能耗(千克标准煤/吨)=1000×铅产品能源消耗总量(吨标准煤)/合格</w:t>
      </w:r>
      <w:r>
        <w:rPr>
          <w:rFonts w:ascii="宋体" w:hAnsi="宋体" w:eastAsia="宋体" w:cs="宋体"/>
          <w:spacing w:val="7"/>
          <w:sz w:val="21"/>
          <w:szCs w:val="21"/>
        </w:rPr>
        <w:t xml:space="preserve"> </w:t>
      </w:r>
      <w:r>
        <w:rPr>
          <w:rFonts w:ascii="宋体" w:hAnsi="宋体" w:eastAsia="宋体" w:cs="宋体"/>
          <w:spacing w:val="11"/>
          <w:sz w:val="21"/>
          <w:szCs w:val="21"/>
        </w:rPr>
        <w:t>交库的铅产量(吨)</w:t>
      </w:r>
    </w:p>
    <w:p w14:paraId="612D9277">
      <w:pPr>
        <w:spacing w:line="268" w:lineRule="auto"/>
        <w:rPr>
          <w:rFonts w:ascii="宋体" w:hAnsi="宋体" w:eastAsia="宋体" w:cs="宋体"/>
          <w:sz w:val="21"/>
          <w:szCs w:val="21"/>
        </w:rPr>
        <w:sectPr>
          <w:headerReference r:id="rId50" w:type="default"/>
          <w:pgSz w:w="11910" w:h="16840"/>
          <w:pgMar w:top="1109" w:right="1235" w:bottom="400" w:left="1239" w:header="838" w:footer="0" w:gutter="0"/>
          <w:cols w:space="720" w:num="1"/>
        </w:sectPr>
      </w:pPr>
    </w:p>
    <w:p w14:paraId="56ECD094">
      <w:pPr>
        <w:pStyle w:val="2"/>
        <w:spacing w:line="309" w:lineRule="auto"/>
      </w:pPr>
    </w:p>
    <w:p w14:paraId="3C710E56">
      <w:pPr>
        <w:spacing w:before="68" w:line="263" w:lineRule="auto"/>
        <w:ind w:left="430" w:right="935"/>
        <w:rPr>
          <w:rFonts w:ascii="宋体" w:hAnsi="宋体" w:eastAsia="宋体" w:cs="宋体"/>
          <w:sz w:val="21"/>
          <w:szCs w:val="21"/>
        </w:rPr>
      </w:pPr>
      <w:r>
        <w:rPr>
          <w:rFonts w:ascii="宋体" w:hAnsi="宋体" w:eastAsia="宋体" w:cs="宋体"/>
          <w:spacing w:val="5"/>
          <w:sz w:val="21"/>
          <w:szCs w:val="21"/>
        </w:rPr>
        <w:t>分子项：铅产品能源消耗总量。包括电铅工艺用能</w:t>
      </w:r>
      <w:r>
        <w:rPr>
          <w:rFonts w:ascii="宋体" w:hAnsi="宋体" w:eastAsia="宋体" w:cs="宋体"/>
          <w:spacing w:val="4"/>
          <w:sz w:val="21"/>
          <w:szCs w:val="21"/>
        </w:rPr>
        <w:t>量(动力+燃料)和辅助用能分摊量。</w:t>
      </w:r>
      <w:r>
        <w:rPr>
          <w:rFonts w:ascii="宋体" w:hAnsi="宋体" w:eastAsia="宋体" w:cs="宋体"/>
          <w:sz w:val="21"/>
          <w:szCs w:val="21"/>
        </w:rPr>
        <w:t xml:space="preserve"> </w:t>
      </w:r>
      <w:r>
        <w:rPr>
          <w:rFonts w:ascii="宋体" w:hAnsi="宋体" w:eastAsia="宋体" w:cs="宋体"/>
          <w:spacing w:val="-1"/>
          <w:sz w:val="21"/>
          <w:szCs w:val="21"/>
        </w:rPr>
        <w:t>辅助用能分摊量=辅助用能×分摊系数</w:t>
      </w:r>
    </w:p>
    <w:p w14:paraId="3DF35E3B">
      <w:pPr>
        <w:spacing w:before="100" w:line="219" w:lineRule="auto"/>
        <w:ind w:left="430"/>
        <w:rPr>
          <w:rFonts w:ascii="宋体" w:hAnsi="宋体" w:eastAsia="宋体" w:cs="宋体"/>
          <w:sz w:val="21"/>
          <w:szCs w:val="21"/>
        </w:rPr>
      </w:pPr>
      <w:r>
        <w:rPr>
          <w:rFonts w:ascii="宋体" w:hAnsi="宋体" w:eastAsia="宋体" w:cs="宋体"/>
          <w:spacing w:val="6"/>
          <w:sz w:val="21"/>
          <w:szCs w:val="21"/>
        </w:rPr>
        <w:t>分摊系数=电铅工艺总能耗/(全厂总能耗一辅助用能)</w:t>
      </w:r>
    </w:p>
    <w:p w14:paraId="5DE57FB7">
      <w:pPr>
        <w:spacing w:before="112" w:line="300" w:lineRule="auto"/>
        <w:ind w:left="10" w:right="14" w:firstLine="420"/>
        <w:rPr>
          <w:rFonts w:ascii="宋体" w:hAnsi="宋体" w:eastAsia="宋体" w:cs="宋体"/>
          <w:sz w:val="21"/>
          <w:szCs w:val="21"/>
        </w:rPr>
      </w:pPr>
      <w:r>
        <w:rPr>
          <w:rFonts w:ascii="宋体" w:hAnsi="宋体" w:eastAsia="宋体" w:cs="宋体"/>
          <w:spacing w:val="-1"/>
          <w:sz w:val="21"/>
          <w:szCs w:val="21"/>
        </w:rPr>
        <w:t>分母项：合格交库的铅产量。指从处理铅精矿到产出</w:t>
      </w:r>
      <w:r>
        <w:rPr>
          <w:rFonts w:ascii="宋体" w:hAnsi="宋体" w:eastAsia="宋体" w:cs="宋体"/>
          <w:spacing w:val="-2"/>
          <w:sz w:val="21"/>
          <w:szCs w:val="21"/>
        </w:rPr>
        <w:t>合格交库的电铅产出量。铅按原料来源分为以</w:t>
      </w:r>
      <w:r>
        <w:rPr>
          <w:rFonts w:ascii="宋体" w:hAnsi="宋体" w:eastAsia="宋体" w:cs="宋体"/>
          <w:sz w:val="21"/>
          <w:szCs w:val="21"/>
        </w:rPr>
        <w:t xml:space="preserve"> </w:t>
      </w:r>
      <w:r>
        <w:rPr>
          <w:rFonts w:ascii="宋体" w:hAnsi="宋体" w:eastAsia="宋体" w:cs="宋体"/>
          <w:spacing w:val="8"/>
          <w:sz w:val="21"/>
          <w:szCs w:val="21"/>
        </w:rPr>
        <w:t>铅精矿作原料生产的矿产铅(电铅或铅锭)、以再生铅(铅蓄电池)作原料</w:t>
      </w:r>
      <w:r>
        <w:rPr>
          <w:rFonts w:ascii="宋体" w:hAnsi="宋体" w:eastAsia="宋体" w:cs="宋体"/>
          <w:spacing w:val="7"/>
          <w:sz w:val="21"/>
          <w:szCs w:val="21"/>
        </w:rPr>
        <w:t>生产的再生铅或再生铅合金</w:t>
      </w:r>
      <w:r>
        <w:rPr>
          <w:rFonts w:ascii="宋体" w:hAnsi="宋体" w:eastAsia="宋体" w:cs="宋体"/>
          <w:sz w:val="21"/>
          <w:szCs w:val="21"/>
        </w:rPr>
        <w:t xml:space="preserve"> </w:t>
      </w:r>
      <w:r>
        <w:rPr>
          <w:rFonts w:ascii="宋体" w:hAnsi="宋体" w:eastAsia="宋体" w:cs="宋体"/>
          <w:spacing w:val="5"/>
          <w:sz w:val="21"/>
          <w:szCs w:val="21"/>
        </w:rPr>
        <w:t>锭(杂产铅或杂产铅合金锭)、以购买的粗铅作原料生产的铅(电铅或铅锭)。按经济用途分为电铅(铅</w:t>
      </w:r>
      <w:r>
        <w:rPr>
          <w:rFonts w:ascii="宋体" w:hAnsi="宋体" w:eastAsia="宋体" w:cs="宋体"/>
          <w:spacing w:val="12"/>
          <w:sz w:val="21"/>
          <w:szCs w:val="21"/>
        </w:rPr>
        <w:t xml:space="preserve"> </w:t>
      </w:r>
      <w:r>
        <w:rPr>
          <w:rFonts w:ascii="宋体" w:hAnsi="宋体" w:eastAsia="宋体" w:cs="宋体"/>
          <w:spacing w:val="13"/>
          <w:sz w:val="21"/>
          <w:szCs w:val="21"/>
        </w:rPr>
        <w:t>锭)、商品精铅(经火法精炼铸型生产出的不需电</w:t>
      </w:r>
      <w:r>
        <w:rPr>
          <w:rFonts w:ascii="宋体" w:hAnsi="宋体" w:eastAsia="宋体" w:cs="宋体"/>
          <w:spacing w:val="12"/>
          <w:sz w:val="21"/>
          <w:szCs w:val="21"/>
        </w:rPr>
        <w:t>解的铅锭)、铸造锡铅焊料折铅(铅≥90%,不含用</w:t>
      </w:r>
      <w:r>
        <w:rPr>
          <w:rFonts w:ascii="宋体" w:hAnsi="宋体" w:eastAsia="宋体" w:cs="宋体"/>
          <w:sz w:val="21"/>
          <w:szCs w:val="21"/>
        </w:rPr>
        <w:t xml:space="preserve"> </w:t>
      </w:r>
      <w:r>
        <w:rPr>
          <w:rFonts w:ascii="宋体" w:hAnsi="宋体" w:eastAsia="宋体" w:cs="宋体"/>
          <w:spacing w:val="3"/>
          <w:sz w:val="21"/>
          <w:szCs w:val="21"/>
        </w:rPr>
        <w:t>成品电铅或精铅作原料生产的焊料)、铅基合金(不含用成品电铅或精铅作原料生产的铅基合金，包括</w:t>
      </w:r>
      <w:r>
        <w:rPr>
          <w:rFonts w:ascii="宋体" w:hAnsi="宋体" w:eastAsia="宋体" w:cs="宋体"/>
          <w:spacing w:val="1"/>
          <w:sz w:val="21"/>
          <w:szCs w:val="21"/>
        </w:rPr>
        <w:t xml:space="preserve"> </w:t>
      </w:r>
      <w:r>
        <w:rPr>
          <w:rFonts w:ascii="宋体" w:hAnsi="宋体" w:eastAsia="宋体" w:cs="宋体"/>
          <w:spacing w:val="4"/>
          <w:sz w:val="21"/>
          <w:szCs w:val="21"/>
        </w:rPr>
        <w:t>电缆护套铅和含铅大于99.13%的铅钙合金)。</w:t>
      </w:r>
    </w:p>
    <w:p w14:paraId="51B21EC1">
      <w:pPr>
        <w:spacing w:before="126" w:line="221" w:lineRule="auto"/>
        <w:ind w:left="433"/>
        <w:rPr>
          <w:rFonts w:ascii="黑体" w:hAnsi="黑体" w:eastAsia="黑体" w:cs="黑体"/>
          <w:sz w:val="21"/>
          <w:szCs w:val="21"/>
        </w:rPr>
      </w:pPr>
      <w:r>
        <w:rPr>
          <w:rFonts w:ascii="黑体" w:hAnsi="黑体" w:eastAsia="黑体" w:cs="黑体"/>
          <w:b/>
          <w:bCs/>
          <w:spacing w:val="-3"/>
          <w:sz w:val="21"/>
          <w:szCs w:val="21"/>
        </w:rPr>
        <w:t>析出铅直流电单耗</w:t>
      </w:r>
    </w:p>
    <w:p w14:paraId="5D8BB75C">
      <w:pPr>
        <w:spacing w:before="114" w:line="266" w:lineRule="auto"/>
        <w:ind w:left="4729" w:right="67" w:hanging="4299"/>
        <w:rPr>
          <w:rFonts w:ascii="宋体" w:hAnsi="宋体" w:eastAsia="宋体" w:cs="宋体"/>
          <w:sz w:val="21"/>
          <w:szCs w:val="21"/>
        </w:rPr>
      </w:pPr>
      <w:r>
        <w:rPr>
          <w:rFonts w:ascii="宋体" w:hAnsi="宋体" w:eastAsia="宋体" w:cs="宋体"/>
          <w:spacing w:val="7"/>
          <w:sz w:val="21"/>
          <w:szCs w:val="21"/>
        </w:rPr>
        <w:t>计算公式：析出铅直流电单耗(千瓦时/吨)=10000×直流</w:t>
      </w:r>
      <w:r>
        <w:rPr>
          <w:rFonts w:ascii="宋体" w:hAnsi="宋体" w:eastAsia="宋体" w:cs="宋体"/>
          <w:spacing w:val="6"/>
          <w:sz w:val="21"/>
          <w:szCs w:val="21"/>
        </w:rPr>
        <w:t>电消耗总量(万千瓦时)/实际析出铅产</w:t>
      </w:r>
      <w:r>
        <w:rPr>
          <w:rFonts w:ascii="宋体" w:hAnsi="宋体" w:eastAsia="宋体" w:cs="宋体"/>
          <w:sz w:val="21"/>
          <w:szCs w:val="21"/>
        </w:rPr>
        <w:t xml:space="preserve"> </w:t>
      </w:r>
      <w:r>
        <w:rPr>
          <w:rFonts w:ascii="宋体" w:hAnsi="宋体" w:eastAsia="宋体" w:cs="宋体"/>
          <w:spacing w:val="28"/>
          <w:sz w:val="21"/>
          <w:szCs w:val="21"/>
        </w:rPr>
        <w:t>量(吨)</w:t>
      </w:r>
    </w:p>
    <w:p w14:paraId="1FD24354">
      <w:pPr>
        <w:spacing w:before="94" w:line="370" w:lineRule="exact"/>
        <w:ind w:left="430"/>
        <w:rPr>
          <w:rFonts w:ascii="宋体" w:hAnsi="宋体" w:eastAsia="宋体" w:cs="宋体"/>
          <w:sz w:val="21"/>
          <w:szCs w:val="21"/>
        </w:rPr>
      </w:pPr>
      <w:r>
        <w:rPr>
          <w:rFonts w:ascii="宋体" w:hAnsi="宋体" w:eastAsia="宋体" w:cs="宋体"/>
          <w:spacing w:val="-1"/>
          <w:position w:val="12"/>
          <w:sz w:val="21"/>
          <w:szCs w:val="21"/>
        </w:rPr>
        <w:t>分子项：直流电消耗总量。包括线路损失电量和</w:t>
      </w:r>
      <w:r>
        <w:rPr>
          <w:rFonts w:ascii="宋体" w:hAnsi="宋体" w:eastAsia="宋体" w:cs="宋体"/>
          <w:spacing w:val="-2"/>
          <w:position w:val="12"/>
          <w:sz w:val="21"/>
          <w:szCs w:val="21"/>
        </w:rPr>
        <w:t>电解液净化槽耗电量。</w:t>
      </w:r>
    </w:p>
    <w:p w14:paraId="7F90F349">
      <w:pPr>
        <w:spacing w:line="219" w:lineRule="auto"/>
        <w:ind w:left="430"/>
        <w:rPr>
          <w:rFonts w:ascii="宋体" w:hAnsi="宋体" w:eastAsia="宋体" w:cs="宋体"/>
          <w:sz w:val="21"/>
          <w:szCs w:val="21"/>
        </w:rPr>
      </w:pPr>
      <w:r>
        <w:rPr>
          <w:rFonts w:ascii="宋体" w:hAnsi="宋体" w:eastAsia="宋体" w:cs="宋体"/>
          <w:spacing w:val="-5"/>
          <w:sz w:val="21"/>
          <w:szCs w:val="21"/>
        </w:rPr>
        <w:t>分母项：实际析出铅产量。</w:t>
      </w:r>
    </w:p>
    <w:p w14:paraId="3D415AC7">
      <w:pPr>
        <w:spacing w:before="116" w:line="221" w:lineRule="auto"/>
        <w:ind w:left="433"/>
        <w:rPr>
          <w:rFonts w:ascii="黑体" w:hAnsi="黑体" w:eastAsia="黑体" w:cs="黑体"/>
          <w:sz w:val="21"/>
          <w:szCs w:val="21"/>
        </w:rPr>
      </w:pPr>
      <w:r>
        <w:rPr>
          <w:rFonts w:ascii="黑体" w:hAnsi="黑体" w:eastAsia="黑体" w:cs="黑体"/>
          <w:b/>
          <w:bCs/>
          <w:spacing w:val="-3"/>
          <w:sz w:val="21"/>
          <w:szCs w:val="21"/>
        </w:rPr>
        <w:t>蒸馏锌综合标准煤耗单耗</w:t>
      </w:r>
    </w:p>
    <w:p w14:paraId="3C291963">
      <w:pPr>
        <w:spacing w:before="112" w:line="264" w:lineRule="auto"/>
        <w:ind w:left="5789" w:right="32" w:hanging="5359"/>
        <w:rPr>
          <w:rFonts w:ascii="宋体" w:hAnsi="宋体" w:eastAsia="宋体" w:cs="宋体"/>
          <w:sz w:val="21"/>
          <w:szCs w:val="21"/>
        </w:rPr>
      </w:pPr>
      <w:r>
        <w:rPr>
          <w:rFonts w:ascii="宋体" w:hAnsi="宋体" w:eastAsia="宋体" w:cs="宋体"/>
          <w:spacing w:val="5"/>
          <w:sz w:val="21"/>
          <w:szCs w:val="21"/>
        </w:rPr>
        <w:t>计算公式：蒸馏锌综合标准煤耗单耗(千克标准煤/吨)=1000×蒸馏锌综合标准煤消耗总量(吨标</w:t>
      </w:r>
      <w:r>
        <w:rPr>
          <w:rFonts w:ascii="宋体" w:hAnsi="宋体" w:eastAsia="宋体" w:cs="宋体"/>
          <w:spacing w:val="11"/>
          <w:sz w:val="21"/>
          <w:szCs w:val="21"/>
        </w:rPr>
        <w:t xml:space="preserve"> 准煤)/合格蒸馏锌产量(吨)</w:t>
      </w:r>
    </w:p>
    <w:p w14:paraId="6B171452">
      <w:pPr>
        <w:spacing w:before="118" w:line="269" w:lineRule="auto"/>
        <w:ind w:left="10" w:right="14" w:firstLine="420"/>
        <w:rPr>
          <w:rFonts w:ascii="宋体" w:hAnsi="宋体" w:eastAsia="宋体" w:cs="宋体"/>
          <w:sz w:val="21"/>
          <w:szCs w:val="21"/>
        </w:rPr>
      </w:pPr>
      <w:r>
        <w:rPr>
          <w:rFonts w:ascii="宋体" w:hAnsi="宋体" w:eastAsia="宋体" w:cs="宋体"/>
          <w:spacing w:val="6"/>
          <w:sz w:val="21"/>
          <w:szCs w:val="21"/>
        </w:rPr>
        <w:t>分子项：蒸馏锌综合标准煤消耗总量。包括煤炭、焦炭、重油、蒸汽等的消费(标准煤),蒸汽用</w:t>
      </w:r>
      <w:r>
        <w:rPr>
          <w:rFonts w:ascii="宋体" w:hAnsi="宋体" w:eastAsia="宋体" w:cs="宋体"/>
          <w:spacing w:val="1"/>
          <w:sz w:val="21"/>
          <w:szCs w:val="21"/>
        </w:rPr>
        <w:t xml:space="preserve"> </w:t>
      </w:r>
      <w:r>
        <w:rPr>
          <w:rFonts w:ascii="宋体" w:hAnsi="宋体" w:eastAsia="宋体" w:cs="宋体"/>
          <w:spacing w:val="15"/>
          <w:sz w:val="21"/>
          <w:szCs w:val="21"/>
        </w:rPr>
        <w:t>煤(标准煤)应减去沸腾炉回收余热蒸汽(标准煤)。</w:t>
      </w:r>
    </w:p>
    <w:p w14:paraId="0D1C53B5">
      <w:pPr>
        <w:spacing w:before="111" w:line="219" w:lineRule="auto"/>
        <w:ind w:left="430"/>
        <w:rPr>
          <w:rFonts w:ascii="宋体" w:hAnsi="宋体" w:eastAsia="宋体" w:cs="宋体"/>
          <w:sz w:val="21"/>
          <w:szCs w:val="21"/>
        </w:rPr>
      </w:pPr>
      <w:r>
        <w:rPr>
          <w:rFonts w:ascii="宋体" w:hAnsi="宋体" w:eastAsia="宋体" w:cs="宋体"/>
          <w:spacing w:val="-2"/>
          <w:sz w:val="21"/>
          <w:szCs w:val="21"/>
        </w:rPr>
        <w:t>分母项：合格蒸馏锌产量。指交库的合格蒸馏锌产量。</w:t>
      </w:r>
    </w:p>
    <w:p w14:paraId="7175F310">
      <w:pPr>
        <w:spacing w:before="106" w:line="221" w:lineRule="auto"/>
        <w:ind w:left="433"/>
        <w:rPr>
          <w:rFonts w:ascii="黑体" w:hAnsi="黑体" w:eastAsia="黑体" w:cs="黑体"/>
          <w:sz w:val="21"/>
          <w:szCs w:val="21"/>
        </w:rPr>
      </w:pPr>
      <w:r>
        <w:rPr>
          <w:rFonts w:ascii="黑体" w:hAnsi="黑体" w:eastAsia="黑体" w:cs="黑体"/>
          <w:b/>
          <w:bCs/>
          <w:spacing w:val="13"/>
          <w:sz w:val="21"/>
          <w:szCs w:val="21"/>
        </w:rPr>
        <w:t>单位精锌(电锌)综合能耗</w:t>
      </w:r>
    </w:p>
    <w:p w14:paraId="60B186D9">
      <w:pPr>
        <w:spacing w:before="101" w:line="268" w:lineRule="auto"/>
        <w:ind w:left="400" w:right="1"/>
        <w:jc w:val="right"/>
        <w:rPr>
          <w:rFonts w:ascii="宋体" w:hAnsi="宋体" w:eastAsia="宋体" w:cs="宋体"/>
          <w:sz w:val="21"/>
          <w:szCs w:val="21"/>
        </w:rPr>
      </w:pPr>
      <w:r>
        <w:rPr>
          <w:rFonts w:ascii="宋体" w:hAnsi="宋体" w:eastAsia="宋体" w:cs="宋体"/>
          <w:spacing w:val="2"/>
          <w:sz w:val="21"/>
          <w:szCs w:val="21"/>
        </w:rPr>
        <w:t>计算公式：单位精锌(电锌)综合能耗(千克标准煤/吨)=1000×精锌(电锌)产品能源消</w:t>
      </w:r>
      <w:r>
        <w:rPr>
          <w:rFonts w:ascii="宋体" w:hAnsi="宋体" w:eastAsia="宋体" w:cs="宋体"/>
          <w:spacing w:val="1"/>
          <w:sz w:val="21"/>
          <w:szCs w:val="21"/>
        </w:rPr>
        <w:t>耗总量(吨标</w:t>
      </w:r>
      <w:r>
        <w:rPr>
          <w:rFonts w:ascii="宋体" w:hAnsi="宋体" w:eastAsia="宋体" w:cs="宋体"/>
          <w:sz w:val="21"/>
          <w:szCs w:val="21"/>
        </w:rPr>
        <w:t xml:space="preserve"> </w:t>
      </w:r>
      <w:r>
        <w:rPr>
          <w:rFonts w:ascii="宋体" w:hAnsi="宋体" w:eastAsia="宋体" w:cs="宋体"/>
          <w:spacing w:val="8"/>
          <w:sz w:val="21"/>
          <w:szCs w:val="21"/>
        </w:rPr>
        <w:t>准煤)/合格交库的精锌(电锌)产量(吨)</w:t>
      </w:r>
    </w:p>
    <w:p w14:paraId="607E2E13">
      <w:pPr>
        <w:spacing w:before="121" w:line="264" w:lineRule="auto"/>
        <w:ind w:left="10" w:right="27" w:firstLine="420"/>
        <w:rPr>
          <w:rFonts w:ascii="宋体" w:hAnsi="宋体" w:eastAsia="宋体" w:cs="宋体"/>
          <w:sz w:val="21"/>
          <w:szCs w:val="21"/>
        </w:rPr>
      </w:pPr>
      <w:r>
        <w:rPr>
          <w:rFonts w:ascii="宋体" w:hAnsi="宋体" w:eastAsia="宋体" w:cs="宋体"/>
          <w:spacing w:val="16"/>
          <w:sz w:val="21"/>
          <w:szCs w:val="21"/>
        </w:rPr>
        <w:t>分子项：精锌(电锌)产品能源消耗总量。指精锌</w:t>
      </w:r>
      <w:r>
        <w:rPr>
          <w:rFonts w:ascii="宋体" w:hAnsi="宋体" w:eastAsia="宋体" w:cs="宋体"/>
          <w:spacing w:val="15"/>
          <w:sz w:val="21"/>
          <w:szCs w:val="21"/>
        </w:rPr>
        <w:t>(电锌)工艺能源消耗量(动力+燃料)和辅助</w:t>
      </w:r>
      <w:r>
        <w:rPr>
          <w:rFonts w:ascii="宋体" w:hAnsi="宋体" w:eastAsia="宋体" w:cs="宋体"/>
          <w:sz w:val="21"/>
          <w:szCs w:val="21"/>
        </w:rPr>
        <w:t xml:space="preserve"> </w:t>
      </w:r>
      <w:r>
        <w:rPr>
          <w:rFonts w:ascii="宋体" w:hAnsi="宋体" w:eastAsia="宋体" w:cs="宋体"/>
          <w:spacing w:val="-6"/>
          <w:sz w:val="21"/>
          <w:szCs w:val="21"/>
        </w:rPr>
        <w:t>用能分摊量。</w:t>
      </w:r>
    </w:p>
    <w:p w14:paraId="39E18930">
      <w:pPr>
        <w:spacing w:before="121" w:line="219" w:lineRule="auto"/>
        <w:ind w:left="430"/>
        <w:rPr>
          <w:rFonts w:ascii="宋体" w:hAnsi="宋体" w:eastAsia="宋体" w:cs="宋体"/>
          <w:sz w:val="21"/>
          <w:szCs w:val="21"/>
        </w:rPr>
      </w:pPr>
      <w:r>
        <w:rPr>
          <w:rFonts w:ascii="宋体" w:hAnsi="宋体" w:eastAsia="宋体" w:cs="宋体"/>
          <w:spacing w:val="-1"/>
          <w:sz w:val="21"/>
          <w:szCs w:val="21"/>
        </w:rPr>
        <w:t>辅助用能分摊量=辅助用能×分摊系数</w:t>
      </w:r>
    </w:p>
    <w:p w14:paraId="1FC9F48E">
      <w:pPr>
        <w:spacing w:before="110" w:line="219" w:lineRule="auto"/>
        <w:ind w:left="430"/>
        <w:rPr>
          <w:rFonts w:ascii="宋体" w:hAnsi="宋体" w:eastAsia="宋体" w:cs="宋体"/>
          <w:sz w:val="21"/>
          <w:szCs w:val="21"/>
        </w:rPr>
      </w:pPr>
      <w:r>
        <w:rPr>
          <w:rFonts w:ascii="宋体" w:hAnsi="宋体" w:eastAsia="宋体" w:cs="宋体"/>
          <w:spacing w:val="13"/>
          <w:sz w:val="21"/>
          <w:szCs w:val="21"/>
        </w:rPr>
        <w:t>分摊系数=精锌(电锌)工艺总能耗/(全厂总能耗一辅助</w:t>
      </w:r>
      <w:r>
        <w:rPr>
          <w:rFonts w:ascii="宋体" w:hAnsi="宋体" w:eastAsia="宋体" w:cs="宋体"/>
          <w:spacing w:val="12"/>
          <w:sz w:val="21"/>
          <w:szCs w:val="21"/>
        </w:rPr>
        <w:t>用能)</w:t>
      </w:r>
    </w:p>
    <w:p w14:paraId="6DD3F7D1">
      <w:pPr>
        <w:spacing w:before="100" w:line="268" w:lineRule="auto"/>
        <w:ind w:left="430" w:right="24"/>
        <w:rPr>
          <w:rFonts w:ascii="宋体" w:hAnsi="宋体" w:eastAsia="宋体" w:cs="宋体"/>
          <w:sz w:val="21"/>
          <w:szCs w:val="21"/>
        </w:rPr>
      </w:pPr>
      <w:r>
        <w:rPr>
          <w:rFonts w:ascii="宋体" w:hAnsi="宋体" w:eastAsia="宋体" w:cs="宋体"/>
          <w:spacing w:val="8"/>
          <w:sz w:val="21"/>
          <w:szCs w:val="21"/>
        </w:rPr>
        <w:t>分母项：合格交库的精锌(电锌)产量。指从处理锌精矿到产出合格交库的精锌(电锌)产出量。</w:t>
      </w:r>
      <w:r>
        <w:rPr>
          <w:rFonts w:ascii="宋体" w:hAnsi="宋体" w:eastAsia="宋体" w:cs="宋体"/>
          <w:spacing w:val="10"/>
          <w:sz w:val="21"/>
          <w:szCs w:val="21"/>
        </w:rPr>
        <w:t xml:space="preserve"> </w:t>
      </w:r>
      <w:r>
        <w:rPr>
          <w:rFonts w:ascii="宋体" w:hAnsi="宋体" w:eastAsia="宋体" w:cs="宋体"/>
          <w:spacing w:val="-3"/>
          <w:sz w:val="21"/>
          <w:szCs w:val="21"/>
        </w:rPr>
        <w:t>火法和湿法炼锌均采用此办法。</w:t>
      </w:r>
    </w:p>
    <w:p w14:paraId="7EF550E5">
      <w:pPr>
        <w:spacing w:before="107" w:line="221" w:lineRule="auto"/>
        <w:ind w:left="433"/>
        <w:rPr>
          <w:rFonts w:ascii="黑体" w:hAnsi="黑体" w:eastAsia="黑体" w:cs="黑体"/>
          <w:sz w:val="21"/>
          <w:szCs w:val="21"/>
        </w:rPr>
      </w:pPr>
      <w:r>
        <w:rPr>
          <w:rFonts w:ascii="黑体" w:hAnsi="黑体" w:eastAsia="黑体" w:cs="黑体"/>
          <w:b/>
          <w:bCs/>
          <w:spacing w:val="13"/>
          <w:sz w:val="21"/>
          <w:szCs w:val="21"/>
        </w:rPr>
        <w:t>析出锌(湿法)直流电单耗</w:t>
      </w:r>
    </w:p>
    <w:p w14:paraId="40FAFE8C">
      <w:pPr>
        <w:spacing w:before="125" w:line="263" w:lineRule="auto"/>
        <w:ind w:left="5590" w:right="71" w:hanging="5160"/>
        <w:rPr>
          <w:rFonts w:ascii="宋体" w:hAnsi="宋体" w:eastAsia="宋体" w:cs="宋体"/>
          <w:sz w:val="21"/>
          <w:szCs w:val="21"/>
        </w:rPr>
      </w:pPr>
      <w:r>
        <w:rPr>
          <w:rFonts w:ascii="宋体" w:hAnsi="宋体" w:eastAsia="宋体" w:cs="宋体"/>
          <w:spacing w:val="11"/>
          <w:sz w:val="21"/>
          <w:szCs w:val="21"/>
        </w:rPr>
        <w:t>计算公式：析出锌(湿法)直流电单耗(千瓦时/吨)=10000×直流电消耗总量(万千瓦时)/实际</w:t>
      </w:r>
      <w:r>
        <w:rPr>
          <w:rFonts w:ascii="宋体" w:hAnsi="宋体" w:eastAsia="宋体" w:cs="宋体"/>
          <w:sz w:val="21"/>
          <w:szCs w:val="21"/>
        </w:rPr>
        <w:t xml:space="preserve"> </w:t>
      </w:r>
      <w:r>
        <w:rPr>
          <w:rFonts w:ascii="宋体" w:hAnsi="宋体" w:eastAsia="宋体" w:cs="宋体"/>
          <w:spacing w:val="13"/>
          <w:sz w:val="21"/>
          <w:szCs w:val="21"/>
        </w:rPr>
        <w:t>析出锌产量(吨)</w:t>
      </w:r>
    </w:p>
    <w:p w14:paraId="6015A485">
      <w:pPr>
        <w:spacing w:before="100" w:line="350" w:lineRule="exact"/>
        <w:ind w:left="430"/>
        <w:rPr>
          <w:rFonts w:ascii="宋体" w:hAnsi="宋体" w:eastAsia="宋体" w:cs="宋体"/>
          <w:sz w:val="21"/>
          <w:szCs w:val="21"/>
        </w:rPr>
      </w:pPr>
      <w:r>
        <w:rPr>
          <w:rFonts w:ascii="宋体" w:hAnsi="宋体" w:eastAsia="宋体" w:cs="宋体"/>
          <w:spacing w:val="-2"/>
          <w:position w:val="10"/>
          <w:sz w:val="21"/>
          <w:szCs w:val="21"/>
        </w:rPr>
        <w:t>分子项：直流电消耗总量包括线路损失电量和电解液净化槽</w:t>
      </w:r>
      <w:r>
        <w:rPr>
          <w:rFonts w:ascii="宋体" w:hAnsi="宋体" w:eastAsia="宋体" w:cs="宋体"/>
          <w:spacing w:val="-3"/>
          <w:position w:val="10"/>
          <w:sz w:val="21"/>
          <w:szCs w:val="21"/>
        </w:rPr>
        <w:t>耗电量。</w:t>
      </w:r>
    </w:p>
    <w:p w14:paraId="12C0EFB7">
      <w:pPr>
        <w:spacing w:line="219" w:lineRule="auto"/>
        <w:ind w:left="430"/>
        <w:rPr>
          <w:rFonts w:ascii="宋体" w:hAnsi="宋体" w:eastAsia="宋体" w:cs="宋体"/>
          <w:sz w:val="21"/>
          <w:szCs w:val="21"/>
        </w:rPr>
      </w:pPr>
      <w:r>
        <w:rPr>
          <w:rFonts w:ascii="宋体" w:hAnsi="宋体" w:eastAsia="宋体" w:cs="宋体"/>
          <w:spacing w:val="-5"/>
          <w:sz w:val="21"/>
          <w:szCs w:val="21"/>
        </w:rPr>
        <w:t>分母项：实际析出锌产量。</w:t>
      </w:r>
    </w:p>
    <w:p w14:paraId="6C696D48">
      <w:pPr>
        <w:pStyle w:val="2"/>
        <w:spacing w:line="419" w:lineRule="auto"/>
      </w:pPr>
    </w:p>
    <w:p w14:paraId="0FB49582">
      <w:pPr>
        <w:spacing w:before="70" w:line="222" w:lineRule="auto"/>
        <w:ind w:left="430"/>
        <w:rPr>
          <w:rFonts w:ascii="黑体" w:hAnsi="黑体" w:eastAsia="黑体" w:cs="黑体"/>
          <w:sz w:val="21"/>
          <w:szCs w:val="21"/>
        </w:rPr>
      </w:pPr>
      <w:r>
        <w:rPr>
          <w:rFonts w:ascii="黑体" w:hAnsi="黑体" w:eastAsia="黑体" w:cs="黑体"/>
          <w:spacing w:val="13"/>
          <w:sz w:val="21"/>
          <w:szCs w:val="21"/>
        </w:rPr>
        <w:t>有色金属材(32)</w:t>
      </w:r>
    </w:p>
    <w:p w14:paraId="74D1D28F">
      <w:pPr>
        <w:spacing w:before="115" w:line="221" w:lineRule="auto"/>
        <w:ind w:left="430"/>
        <w:rPr>
          <w:rFonts w:ascii="黑体" w:hAnsi="黑体" w:eastAsia="黑体" w:cs="黑体"/>
          <w:sz w:val="21"/>
          <w:szCs w:val="21"/>
        </w:rPr>
      </w:pPr>
      <w:r>
        <w:rPr>
          <w:rFonts w:ascii="黑体" w:hAnsi="黑体" w:eastAsia="黑体" w:cs="黑体"/>
          <w:spacing w:val="-2"/>
          <w:sz w:val="21"/>
          <w:szCs w:val="21"/>
        </w:rPr>
        <w:t>吨铜加工材消耗电量</w:t>
      </w:r>
    </w:p>
    <w:p w14:paraId="0A48EEA3">
      <w:pPr>
        <w:spacing w:before="100" w:line="370" w:lineRule="exact"/>
        <w:ind w:left="430"/>
        <w:rPr>
          <w:rFonts w:ascii="宋体" w:hAnsi="宋体" w:eastAsia="宋体" w:cs="宋体"/>
          <w:sz w:val="21"/>
          <w:szCs w:val="21"/>
        </w:rPr>
      </w:pPr>
      <w:r>
        <w:rPr>
          <w:rFonts w:ascii="宋体" w:hAnsi="宋体" w:eastAsia="宋体" w:cs="宋体"/>
          <w:spacing w:val="7"/>
          <w:position w:val="12"/>
          <w:sz w:val="21"/>
          <w:szCs w:val="21"/>
        </w:rPr>
        <w:t>计算公式：吨铜加工材消耗电量(千瓦时/吨)=1000</w:t>
      </w:r>
      <w:r>
        <w:rPr>
          <w:rFonts w:ascii="宋体" w:hAnsi="宋体" w:eastAsia="宋体" w:cs="宋体"/>
          <w:spacing w:val="6"/>
          <w:position w:val="12"/>
          <w:sz w:val="21"/>
          <w:szCs w:val="21"/>
        </w:rPr>
        <w:t>0×铜加工材用电消耗总量(万千瓦时)/合格</w:t>
      </w:r>
    </w:p>
    <w:p w14:paraId="3137B4F9">
      <w:pPr>
        <w:spacing w:before="1" w:line="218" w:lineRule="auto"/>
        <w:ind w:left="4950"/>
        <w:rPr>
          <w:rFonts w:ascii="宋体" w:hAnsi="宋体" w:eastAsia="宋体" w:cs="宋体"/>
          <w:sz w:val="21"/>
          <w:szCs w:val="21"/>
        </w:rPr>
      </w:pPr>
      <w:r>
        <w:rPr>
          <w:rFonts w:ascii="宋体" w:hAnsi="宋体" w:eastAsia="宋体" w:cs="宋体"/>
          <w:spacing w:val="11"/>
          <w:sz w:val="21"/>
          <w:szCs w:val="21"/>
        </w:rPr>
        <w:t>交库的铜材产量(吨)</w:t>
      </w:r>
    </w:p>
    <w:p w14:paraId="4BF70043">
      <w:pPr>
        <w:spacing w:line="218" w:lineRule="auto"/>
        <w:rPr>
          <w:rFonts w:ascii="宋体" w:hAnsi="宋体" w:eastAsia="宋体" w:cs="宋体"/>
          <w:sz w:val="21"/>
          <w:szCs w:val="21"/>
        </w:rPr>
        <w:sectPr>
          <w:headerReference r:id="rId51" w:type="default"/>
          <w:pgSz w:w="11910" w:h="16840"/>
          <w:pgMar w:top="1109" w:right="1249" w:bottom="400" w:left="1239" w:header="838" w:footer="0" w:gutter="0"/>
          <w:cols w:space="720" w:num="1"/>
        </w:sectPr>
      </w:pPr>
    </w:p>
    <w:p w14:paraId="1E89D022">
      <w:pPr>
        <w:pStyle w:val="2"/>
        <w:spacing w:line="352" w:lineRule="auto"/>
      </w:pPr>
    </w:p>
    <w:p w14:paraId="07ABB3D2">
      <w:pPr>
        <w:spacing w:before="65" w:line="333" w:lineRule="auto"/>
        <w:ind w:right="71" w:firstLine="440"/>
        <w:jc w:val="both"/>
        <w:rPr>
          <w:rFonts w:ascii="宋体" w:hAnsi="宋体" w:eastAsia="宋体" w:cs="宋体"/>
          <w:sz w:val="20"/>
          <w:szCs w:val="20"/>
        </w:rPr>
      </w:pPr>
      <w:r>
        <w:rPr>
          <w:rFonts w:ascii="宋体" w:hAnsi="宋体" w:eastAsia="宋体" w:cs="宋体"/>
          <w:spacing w:val="18"/>
          <w:sz w:val="20"/>
          <w:szCs w:val="20"/>
        </w:rPr>
        <w:t>分子项：铜加工材用电消耗总量。包括铜加工生产分厂</w:t>
      </w:r>
      <w:r>
        <w:rPr>
          <w:rFonts w:ascii="宋体" w:hAnsi="宋体" w:eastAsia="宋体" w:cs="宋体"/>
          <w:spacing w:val="17"/>
          <w:sz w:val="20"/>
          <w:szCs w:val="20"/>
        </w:rPr>
        <w:t>(车间)、辅助分厂(车间)和附属单位所</w:t>
      </w:r>
      <w:r>
        <w:rPr>
          <w:rFonts w:ascii="宋体" w:hAnsi="宋体" w:eastAsia="宋体" w:cs="宋体"/>
          <w:sz w:val="20"/>
          <w:szCs w:val="20"/>
        </w:rPr>
        <w:t xml:space="preserve"> </w:t>
      </w:r>
      <w:r>
        <w:rPr>
          <w:rFonts w:ascii="宋体" w:hAnsi="宋体" w:eastAsia="宋体" w:cs="宋体"/>
          <w:spacing w:val="9"/>
          <w:sz w:val="20"/>
          <w:szCs w:val="20"/>
        </w:rPr>
        <w:t>消耗的电量，以及按比例分摊的线路损失电量；不包括铜深加工产品消耗的电量、基</w:t>
      </w:r>
      <w:r>
        <w:rPr>
          <w:rFonts w:ascii="宋体" w:hAnsi="宋体" w:eastAsia="宋体" w:cs="宋体"/>
          <w:spacing w:val="8"/>
          <w:sz w:val="20"/>
          <w:szCs w:val="20"/>
        </w:rPr>
        <w:t>建及专供其他单位</w:t>
      </w:r>
    </w:p>
    <w:p w14:paraId="6F71C835">
      <w:pPr>
        <w:spacing w:line="220" w:lineRule="auto"/>
        <w:rPr>
          <w:rFonts w:ascii="宋体" w:hAnsi="宋体" w:eastAsia="宋体" w:cs="宋体"/>
          <w:sz w:val="20"/>
          <w:szCs w:val="20"/>
        </w:rPr>
      </w:pPr>
      <w:r>
        <w:rPr>
          <w:rFonts w:ascii="宋体" w:hAnsi="宋体" w:eastAsia="宋体" w:cs="宋体"/>
          <w:spacing w:val="-6"/>
          <w:sz w:val="20"/>
          <w:szCs w:val="20"/>
        </w:rPr>
        <w:t>的用电。</w:t>
      </w:r>
    </w:p>
    <w:p w14:paraId="24806D2C">
      <w:pPr>
        <w:spacing w:before="128" w:line="219" w:lineRule="auto"/>
        <w:ind w:left="440"/>
        <w:rPr>
          <w:rFonts w:ascii="宋体" w:hAnsi="宋体" w:eastAsia="宋体" w:cs="宋体"/>
          <w:sz w:val="20"/>
          <w:szCs w:val="20"/>
        </w:rPr>
      </w:pPr>
      <w:r>
        <w:rPr>
          <w:rFonts w:ascii="宋体" w:hAnsi="宋体" w:eastAsia="宋体" w:cs="宋体"/>
          <w:spacing w:val="7"/>
          <w:sz w:val="20"/>
          <w:szCs w:val="20"/>
        </w:rPr>
        <w:t>分母项：合格交库铜材产量。包括自用量，不包括深加工产品产量。</w:t>
      </w:r>
    </w:p>
    <w:p w14:paraId="43F25D4A">
      <w:pPr>
        <w:spacing w:before="129" w:line="221" w:lineRule="auto"/>
        <w:ind w:left="442"/>
        <w:rPr>
          <w:rFonts w:ascii="黑体" w:hAnsi="黑体" w:eastAsia="黑体" w:cs="黑体"/>
          <w:sz w:val="20"/>
          <w:szCs w:val="20"/>
        </w:rPr>
      </w:pPr>
      <w:r>
        <w:rPr>
          <w:rFonts w:ascii="黑体" w:hAnsi="黑体" w:eastAsia="黑体" w:cs="黑体"/>
          <w:b/>
          <w:bCs/>
          <w:spacing w:val="4"/>
          <w:sz w:val="20"/>
          <w:szCs w:val="20"/>
        </w:rPr>
        <w:t>吨铜加工材消耗能源量</w:t>
      </w:r>
    </w:p>
    <w:p w14:paraId="2738DE49">
      <w:pPr>
        <w:spacing w:before="104" w:line="370" w:lineRule="exact"/>
        <w:ind w:left="440"/>
        <w:rPr>
          <w:rFonts w:ascii="宋体" w:hAnsi="宋体" w:eastAsia="宋体" w:cs="宋体"/>
          <w:sz w:val="20"/>
          <w:szCs w:val="20"/>
        </w:rPr>
      </w:pPr>
      <w:r>
        <w:rPr>
          <w:rFonts w:ascii="宋体" w:hAnsi="宋体" w:eastAsia="宋体" w:cs="宋体"/>
          <w:spacing w:val="15"/>
          <w:position w:val="12"/>
          <w:sz w:val="20"/>
          <w:szCs w:val="20"/>
        </w:rPr>
        <w:t>计算公式：吨铜加工材消耗能源量(千克标准煤/吨)=1000×铜加工材能源消耗</w:t>
      </w:r>
      <w:r>
        <w:rPr>
          <w:rFonts w:ascii="宋体" w:hAnsi="宋体" w:eastAsia="宋体" w:cs="宋体"/>
          <w:spacing w:val="14"/>
          <w:position w:val="12"/>
          <w:sz w:val="20"/>
          <w:szCs w:val="20"/>
        </w:rPr>
        <w:t>总量(吨标准煤)</w:t>
      </w:r>
    </w:p>
    <w:p w14:paraId="13322FCF">
      <w:pPr>
        <w:spacing w:before="1" w:line="218" w:lineRule="auto"/>
        <w:ind w:left="5580"/>
        <w:rPr>
          <w:rFonts w:ascii="宋体" w:hAnsi="宋体" w:eastAsia="宋体" w:cs="宋体"/>
          <w:sz w:val="20"/>
          <w:szCs w:val="20"/>
        </w:rPr>
      </w:pPr>
      <w:r>
        <w:rPr>
          <w:rFonts w:ascii="宋体" w:hAnsi="宋体" w:eastAsia="宋体" w:cs="宋体"/>
          <w:spacing w:val="14"/>
          <w:sz w:val="20"/>
          <w:szCs w:val="20"/>
        </w:rPr>
        <w:t>/合格交库的铜材产量(吨)</w:t>
      </w:r>
    </w:p>
    <w:p w14:paraId="406947FD">
      <w:pPr>
        <w:spacing w:before="134" w:line="289" w:lineRule="auto"/>
        <w:ind w:firstLine="440"/>
        <w:rPr>
          <w:rFonts w:ascii="宋体" w:hAnsi="宋体" w:eastAsia="宋体" w:cs="宋体"/>
          <w:sz w:val="20"/>
          <w:szCs w:val="20"/>
        </w:rPr>
      </w:pPr>
      <w:r>
        <w:rPr>
          <w:rFonts w:ascii="宋体" w:hAnsi="宋体" w:eastAsia="宋体" w:cs="宋体"/>
          <w:spacing w:val="17"/>
          <w:sz w:val="20"/>
          <w:szCs w:val="20"/>
        </w:rPr>
        <w:t xml:space="preserve">分子项：铜加工材能源消耗总量。包括铜加工生产分厂(车间)、辅助分厂(车间)和附属单位所 </w:t>
      </w:r>
      <w:r>
        <w:rPr>
          <w:rFonts w:ascii="宋体" w:hAnsi="宋体" w:eastAsia="宋体" w:cs="宋体"/>
          <w:spacing w:val="6"/>
          <w:sz w:val="20"/>
          <w:szCs w:val="20"/>
        </w:rPr>
        <w:t>消耗的能源，能源亏损量应计入能耗。不包括深加工产品耗能、基建、改造用能和专供</w:t>
      </w:r>
      <w:r>
        <w:rPr>
          <w:rFonts w:ascii="宋体" w:hAnsi="宋体" w:eastAsia="宋体" w:cs="宋体"/>
          <w:spacing w:val="5"/>
          <w:sz w:val="20"/>
          <w:szCs w:val="20"/>
        </w:rPr>
        <w:t>其他单位的用能。</w:t>
      </w:r>
      <w:r>
        <w:rPr>
          <w:rFonts w:ascii="宋体" w:hAnsi="宋体" w:eastAsia="宋体" w:cs="宋体"/>
          <w:sz w:val="20"/>
          <w:szCs w:val="20"/>
        </w:rPr>
        <w:t xml:space="preserve"> </w:t>
      </w:r>
      <w:r>
        <w:rPr>
          <w:rFonts w:ascii="宋体" w:hAnsi="宋体" w:eastAsia="宋体" w:cs="宋体"/>
          <w:spacing w:val="4"/>
          <w:sz w:val="20"/>
          <w:szCs w:val="20"/>
        </w:rPr>
        <w:t>计量单位为吨标准煤。</w:t>
      </w:r>
    </w:p>
    <w:p w14:paraId="1CE98D1C">
      <w:pPr>
        <w:spacing w:before="139" w:line="219" w:lineRule="auto"/>
        <w:ind w:left="440"/>
        <w:rPr>
          <w:rFonts w:ascii="宋体" w:hAnsi="宋体" w:eastAsia="宋体" w:cs="宋体"/>
          <w:sz w:val="20"/>
          <w:szCs w:val="20"/>
        </w:rPr>
      </w:pPr>
      <w:r>
        <w:rPr>
          <w:rFonts w:ascii="宋体" w:hAnsi="宋体" w:eastAsia="宋体" w:cs="宋体"/>
          <w:spacing w:val="6"/>
          <w:sz w:val="20"/>
          <w:szCs w:val="20"/>
        </w:rPr>
        <w:t>分母项：合格交库铜材产量。说明同上。</w:t>
      </w:r>
    </w:p>
    <w:p w14:paraId="3748A553">
      <w:pPr>
        <w:spacing w:before="123" w:line="271" w:lineRule="auto"/>
        <w:ind w:right="63" w:firstLine="440"/>
        <w:rPr>
          <w:rFonts w:ascii="宋体" w:hAnsi="宋体" w:eastAsia="宋体" w:cs="宋体"/>
          <w:sz w:val="20"/>
          <w:szCs w:val="20"/>
        </w:rPr>
      </w:pPr>
      <w:r>
        <w:rPr>
          <w:rFonts w:ascii="宋体" w:hAnsi="宋体" w:eastAsia="宋体" w:cs="宋体"/>
          <w:spacing w:val="9"/>
          <w:sz w:val="20"/>
          <w:szCs w:val="20"/>
        </w:rPr>
        <w:t>铜材指用精炼铜和直接利用再生铜作原料，经挤</w:t>
      </w:r>
      <w:r>
        <w:rPr>
          <w:rFonts w:ascii="宋体" w:hAnsi="宋体" w:eastAsia="宋体" w:cs="宋体"/>
          <w:spacing w:val="8"/>
          <w:sz w:val="20"/>
          <w:szCs w:val="20"/>
        </w:rPr>
        <w:t>压、锻造、轧制、或拉伸生产的铜加工产品。铜加</w:t>
      </w:r>
      <w:r>
        <w:rPr>
          <w:rFonts w:ascii="宋体" w:hAnsi="宋体" w:eastAsia="宋体" w:cs="宋体"/>
          <w:sz w:val="20"/>
          <w:szCs w:val="20"/>
        </w:rPr>
        <w:t xml:space="preserve"> </w:t>
      </w:r>
      <w:r>
        <w:rPr>
          <w:rFonts w:ascii="宋体" w:hAnsi="宋体" w:eastAsia="宋体" w:cs="宋体"/>
          <w:spacing w:val="8"/>
          <w:sz w:val="20"/>
          <w:szCs w:val="20"/>
        </w:rPr>
        <w:t>工产品按形状、尺寸不同可分为：板材、带材、管材、棒材、线材、型材、箔材、锻件等加工材产品。</w:t>
      </w:r>
    </w:p>
    <w:p w14:paraId="4F7138AD">
      <w:pPr>
        <w:spacing w:before="132" w:line="222" w:lineRule="auto"/>
        <w:ind w:left="442"/>
        <w:rPr>
          <w:rFonts w:ascii="黑体" w:hAnsi="黑体" w:eastAsia="黑体" w:cs="黑体"/>
          <w:sz w:val="20"/>
          <w:szCs w:val="20"/>
        </w:rPr>
      </w:pPr>
      <w:r>
        <w:rPr>
          <w:rFonts w:ascii="黑体" w:hAnsi="黑体" w:eastAsia="黑体" w:cs="黑体"/>
          <w:b/>
          <w:bCs/>
          <w:spacing w:val="5"/>
          <w:sz w:val="20"/>
          <w:szCs w:val="20"/>
        </w:rPr>
        <w:t>吨铝加工材消耗电量</w:t>
      </w:r>
    </w:p>
    <w:p w14:paraId="272BB6A9">
      <w:pPr>
        <w:spacing w:before="101" w:line="370" w:lineRule="exact"/>
        <w:ind w:left="440"/>
        <w:rPr>
          <w:rFonts w:ascii="宋体" w:hAnsi="宋体" w:eastAsia="宋体" w:cs="宋体"/>
          <w:sz w:val="20"/>
          <w:szCs w:val="20"/>
        </w:rPr>
      </w:pPr>
      <w:r>
        <w:rPr>
          <w:rFonts w:ascii="宋体" w:hAnsi="宋体" w:eastAsia="宋体" w:cs="宋体"/>
          <w:spacing w:val="15"/>
          <w:position w:val="12"/>
          <w:sz w:val="20"/>
          <w:szCs w:val="20"/>
        </w:rPr>
        <w:t>计算公式：吨铝加工材消耗电量(千瓦时/吨)=10000×铝加工材用电消耗总量(</w:t>
      </w:r>
      <w:r>
        <w:rPr>
          <w:rFonts w:ascii="宋体" w:hAnsi="宋体" w:eastAsia="宋体" w:cs="宋体"/>
          <w:spacing w:val="14"/>
          <w:position w:val="12"/>
          <w:sz w:val="20"/>
          <w:szCs w:val="20"/>
        </w:rPr>
        <w:t>万千瓦时)/合格</w:t>
      </w:r>
    </w:p>
    <w:p w14:paraId="78B7A3BE">
      <w:pPr>
        <w:spacing w:before="1" w:line="218" w:lineRule="auto"/>
        <w:ind w:left="4960"/>
        <w:rPr>
          <w:rFonts w:ascii="宋体" w:hAnsi="宋体" w:eastAsia="宋体" w:cs="宋体"/>
          <w:sz w:val="20"/>
          <w:szCs w:val="20"/>
        </w:rPr>
      </w:pPr>
      <w:r>
        <w:rPr>
          <w:rFonts w:ascii="宋体" w:hAnsi="宋体" w:eastAsia="宋体" w:cs="宋体"/>
          <w:spacing w:val="20"/>
          <w:sz w:val="20"/>
          <w:szCs w:val="20"/>
        </w:rPr>
        <w:t>交库的铝材产量(吨)</w:t>
      </w:r>
    </w:p>
    <w:p w14:paraId="79CAFD47">
      <w:pPr>
        <w:spacing w:before="132" w:line="290" w:lineRule="auto"/>
        <w:ind w:right="71" w:firstLine="440"/>
        <w:rPr>
          <w:rFonts w:ascii="宋体" w:hAnsi="宋体" w:eastAsia="宋体" w:cs="宋体"/>
          <w:sz w:val="20"/>
          <w:szCs w:val="20"/>
        </w:rPr>
      </w:pPr>
      <w:r>
        <w:rPr>
          <w:rFonts w:ascii="宋体" w:hAnsi="宋体" w:eastAsia="宋体" w:cs="宋体"/>
          <w:spacing w:val="20"/>
          <w:sz w:val="20"/>
          <w:szCs w:val="20"/>
        </w:rPr>
        <w:t>分子项：铝加工材用电消耗总量。包括铝加工生产分厂(车间),辅助分厂(车间)和</w:t>
      </w:r>
      <w:r>
        <w:rPr>
          <w:rFonts w:ascii="宋体" w:hAnsi="宋体" w:eastAsia="宋体" w:cs="宋体"/>
          <w:spacing w:val="19"/>
          <w:sz w:val="20"/>
          <w:szCs w:val="20"/>
        </w:rPr>
        <w:t>附属单位所</w:t>
      </w:r>
      <w:r>
        <w:rPr>
          <w:rFonts w:ascii="宋体" w:hAnsi="宋体" w:eastAsia="宋体" w:cs="宋体"/>
          <w:sz w:val="20"/>
          <w:szCs w:val="20"/>
        </w:rPr>
        <w:t xml:space="preserve"> </w:t>
      </w:r>
      <w:r>
        <w:rPr>
          <w:rFonts w:ascii="宋体" w:hAnsi="宋体" w:eastAsia="宋体" w:cs="宋体"/>
          <w:spacing w:val="9"/>
          <w:sz w:val="20"/>
          <w:szCs w:val="20"/>
        </w:rPr>
        <w:t>消耗的电量，以及按比例分摊的线路损失电量。不包括铝深加工产品所消耗的电量、</w:t>
      </w:r>
      <w:r>
        <w:rPr>
          <w:rFonts w:ascii="宋体" w:hAnsi="宋体" w:eastAsia="宋体" w:cs="宋体"/>
          <w:spacing w:val="8"/>
          <w:sz w:val="20"/>
          <w:szCs w:val="20"/>
        </w:rPr>
        <w:t>基建及专供其他单</w:t>
      </w:r>
      <w:r>
        <w:rPr>
          <w:rFonts w:ascii="宋体" w:hAnsi="宋体" w:eastAsia="宋体" w:cs="宋体"/>
          <w:sz w:val="20"/>
          <w:szCs w:val="20"/>
        </w:rPr>
        <w:t xml:space="preserve"> </w:t>
      </w:r>
      <w:r>
        <w:rPr>
          <w:rFonts w:ascii="宋体" w:hAnsi="宋体" w:eastAsia="宋体" w:cs="宋体"/>
          <w:spacing w:val="-2"/>
          <w:sz w:val="20"/>
          <w:szCs w:val="20"/>
        </w:rPr>
        <w:t>位用电。</w:t>
      </w:r>
    </w:p>
    <w:p w14:paraId="3A5F8A4C">
      <w:pPr>
        <w:spacing w:before="138" w:line="219" w:lineRule="auto"/>
        <w:ind w:left="440"/>
        <w:rPr>
          <w:rFonts w:ascii="宋体" w:hAnsi="宋体" w:eastAsia="宋体" w:cs="宋体"/>
          <w:sz w:val="20"/>
          <w:szCs w:val="20"/>
        </w:rPr>
      </w:pPr>
      <w:r>
        <w:rPr>
          <w:rFonts w:ascii="宋体" w:hAnsi="宋体" w:eastAsia="宋体" w:cs="宋体"/>
          <w:spacing w:val="8"/>
          <w:sz w:val="20"/>
          <w:szCs w:val="20"/>
        </w:rPr>
        <w:t>分母项：合格交库的铝材产量。包括自用量，不包括深加工产品产量。</w:t>
      </w:r>
    </w:p>
    <w:p w14:paraId="7474A064">
      <w:pPr>
        <w:spacing w:before="124" w:line="288" w:lineRule="auto"/>
        <w:ind w:right="19" w:firstLine="440"/>
        <w:rPr>
          <w:rFonts w:ascii="宋体" w:hAnsi="宋体" w:eastAsia="宋体" w:cs="宋体"/>
          <w:sz w:val="20"/>
          <w:szCs w:val="20"/>
        </w:rPr>
      </w:pPr>
      <w:r>
        <w:rPr>
          <w:rFonts w:ascii="宋体" w:hAnsi="宋体" w:eastAsia="宋体" w:cs="宋体"/>
          <w:spacing w:val="8"/>
          <w:sz w:val="20"/>
          <w:szCs w:val="20"/>
        </w:rPr>
        <w:t>铝材指用铝液、电解铝锭、铝合金锭及直接利用的再生铝作原料，经挤压、锻造、轧制、或拉伸生</w:t>
      </w:r>
      <w:r>
        <w:rPr>
          <w:rFonts w:ascii="宋体" w:hAnsi="宋体" w:eastAsia="宋体" w:cs="宋体"/>
          <w:spacing w:val="14"/>
          <w:sz w:val="20"/>
          <w:szCs w:val="20"/>
        </w:rPr>
        <w:t xml:space="preserve"> </w:t>
      </w:r>
      <w:r>
        <w:rPr>
          <w:rFonts w:ascii="宋体" w:hAnsi="宋体" w:eastAsia="宋体" w:cs="宋体"/>
          <w:spacing w:val="6"/>
          <w:sz w:val="20"/>
          <w:szCs w:val="20"/>
        </w:rPr>
        <w:t>产的铝加工产品。铝加工产品按形状、尺寸</w:t>
      </w:r>
      <w:r>
        <w:rPr>
          <w:rFonts w:ascii="宋体" w:hAnsi="宋体" w:eastAsia="宋体" w:cs="宋体"/>
          <w:spacing w:val="5"/>
          <w:sz w:val="20"/>
          <w:szCs w:val="20"/>
        </w:rPr>
        <w:t>不同可分为：板材、带材、管材、棒材、线材、型材、箔材、</w:t>
      </w:r>
      <w:r>
        <w:rPr>
          <w:rFonts w:ascii="宋体" w:hAnsi="宋体" w:eastAsia="宋体" w:cs="宋体"/>
          <w:sz w:val="20"/>
          <w:szCs w:val="20"/>
        </w:rPr>
        <w:t xml:space="preserve"> </w:t>
      </w:r>
      <w:r>
        <w:rPr>
          <w:rFonts w:ascii="宋体" w:hAnsi="宋体" w:eastAsia="宋体" w:cs="宋体"/>
          <w:spacing w:val="6"/>
          <w:sz w:val="20"/>
          <w:szCs w:val="20"/>
        </w:rPr>
        <w:t>排材、锻件等铝加工材产品。</w:t>
      </w:r>
    </w:p>
    <w:p w14:paraId="04115379">
      <w:pPr>
        <w:spacing w:before="139" w:line="221" w:lineRule="auto"/>
        <w:ind w:left="442"/>
        <w:rPr>
          <w:rFonts w:ascii="黑体" w:hAnsi="黑体" w:eastAsia="黑体" w:cs="黑体"/>
          <w:sz w:val="20"/>
          <w:szCs w:val="20"/>
        </w:rPr>
      </w:pPr>
      <w:r>
        <w:rPr>
          <w:rFonts w:ascii="黑体" w:hAnsi="黑体" w:eastAsia="黑体" w:cs="黑体"/>
          <w:b/>
          <w:bCs/>
          <w:spacing w:val="4"/>
          <w:sz w:val="20"/>
          <w:szCs w:val="20"/>
        </w:rPr>
        <w:t>吨铝加工材消耗能源量</w:t>
      </w:r>
    </w:p>
    <w:p w14:paraId="0F038C50">
      <w:pPr>
        <w:spacing w:before="125" w:line="360" w:lineRule="exact"/>
        <w:ind w:left="440"/>
        <w:rPr>
          <w:rFonts w:ascii="宋体" w:hAnsi="宋体" w:eastAsia="宋体" w:cs="宋体"/>
          <w:sz w:val="20"/>
          <w:szCs w:val="20"/>
        </w:rPr>
      </w:pPr>
      <w:r>
        <w:rPr>
          <w:rFonts w:ascii="宋体" w:hAnsi="宋体" w:eastAsia="宋体" w:cs="宋体"/>
          <w:spacing w:val="16"/>
          <w:position w:val="12"/>
          <w:sz w:val="20"/>
          <w:szCs w:val="20"/>
        </w:rPr>
        <w:t>计算公式：吨铝加工材消耗能源量(千克标准煤/吨)=1000×铝加工材能源消耗总量(吨标准)/</w:t>
      </w:r>
    </w:p>
    <w:p w14:paraId="2B022097">
      <w:pPr>
        <w:spacing w:line="218" w:lineRule="auto"/>
        <w:ind w:left="5600"/>
        <w:rPr>
          <w:rFonts w:ascii="宋体" w:hAnsi="宋体" w:eastAsia="宋体" w:cs="宋体"/>
          <w:sz w:val="20"/>
          <w:szCs w:val="20"/>
        </w:rPr>
      </w:pPr>
      <w:r>
        <w:rPr>
          <w:rFonts w:ascii="宋体" w:hAnsi="宋体" w:eastAsia="宋体" w:cs="宋体"/>
          <w:spacing w:val="16"/>
          <w:sz w:val="20"/>
          <w:szCs w:val="20"/>
        </w:rPr>
        <w:t>合格交库的铝材产量(吨)</w:t>
      </w:r>
    </w:p>
    <w:p w14:paraId="1C9B3E80">
      <w:pPr>
        <w:spacing w:before="124" w:line="289" w:lineRule="auto"/>
        <w:ind w:right="69" w:firstLine="440"/>
        <w:jc w:val="both"/>
        <w:rPr>
          <w:rFonts w:ascii="宋体" w:hAnsi="宋体" w:eastAsia="宋体" w:cs="宋体"/>
          <w:sz w:val="20"/>
          <w:szCs w:val="20"/>
        </w:rPr>
      </w:pPr>
      <w:r>
        <w:rPr>
          <w:rFonts w:ascii="宋体" w:hAnsi="宋体" w:eastAsia="宋体" w:cs="宋体"/>
          <w:spacing w:val="8"/>
          <w:sz w:val="20"/>
          <w:szCs w:val="20"/>
        </w:rPr>
        <w:t>分子项：铝加工材能源消耗总量。包括铝加工生产、辅助单位和附属单位能源消耗的总和，能源亏</w:t>
      </w:r>
      <w:r>
        <w:rPr>
          <w:rFonts w:ascii="宋体" w:hAnsi="宋体" w:eastAsia="宋体" w:cs="宋体"/>
          <w:spacing w:val="14"/>
          <w:sz w:val="20"/>
          <w:szCs w:val="20"/>
        </w:rPr>
        <w:t xml:space="preserve"> </w:t>
      </w:r>
      <w:r>
        <w:rPr>
          <w:rFonts w:ascii="宋体" w:hAnsi="宋体" w:eastAsia="宋体" w:cs="宋体"/>
          <w:spacing w:val="9"/>
          <w:sz w:val="20"/>
          <w:szCs w:val="20"/>
        </w:rPr>
        <w:t>损量要计入消耗量内。不包括深加工产品耗能以及基建、改造用能和专供其他单位的用能</w:t>
      </w:r>
      <w:r>
        <w:rPr>
          <w:rFonts w:ascii="宋体" w:hAnsi="宋体" w:eastAsia="宋体" w:cs="宋体"/>
          <w:spacing w:val="8"/>
          <w:sz w:val="20"/>
          <w:szCs w:val="20"/>
        </w:rPr>
        <w:t>。计量单位为</w:t>
      </w:r>
      <w:r>
        <w:rPr>
          <w:rFonts w:ascii="宋体" w:hAnsi="宋体" w:eastAsia="宋体" w:cs="宋体"/>
          <w:sz w:val="20"/>
          <w:szCs w:val="20"/>
        </w:rPr>
        <w:t xml:space="preserve"> </w:t>
      </w:r>
      <w:r>
        <w:rPr>
          <w:rFonts w:ascii="宋体" w:hAnsi="宋体" w:eastAsia="宋体" w:cs="宋体"/>
          <w:spacing w:val="2"/>
          <w:sz w:val="20"/>
          <w:szCs w:val="20"/>
        </w:rPr>
        <w:t>吨标准煤。</w:t>
      </w:r>
    </w:p>
    <w:p w14:paraId="0969EEF8">
      <w:pPr>
        <w:spacing w:before="150" w:line="219" w:lineRule="auto"/>
        <w:ind w:left="440"/>
        <w:rPr>
          <w:rFonts w:ascii="宋体" w:hAnsi="宋体" w:eastAsia="宋体" w:cs="宋体"/>
          <w:sz w:val="20"/>
          <w:szCs w:val="20"/>
        </w:rPr>
      </w:pPr>
      <w:r>
        <w:rPr>
          <w:rFonts w:ascii="宋体" w:hAnsi="宋体" w:eastAsia="宋体" w:cs="宋体"/>
          <w:spacing w:val="6"/>
          <w:sz w:val="20"/>
          <w:szCs w:val="20"/>
        </w:rPr>
        <w:t>分母项：合格交库的铝材产量。说明同上。</w:t>
      </w:r>
    </w:p>
    <w:p w14:paraId="16EE068A">
      <w:pPr>
        <w:pStyle w:val="2"/>
        <w:spacing w:line="401" w:lineRule="auto"/>
      </w:pPr>
    </w:p>
    <w:p w14:paraId="23EA64A7">
      <w:pPr>
        <w:spacing w:before="66" w:line="221" w:lineRule="auto"/>
        <w:ind w:left="442"/>
        <w:rPr>
          <w:rFonts w:ascii="黑体" w:hAnsi="黑体" w:eastAsia="黑体" w:cs="黑体"/>
          <w:sz w:val="20"/>
          <w:szCs w:val="20"/>
        </w:rPr>
      </w:pPr>
      <w:r>
        <w:rPr>
          <w:rFonts w:ascii="黑体" w:hAnsi="黑体" w:eastAsia="黑体" w:cs="黑体"/>
          <w:b/>
          <w:bCs/>
          <w:spacing w:val="18"/>
          <w:sz w:val="20"/>
          <w:szCs w:val="20"/>
        </w:rPr>
        <w:t>火力发电(44)</w:t>
      </w:r>
    </w:p>
    <w:p w14:paraId="285C0023">
      <w:pPr>
        <w:spacing w:before="120" w:line="221" w:lineRule="auto"/>
        <w:ind w:left="442"/>
        <w:rPr>
          <w:rFonts w:ascii="黑体" w:hAnsi="黑体" w:eastAsia="黑体" w:cs="黑体"/>
          <w:sz w:val="20"/>
          <w:szCs w:val="20"/>
        </w:rPr>
      </w:pPr>
      <w:r>
        <w:rPr>
          <w:rFonts w:ascii="黑体" w:hAnsi="黑体" w:eastAsia="黑体" w:cs="黑体"/>
          <w:b/>
          <w:bCs/>
          <w:spacing w:val="4"/>
          <w:sz w:val="20"/>
          <w:szCs w:val="20"/>
        </w:rPr>
        <w:t>电厂火力发电标准煤耗</w:t>
      </w:r>
    </w:p>
    <w:p w14:paraId="21C3869A">
      <w:pPr>
        <w:spacing w:before="125" w:line="360" w:lineRule="exact"/>
        <w:ind w:left="440"/>
        <w:rPr>
          <w:rFonts w:ascii="宋体" w:hAnsi="宋体" w:eastAsia="宋体" w:cs="宋体"/>
          <w:sz w:val="20"/>
          <w:szCs w:val="20"/>
        </w:rPr>
      </w:pPr>
      <w:r>
        <w:rPr>
          <w:rFonts w:ascii="宋体" w:hAnsi="宋体" w:eastAsia="宋体" w:cs="宋体"/>
          <w:spacing w:val="16"/>
          <w:position w:val="12"/>
          <w:sz w:val="20"/>
          <w:szCs w:val="20"/>
        </w:rPr>
        <w:t>计算公式：电厂火力发电标准煤耗(克标准煤/千瓦时)=</w:t>
      </w:r>
      <w:r>
        <w:rPr>
          <w:rFonts w:ascii="宋体" w:hAnsi="宋体" w:eastAsia="宋体" w:cs="宋体"/>
          <w:spacing w:val="15"/>
          <w:position w:val="12"/>
          <w:sz w:val="20"/>
          <w:szCs w:val="20"/>
        </w:rPr>
        <w:t>100×发电耗用标准煤量(吨标准煤)/火</w:t>
      </w:r>
    </w:p>
    <w:p w14:paraId="14A786FB">
      <w:pPr>
        <w:spacing w:before="1" w:line="219" w:lineRule="auto"/>
        <w:ind w:left="5820"/>
        <w:rPr>
          <w:rFonts w:ascii="宋体" w:hAnsi="宋体" w:eastAsia="宋体" w:cs="宋体"/>
          <w:sz w:val="20"/>
          <w:szCs w:val="20"/>
        </w:rPr>
      </w:pPr>
      <w:r>
        <w:rPr>
          <w:rFonts w:ascii="宋体" w:hAnsi="宋体" w:eastAsia="宋体" w:cs="宋体"/>
          <w:spacing w:val="19"/>
          <w:sz w:val="20"/>
          <w:szCs w:val="20"/>
        </w:rPr>
        <w:t>力发电量(万千瓦时)</w:t>
      </w:r>
    </w:p>
    <w:p w14:paraId="02EAEB94">
      <w:pPr>
        <w:spacing w:before="122" w:line="219" w:lineRule="auto"/>
        <w:ind w:left="440"/>
        <w:rPr>
          <w:rFonts w:ascii="宋体" w:hAnsi="宋体" w:eastAsia="宋体" w:cs="宋体"/>
          <w:sz w:val="20"/>
          <w:szCs w:val="20"/>
        </w:rPr>
      </w:pPr>
      <w:r>
        <w:rPr>
          <w:rFonts w:ascii="宋体" w:hAnsi="宋体" w:eastAsia="宋体" w:cs="宋体"/>
          <w:spacing w:val="13"/>
          <w:sz w:val="20"/>
          <w:szCs w:val="20"/>
        </w:rPr>
        <w:t>分子项：发电耗用标准煤量。指发电生产耗用的原煤、燃料油和燃气等(标准煤)。不包括如下用</w:t>
      </w:r>
    </w:p>
    <w:p w14:paraId="6D9622AA">
      <w:pPr>
        <w:spacing w:before="124" w:line="220" w:lineRule="auto"/>
        <w:rPr>
          <w:rFonts w:ascii="宋体" w:hAnsi="宋体" w:eastAsia="宋体" w:cs="宋体"/>
          <w:sz w:val="20"/>
          <w:szCs w:val="20"/>
        </w:rPr>
      </w:pPr>
      <w:r>
        <w:rPr>
          <w:rFonts w:ascii="宋体" w:hAnsi="宋体" w:eastAsia="宋体" w:cs="宋体"/>
          <w:spacing w:val="-5"/>
          <w:sz w:val="20"/>
          <w:szCs w:val="20"/>
        </w:rPr>
        <w:t>项：</w:t>
      </w:r>
    </w:p>
    <w:p w14:paraId="41749BCF">
      <w:pPr>
        <w:spacing w:before="120" w:line="360" w:lineRule="exact"/>
        <w:ind w:left="560"/>
        <w:rPr>
          <w:rFonts w:ascii="宋体" w:hAnsi="宋体" w:eastAsia="宋体" w:cs="宋体"/>
          <w:sz w:val="20"/>
          <w:szCs w:val="20"/>
        </w:rPr>
      </w:pPr>
      <w:r>
        <w:rPr>
          <w:rFonts w:ascii="宋体" w:hAnsi="宋体" w:eastAsia="宋体" w:cs="宋体"/>
          <w:spacing w:val="11"/>
          <w:position w:val="12"/>
          <w:sz w:val="20"/>
          <w:szCs w:val="20"/>
        </w:rPr>
        <w:t>(1)新设备或大修后设备的烘炉、煮炉、</w:t>
      </w:r>
      <w:r>
        <w:rPr>
          <w:rFonts w:ascii="宋体" w:hAnsi="宋体" w:eastAsia="宋体" w:cs="宋体"/>
          <w:spacing w:val="10"/>
          <w:position w:val="12"/>
          <w:sz w:val="20"/>
          <w:szCs w:val="20"/>
        </w:rPr>
        <w:t>暖风机、空载运行的用能；</w:t>
      </w:r>
    </w:p>
    <w:p w14:paraId="22D04941">
      <w:pPr>
        <w:spacing w:before="1" w:line="219" w:lineRule="auto"/>
        <w:ind w:left="560"/>
        <w:rPr>
          <w:rFonts w:ascii="宋体" w:hAnsi="宋体" w:eastAsia="宋体" w:cs="宋体"/>
          <w:sz w:val="20"/>
          <w:szCs w:val="20"/>
        </w:rPr>
      </w:pPr>
      <w:r>
        <w:rPr>
          <w:rFonts w:ascii="宋体" w:hAnsi="宋体" w:eastAsia="宋体" w:cs="宋体"/>
          <w:spacing w:val="10"/>
          <w:sz w:val="20"/>
          <w:szCs w:val="20"/>
        </w:rPr>
        <w:t>(2)新设备在未移交生产前的带负荷试运行期间的用能；</w:t>
      </w:r>
    </w:p>
    <w:p w14:paraId="2E7EE13F">
      <w:pPr>
        <w:spacing w:line="219" w:lineRule="auto"/>
        <w:rPr>
          <w:rFonts w:ascii="宋体" w:hAnsi="宋体" w:eastAsia="宋体" w:cs="宋体"/>
          <w:sz w:val="20"/>
          <w:szCs w:val="20"/>
        </w:rPr>
        <w:sectPr>
          <w:headerReference r:id="rId52" w:type="default"/>
          <w:pgSz w:w="11910" w:h="16840"/>
          <w:pgMar w:top="1057" w:right="1210" w:bottom="400" w:left="1229" w:header="848" w:footer="0" w:gutter="0"/>
          <w:cols w:space="720" w:num="1"/>
        </w:sectPr>
      </w:pPr>
    </w:p>
    <w:p w14:paraId="3A86E61B">
      <w:pPr>
        <w:pStyle w:val="2"/>
        <w:spacing w:line="349" w:lineRule="auto"/>
      </w:pPr>
      <w:r>
        <w:pict>
          <v:shape id="_x0000_s1036" o:spid="_x0000_s1036" o:spt="202" type="#_x0000_t202" style="position:absolute;left:0pt;margin-left:59.75pt;margin-top:42.35pt;height:14.1pt;width:22.4pt;mso-position-horizontal-relative:page;mso-position-vertical-relative:page;z-index:251746304;mso-width-relative:page;mso-height-relative:page;" filled="f" stroked="f" coordsize="21600,21600" o:allowincell="f">
            <v:path/>
            <v:fill on="f" focussize="0,0"/>
            <v:stroke on="f"/>
            <v:imagedata o:title=""/>
            <o:lock v:ext="edit" aspectratio="f"/>
            <v:textbox inset="0mm,0mm,0mm,0mm">
              <w:txbxContent>
                <w:p w14:paraId="5E6A02A2">
                  <w:pPr>
                    <w:pStyle w:val="2"/>
                    <w:tabs>
                      <w:tab w:val="left" w:pos="427"/>
                    </w:tabs>
                    <w:spacing w:before="20" w:line="241" w:lineRule="exact"/>
                    <w:ind w:left="20"/>
                  </w:pPr>
                  <w:r>
                    <w:rPr>
                      <w:u w:val="single" w:color="auto"/>
                    </w:rPr>
                    <w:tab/>
                  </w:r>
                </w:p>
              </w:txbxContent>
            </v:textbox>
          </v:shape>
        </w:pict>
      </w:r>
    </w:p>
    <w:p w14:paraId="53C586E1">
      <w:pPr>
        <w:spacing w:before="69" w:line="359" w:lineRule="exact"/>
        <w:ind w:left="564"/>
        <w:rPr>
          <w:rFonts w:ascii="宋体" w:hAnsi="宋体" w:eastAsia="宋体" w:cs="宋体"/>
          <w:sz w:val="21"/>
          <w:szCs w:val="21"/>
        </w:rPr>
      </w:pPr>
      <w:r>
        <w:rPr>
          <w:rFonts w:ascii="宋体" w:hAnsi="宋体" w:eastAsia="宋体" w:cs="宋体"/>
          <w:spacing w:val="1"/>
          <w:position w:val="11"/>
          <w:sz w:val="21"/>
          <w:szCs w:val="21"/>
        </w:rPr>
        <w:t>(3)计划大修以及基建、更改工程施工的用能；</w:t>
      </w:r>
    </w:p>
    <w:p w14:paraId="01CE5BF1">
      <w:pPr>
        <w:spacing w:line="218" w:lineRule="auto"/>
        <w:ind w:left="564"/>
        <w:rPr>
          <w:rFonts w:ascii="宋体" w:hAnsi="宋体" w:eastAsia="宋体" w:cs="宋体"/>
          <w:sz w:val="21"/>
          <w:szCs w:val="21"/>
        </w:rPr>
      </w:pPr>
      <w:r>
        <w:rPr>
          <w:rFonts w:ascii="宋体" w:hAnsi="宋体" w:eastAsia="宋体" w:cs="宋体"/>
          <w:spacing w:val="1"/>
          <w:sz w:val="21"/>
          <w:szCs w:val="21"/>
        </w:rPr>
        <w:t>(4)发电机作调相运行时耗用的用能；</w:t>
      </w:r>
    </w:p>
    <w:p w14:paraId="7788ECA0">
      <w:pPr>
        <w:spacing w:before="120" w:line="219" w:lineRule="auto"/>
        <w:ind w:left="564"/>
        <w:rPr>
          <w:rFonts w:ascii="宋体" w:hAnsi="宋体" w:eastAsia="宋体" w:cs="宋体"/>
          <w:sz w:val="21"/>
          <w:szCs w:val="21"/>
        </w:rPr>
      </w:pPr>
      <w:r>
        <w:rPr>
          <w:rFonts w:ascii="宋体" w:hAnsi="宋体" w:eastAsia="宋体" w:cs="宋体"/>
          <w:spacing w:val="2"/>
          <w:sz w:val="21"/>
          <w:szCs w:val="21"/>
        </w:rPr>
        <w:t>(5)自备机车、船舶等耗用的用能；</w:t>
      </w:r>
    </w:p>
    <w:p w14:paraId="2E031CFB">
      <w:pPr>
        <w:spacing w:before="101" w:line="219" w:lineRule="auto"/>
        <w:ind w:left="564"/>
        <w:rPr>
          <w:rFonts w:ascii="宋体" w:hAnsi="宋体" w:eastAsia="宋体" w:cs="宋体"/>
          <w:sz w:val="21"/>
          <w:szCs w:val="21"/>
        </w:rPr>
      </w:pPr>
      <w:r>
        <w:rPr>
          <w:rFonts w:ascii="宋体" w:hAnsi="宋体" w:eastAsia="宋体" w:cs="宋体"/>
          <w:spacing w:val="7"/>
          <w:sz w:val="21"/>
          <w:szCs w:val="21"/>
        </w:rPr>
        <w:t>(6)升、降压变压器(不包括厂用电变压器)、变波机、调相机等消耗的用能；</w:t>
      </w:r>
    </w:p>
    <w:p w14:paraId="3D9D91E8">
      <w:pPr>
        <w:spacing w:before="91" w:line="380" w:lineRule="exact"/>
        <w:ind w:left="564"/>
        <w:rPr>
          <w:rFonts w:ascii="宋体" w:hAnsi="宋体" w:eastAsia="宋体" w:cs="宋体"/>
          <w:sz w:val="21"/>
          <w:szCs w:val="21"/>
        </w:rPr>
      </w:pPr>
      <w:r>
        <w:rPr>
          <w:rFonts w:ascii="宋体" w:hAnsi="宋体" w:eastAsia="宋体" w:cs="宋体"/>
          <w:spacing w:val="6"/>
          <w:position w:val="12"/>
          <w:sz w:val="21"/>
          <w:szCs w:val="21"/>
        </w:rPr>
        <w:t>(7)修配车间、车库、副业、综合利用、集体企业、外供及非生产用(食堂、</w:t>
      </w:r>
      <w:r>
        <w:rPr>
          <w:rFonts w:ascii="宋体" w:hAnsi="宋体" w:eastAsia="宋体" w:cs="宋体"/>
          <w:spacing w:val="5"/>
          <w:position w:val="12"/>
          <w:sz w:val="21"/>
          <w:szCs w:val="21"/>
        </w:rPr>
        <w:t>宿舍、幼儿园、学</w:t>
      </w:r>
    </w:p>
    <w:p w14:paraId="358D4CAC">
      <w:pPr>
        <w:spacing w:before="1" w:line="219" w:lineRule="auto"/>
        <w:ind w:left="4"/>
        <w:rPr>
          <w:rFonts w:ascii="宋体" w:hAnsi="宋体" w:eastAsia="宋体" w:cs="宋体"/>
          <w:sz w:val="21"/>
          <w:szCs w:val="21"/>
        </w:rPr>
      </w:pPr>
      <w:r>
        <w:rPr>
          <w:rFonts w:ascii="宋体" w:hAnsi="宋体" w:eastAsia="宋体" w:cs="宋体"/>
          <w:spacing w:val="3"/>
          <w:sz w:val="21"/>
          <w:szCs w:val="21"/>
        </w:rPr>
        <w:t>校、医院、服务公司和办公室等)的燃料。</w:t>
      </w:r>
    </w:p>
    <w:p w14:paraId="388039B1">
      <w:pPr>
        <w:spacing w:before="89" w:line="219" w:lineRule="auto"/>
        <w:ind w:left="464"/>
        <w:rPr>
          <w:rFonts w:ascii="宋体" w:hAnsi="宋体" w:eastAsia="宋体" w:cs="宋体"/>
          <w:sz w:val="21"/>
          <w:szCs w:val="21"/>
        </w:rPr>
      </w:pPr>
      <w:r>
        <w:rPr>
          <w:rFonts w:ascii="宋体" w:hAnsi="宋体" w:eastAsia="宋体" w:cs="宋体"/>
          <w:spacing w:val="-2"/>
          <w:sz w:val="21"/>
          <w:szCs w:val="21"/>
        </w:rPr>
        <w:t>发电企业对外供热，其“发电耗用标准煤量”计算</w:t>
      </w:r>
      <w:r>
        <w:rPr>
          <w:rFonts w:ascii="宋体" w:hAnsi="宋体" w:eastAsia="宋体" w:cs="宋体"/>
          <w:spacing w:val="-3"/>
          <w:sz w:val="21"/>
          <w:szCs w:val="21"/>
        </w:rPr>
        <w:t>方法如下：</w:t>
      </w:r>
    </w:p>
    <w:p w14:paraId="0A7C2E80">
      <w:pPr>
        <w:spacing w:before="121" w:line="219" w:lineRule="auto"/>
        <w:ind w:left="464"/>
        <w:rPr>
          <w:rFonts w:ascii="宋体" w:hAnsi="宋体" w:eastAsia="宋体" w:cs="宋体"/>
          <w:sz w:val="21"/>
          <w:szCs w:val="21"/>
        </w:rPr>
      </w:pPr>
      <w:r>
        <w:rPr>
          <w:rFonts w:ascii="宋体" w:hAnsi="宋体" w:eastAsia="宋体" w:cs="宋体"/>
          <w:spacing w:val="3"/>
          <w:sz w:val="21"/>
          <w:szCs w:val="21"/>
        </w:rPr>
        <w:t>发电耗用标准煤量=发电、供热耗用标准煤量一供热耗</w:t>
      </w:r>
      <w:r>
        <w:rPr>
          <w:rFonts w:ascii="宋体" w:hAnsi="宋体" w:eastAsia="宋体" w:cs="宋体"/>
          <w:spacing w:val="2"/>
          <w:sz w:val="21"/>
          <w:szCs w:val="21"/>
        </w:rPr>
        <w:t>用标准煤量</w:t>
      </w:r>
    </w:p>
    <w:p w14:paraId="517A0065">
      <w:pPr>
        <w:spacing w:before="120" w:line="268" w:lineRule="auto"/>
        <w:ind w:left="563" w:right="1345" w:hanging="99"/>
        <w:rPr>
          <w:rFonts w:ascii="宋体" w:hAnsi="宋体" w:eastAsia="宋体" w:cs="宋体"/>
          <w:sz w:val="21"/>
          <w:szCs w:val="21"/>
        </w:rPr>
      </w:pPr>
      <w:r>
        <w:rPr>
          <w:rFonts w:ascii="宋体" w:hAnsi="宋体" w:eastAsia="宋体" w:cs="宋体"/>
          <w:spacing w:val="-2"/>
          <w:sz w:val="21"/>
          <w:szCs w:val="21"/>
        </w:rPr>
        <w:t>式中“供热耗用标准煤量”的计算，根据不同的供热方式，分别采用如下计算方法：</w:t>
      </w:r>
      <w:r>
        <w:rPr>
          <w:rFonts w:ascii="宋体" w:hAnsi="宋体" w:eastAsia="宋体" w:cs="宋体"/>
          <w:spacing w:val="12"/>
          <w:sz w:val="21"/>
          <w:szCs w:val="21"/>
        </w:rPr>
        <w:t xml:space="preserve"> </w:t>
      </w:r>
      <w:r>
        <w:rPr>
          <w:rFonts w:ascii="宋体" w:hAnsi="宋体" w:eastAsia="宋体" w:cs="宋体"/>
          <w:spacing w:val="2"/>
          <w:sz w:val="21"/>
          <w:szCs w:val="21"/>
        </w:rPr>
        <w:t>(1)由供热式汽轮机组供热：</w:t>
      </w:r>
    </w:p>
    <w:p w14:paraId="763582A2">
      <w:pPr>
        <w:spacing w:before="92" w:line="381" w:lineRule="exact"/>
        <w:ind w:left="464"/>
        <w:rPr>
          <w:rFonts w:ascii="宋体" w:hAnsi="宋体" w:eastAsia="宋体" w:cs="宋体"/>
          <w:sz w:val="21"/>
          <w:szCs w:val="21"/>
        </w:rPr>
      </w:pPr>
      <w:r>
        <w:rPr>
          <w:rFonts w:ascii="宋体" w:hAnsi="宋体" w:eastAsia="宋体" w:cs="宋体"/>
          <w:spacing w:val="10"/>
          <w:position w:val="12"/>
          <w:sz w:val="21"/>
          <w:szCs w:val="21"/>
        </w:rPr>
        <w:t>供热耗用标准煤量(吨)=发电、供热耗用标准煤量×[供热量(百万千焦)/发电、供热总耗热量</w:t>
      </w:r>
    </w:p>
    <w:p w14:paraId="5DBBA8FC">
      <w:pPr>
        <w:spacing w:line="220" w:lineRule="auto"/>
        <w:ind w:left="2974"/>
        <w:rPr>
          <w:rFonts w:ascii="宋体" w:hAnsi="宋体" w:eastAsia="宋体" w:cs="宋体"/>
          <w:sz w:val="21"/>
          <w:szCs w:val="21"/>
        </w:rPr>
      </w:pPr>
      <w:r>
        <w:rPr>
          <w:rFonts w:ascii="宋体" w:hAnsi="宋体" w:eastAsia="宋体" w:cs="宋体"/>
          <w:spacing w:val="15"/>
          <w:sz w:val="21"/>
          <w:szCs w:val="21"/>
        </w:rPr>
        <w:t>(百万千焦)]</w:t>
      </w:r>
    </w:p>
    <w:p w14:paraId="2CA85633">
      <w:pPr>
        <w:spacing w:before="108" w:line="219" w:lineRule="auto"/>
        <w:ind w:left="564"/>
        <w:rPr>
          <w:rFonts w:ascii="宋体" w:hAnsi="宋体" w:eastAsia="宋体" w:cs="宋体"/>
          <w:sz w:val="21"/>
          <w:szCs w:val="21"/>
        </w:rPr>
      </w:pPr>
      <w:r>
        <w:rPr>
          <w:rFonts w:ascii="宋体" w:hAnsi="宋体" w:eastAsia="宋体" w:cs="宋体"/>
          <w:spacing w:val="2"/>
          <w:sz w:val="21"/>
          <w:szCs w:val="21"/>
        </w:rPr>
        <w:t>(2)由锅炉直接供热：</w:t>
      </w:r>
    </w:p>
    <w:p w14:paraId="0296FA56">
      <w:pPr>
        <w:spacing w:before="111" w:line="219" w:lineRule="auto"/>
        <w:ind w:left="464"/>
        <w:rPr>
          <w:rFonts w:ascii="宋体" w:hAnsi="宋体" w:eastAsia="宋体" w:cs="宋体"/>
          <w:sz w:val="21"/>
          <w:szCs w:val="21"/>
        </w:rPr>
      </w:pPr>
      <w:r>
        <w:rPr>
          <w:rFonts w:ascii="宋体" w:hAnsi="宋体" w:eastAsia="宋体" w:cs="宋体"/>
          <w:spacing w:val="14"/>
          <w:sz w:val="21"/>
          <w:szCs w:val="21"/>
        </w:rPr>
        <w:t>供热耗用标准煤量(吨)=锅炉供热量折标准煤量(吨)/锅炉热效率</w:t>
      </w:r>
    </w:p>
    <w:p w14:paraId="2D991C1C">
      <w:pPr>
        <w:spacing w:before="110" w:line="218" w:lineRule="auto"/>
        <w:ind w:left="464"/>
        <w:rPr>
          <w:rFonts w:ascii="宋体" w:hAnsi="宋体" w:eastAsia="宋体" w:cs="宋体"/>
          <w:sz w:val="21"/>
          <w:szCs w:val="21"/>
        </w:rPr>
      </w:pPr>
      <w:r>
        <w:rPr>
          <w:rFonts w:ascii="宋体" w:hAnsi="宋体" w:eastAsia="宋体" w:cs="宋体"/>
          <w:spacing w:val="-1"/>
          <w:sz w:val="21"/>
          <w:szCs w:val="21"/>
        </w:rPr>
        <w:t>分母项：火力发电量。指报告期内火力发电厂生产的电量，扣除试运行期</w:t>
      </w:r>
      <w:r>
        <w:rPr>
          <w:rFonts w:ascii="宋体" w:hAnsi="宋体" w:eastAsia="宋体" w:cs="宋体"/>
          <w:spacing w:val="-2"/>
          <w:sz w:val="21"/>
          <w:szCs w:val="21"/>
        </w:rPr>
        <w:t>间的电量。</w:t>
      </w:r>
    </w:p>
    <w:p w14:paraId="50F19B6A">
      <w:pPr>
        <w:spacing w:before="120" w:line="222" w:lineRule="auto"/>
        <w:ind w:left="467"/>
        <w:rPr>
          <w:rFonts w:ascii="黑体" w:hAnsi="黑体" w:eastAsia="黑体" w:cs="黑体"/>
          <w:sz w:val="21"/>
          <w:szCs w:val="21"/>
        </w:rPr>
      </w:pPr>
      <w:r>
        <w:rPr>
          <w:rFonts w:ascii="黑体" w:hAnsi="黑体" w:eastAsia="黑体" w:cs="黑体"/>
          <w:b/>
          <w:bCs/>
          <w:spacing w:val="-8"/>
          <w:sz w:val="21"/>
          <w:szCs w:val="21"/>
        </w:rPr>
        <w:t>电厂火力供电标准煤耗</w:t>
      </w:r>
    </w:p>
    <w:p w14:paraId="306AEB31">
      <w:pPr>
        <w:spacing w:before="81" w:line="390" w:lineRule="exact"/>
        <w:ind w:left="464"/>
        <w:rPr>
          <w:rFonts w:ascii="宋体" w:hAnsi="宋体" w:eastAsia="宋体" w:cs="宋体"/>
          <w:sz w:val="21"/>
          <w:szCs w:val="21"/>
        </w:rPr>
      </w:pPr>
      <w:r>
        <w:rPr>
          <w:rFonts w:ascii="宋体" w:hAnsi="宋体" w:eastAsia="宋体" w:cs="宋体"/>
          <w:spacing w:val="7"/>
          <w:position w:val="13"/>
          <w:sz w:val="21"/>
          <w:szCs w:val="21"/>
        </w:rPr>
        <w:t>计算公式：电厂火力供电标准煤耗(克标准煤/千瓦时)=100×发电耗用标准煤量(吨标准煤)/电</w:t>
      </w:r>
    </w:p>
    <w:p w14:paraId="15B44929">
      <w:pPr>
        <w:spacing w:line="218" w:lineRule="auto"/>
        <w:ind w:left="5814"/>
        <w:rPr>
          <w:rFonts w:ascii="宋体" w:hAnsi="宋体" w:eastAsia="宋体" w:cs="宋体"/>
          <w:sz w:val="21"/>
          <w:szCs w:val="21"/>
        </w:rPr>
      </w:pPr>
      <w:r>
        <w:rPr>
          <w:rFonts w:ascii="宋体" w:hAnsi="宋体" w:eastAsia="宋体" w:cs="宋体"/>
          <w:spacing w:val="12"/>
          <w:sz w:val="21"/>
          <w:szCs w:val="21"/>
        </w:rPr>
        <w:t>厂供电量(万千瓦时)</w:t>
      </w:r>
    </w:p>
    <w:p w14:paraId="5EA7BE11">
      <w:pPr>
        <w:spacing w:before="113" w:line="219" w:lineRule="auto"/>
        <w:ind w:left="464"/>
        <w:rPr>
          <w:rFonts w:ascii="宋体" w:hAnsi="宋体" w:eastAsia="宋体" w:cs="宋体"/>
          <w:sz w:val="21"/>
          <w:szCs w:val="21"/>
        </w:rPr>
      </w:pPr>
      <w:r>
        <w:rPr>
          <w:rFonts w:ascii="宋体" w:hAnsi="宋体" w:eastAsia="宋体" w:cs="宋体"/>
          <w:spacing w:val="-4"/>
          <w:sz w:val="21"/>
          <w:szCs w:val="21"/>
        </w:rPr>
        <w:t>分子项：发电耗用标准煤量。说明同上。</w:t>
      </w:r>
    </w:p>
    <w:p w14:paraId="6F7EE32C">
      <w:pPr>
        <w:spacing w:before="100" w:line="292" w:lineRule="auto"/>
        <w:ind w:left="4" w:right="95" w:firstLine="460"/>
        <w:rPr>
          <w:rFonts w:ascii="宋体" w:hAnsi="宋体" w:eastAsia="宋体" w:cs="宋体"/>
          <w:sz w:val="21"/>
          <w:szCs w:val="21"/>
        </w:rPr>
      </w:pPr>
      <w:r>
        <w:rPr>
          <w:rFonts w:ascii="宋体" w:hAnsi="宋体" w:eastAsia="宋体" w:cs="宋体"/>
          <w:spacing w:val="-2"/>
          <w:sz w:val="21"/>
          <w:szCs w:val="21"/>
        </w:rPr>
        <w:t>分母项：电厂供电量。即电厂火力发电量减去厂用电量。厂用电量包括电厂动力、照明、通风、取</w:t>
      </w:r>
      <w:r>
        <w:rPr>
          <w:rFonts w:ascii="宋体" w:hAnsi="宋体" w:eastAsia="宋体" w:cs="宋体"/>
          <w:spacing w:val="14"/>
          <w:sz w:val="21"/>
          <w:szCs w:val="21"/>
        </w:rPr>
        <w:t xml:space="preserve"> </w:t>
      </w:r>
      <w:r>
        <w:rPr>
          <w:rFonts w:ascii="宋体" w:hAnsi="宋体" w:eastAsia="宋体" w:cs="宋体"/>
          <w:spacing w:val="-1"/>
          <w:sz w:val="21"/>
          <w:szCs w:val="21"/>
        </w:rPr>
        <w:t>暖及经常维修等用电量，以及其他励磁用电量、设备属于电厂</w:t>
      </w:r>
      <w:r>
        <w:rPr>
          <w:rFonts w:ascii="宋体" w:hAnsi="宋体" w:eastAsia="宋体" w:cs="宋体"/>
          <w:spacing w:val="-2"/>
          <w:sz w:val="21"/>
          <w:szCs w:val="21"/>
        </w:rPr>
        <w:t>资产并由电厂负责其运行和检修的厂外输</w:t>
      </w:r>
      <w:r>
        <w:rPr>
          <w:rFonts w:ascii="宋体" w:hAnsi="宋体" w:eastAsia="宋体" w:cs="宋体"/>
          <w:sz w:val="21"/>
          <w:szCs w:val="21"/>
        </w:rPr>
        <w:t xml:space="preserve"> </w:t>
      </w:r>
      <w:r>
        <w:rPr>
          <w:rFonts w:ascii="宋体" w:hAnsi="宋体" w:eastAsia="宋体" w:cs="宋体"/>
          <w:spacing w:val="-1"/>
          <w:sz w:val="21"/>
          <w:szCs w:val="21"/>
        </w:rPr>
        <w:t>油管道系统、循环管道系统和除灰管道系统等用电量。厂用电量既包括本厂生产的电力供本厂生产耗用</w:t>
      </w:r>
      <w:r>
        <w:rPr>
          <w:rFonts w:ascii="宋体" w:hAnsi="宋体" w:eastAsia="宋体" w:cs="宋体"/>
          <w:sz w:val="21"/>
          <w:szCs w:val="21"/>
        </w:rPr>
        <w:t xml:space="preserve"> </w:t>
      </w:r>
      <w:r>
        <w:rPr>
          <w:rFonts w:ascii="宋体" w:hAnsi="宋体" w:eastAsia="宋体" w:cs="宋体"/>
          <w:spacing w:val="-3"/>
          <w:sz w:val="21"/>
          <w:szCs w:val="21"/>
        </w:rPr>
        <w:t>的电量，也包括购电量中供本厂使用的电量。</w:t>
      </w:r>
    </w:p>
    <w:p w14:paraId="728B9002">
      <w:pPr>
        <w:spacing w:before="123" w:line="220" w:lineRule="auto"/>
        <w:ind w:left="464"/>
        <w:rPr>
          <w:rFonts w:ascii="宋体" w:hAnsi="宋体" w:eastAsia="宋体" w:cs="宋体"/>
          <w:sz w:val="21"/>
          <w:szCs w:val="21"/>
        </w:rPr>
      </w:pPr>
      <w:r>
        <w:rPr>
          <w:rFonts w:ascii="宋体" w:hAnsi="宋体" w:eastAsia="宋体" w:cs="宋体"/>
          <w:spacing w:val="-10"/>
          <w:sz w:val="21"/>
          <w:szCs w:val="21"/>
        </w:rPr>
        <w:t>厂用电量不包括：</w:t>
      </w:r>
    </w:p>
    <w:p w14:paraId="2B66658F">
      <w:pPr>
        <w:spacing w:before="97" w:line="219" w:lineRule="auto"/>
        <w:ind w:left="564"/>
        <w:rPr>
          <w:rFonts w:ascii="宋体" w:hAnsi="宋体" w:eastAsia="宋体" w:cs="宋体"/>
          <w:sz w:val="21"/>
          <w:szCs w:val="21"/>
        </w:rPr>
      </w:pPr>
      <w:r>
        <w:rPr>
          <w:rFonts w:ascii="宋体" w:hAnsi="宋体" w:eastAsia="宋体" w:cs="宋体"/>
          <w:spacing w:val="1"/>
          <w:sz w:val="21"/>
          <w:szCs w:val="21"/>
        </w:rPr>
        <w:t>(1)新设备或大修后设备的烘炉、煮炉、暖风机、空载运行的用电；</w:t>
      </w:r>
    </w:p>
    <w:p w14:paraId="70B466AD">
      <w:pPr>
        <w:spacing w:before="122" w:line="350" w:lineRule="exact"/>
        <w:ind w:left="564"/>
        <w:rPr>
          <w:rFonts w:ascii="宋体" w:hAnsi="宋体" w:eastAsia="宋体" w:cs="宋体"/>
          <w:sz w:val="21"/>
          <w:szCs w:val="21"/>
        </w:rPr>
      </w:pPr>
      <w:r>
        <w:rPr>
          <w:rFonts w:ascii="宋体" w:hAnsi="宋体" w:eastAsia="宋体" w:cs="宋体"/>
          <w:spacing w:val="1"/>
          <w:position w:val="10"/>
          <w:sz w:val="21"/>
          <w:szCs w:val="21"/>
        </w:rPr>
        <w:t>(2)新设备在未移交生产前的带负荷试运行期间的用电；</w:t>
      </w:r>
    </w:p>
    <w:p w14:paraId="59FA6141">
      <w:pPr>
        <w:spacing w:before="1" w:line="219" w:lineRule="auto"/>
        <w:ind w:left="564"/>
        <w:rPr>
          <w:rFonts w:ascii="宋体" w:hAnsi="宋体" w:eastAsia="宋体" w:cs="宋体"/>
          <w:sz w:val="21"/>
          <w:szCs w:val="21"/>
        </w:rPr>
      </w:pPr>
      <w:r>
        <w:rPr>
          <w:rFonts w:ascii="宋体" w:hAnsi="宋体" w:eastAsia="宋体" w:cs="宋体"/>
          <w:spacing w:val="1"/>
          <w:sz w:val="21"/>
          <w:szCs w:val="21"/>
        </w:rPr>
        <w:t>(3)计划大修以及基建、更改工程施工用电；</w:t>
      </w:r>
    </w:p>
    <w:p w14:paraId="788B62A7">
      <w:pPr>
        <w:spacing w:before="120" w:line="360" w:lineRule="exact"/>
        <w:ind w:left="564"/>
        <w:rPr>
          <w:rFonts w:ascii="宋体" w:hAnsi="宋体" w:eastAsia="宋体" w:cs="宋体"/>
          <w:sz w:val="21"/>
          <w:szCs w:val="21"/>
        </w:rPr>
      </w:pPr>
      <w:r>
        <w:rPr>
          <w:rFonts w:ascii="宋体" w:hAnsi="宋体" w:eastAsia="宋体" w:cs="宋体"/>
          <w:spacing w:val="1"/>
          <w:position w:val="11"/>
          <w:sz w:val="21"/>
          <w:szCs w:val="21"/>
        </w:rPr>
        <w:t>(4)发电机作调相运行时的用电；</w:t>
      </w:r>
    </w:p>
    <w:p w14:paraId="68213D4A">
      <w:pPr>
        <w:spacing w:line="218" w:lineRule="auto"/>
        <w:ind w:left="564"/>
        <w:rPr>
          <w:rFonts w:ascii="宋体" w:hAnsi="宋体" w:eastAsia="宋体" w:cs="宋体"/>
          <w:sz w:val="21"/>
          <w:szCs w:val="21"/>
        </w:rPr>
      </w:pPr>
      <w:r>
        <w:rPr>
          <w:rFonts w:ascii="宋体" w:hAnsi="宋体" w:eastAsia="宋体" w:cs="宋体"/>
          <w:spacing w:val="2"/>
          <w:sz w:val="21"/>
          <w:szCs w:val="21"/>
        </w:rPr>
        <w:t>(5)自备机车、船舶等的用电；</w:t>
      </w:r>
    </w:p>
    <w:p w14:paraId="2BF6E941">
      <w:pPr>
        <w:spacing w:before="101" w:line="219" w:lineRule="auto"/>
        <w:ind w:left="564"/>
        <w:rPr>
          <w:rFonts w:ascii="宋体" w:hAnsi="宋体" w:eastAsia="宋体" w:cs="宋体"/>
          <w:sz w:val="21"/>
          <w:szCs w:val="21"/>
        </w:rPr>
      </w:pPr>
      <w:r>
        <w:rPr>
          <w:rFonts w:ascii="宋体" w:hAnsi="宋体" w:eastAsia="宋体" w:cs="宋体"/>
          <w:spacing w:val="7"/>
          <w:sz w:val="21"/>
          <w:szCs w:val="21"/>
        </w:rPr>
        <w:t>(6)升、降压变压器(不包括厂用电变压器)、变波机、调相机等的用电；</w:t>
      </w:r>
    </w:p>
    <w:p w14:paraId="5BA70966">
      <w:pPr>
        <w:spacing w:before="111" w:line="371" w:lineRule="exact"/>
        <w:jc w:val="right"/>
        <w:rPr>
          <w:rFonts w:ascii="宋体" w:hAnsi="宋体" w:eastAsia="宋体" w:cs="宋体"/>
          <w:sz w:val="21"/>
          <w:szCs w:val="21"/>
        </w:rPr>
      </w:pPr>
      <w:r>
        <w:rPr>
          <w:rFonts w:ascii="宋体" w:hAnsi="宋体" w:eastAsia="宋体" w:cs="宋体"/>
          <w:spacing w:val="3"/>
          <w:position w:val="12"/>
          <w:sz w:val="21"/>
          <w:szCs w:val="21"/>
        </w:rPr>
        <w:t>(7)修配车间、车库、副业、综合利用、集体企业、外供及非生产(食堂、宿舍、幼儿园、学校、</w:t>
      </w:r>
    </w:p>
    <w:p w14:paraId="4547D534">
      <w:pPr>
        <w:spacing w:line="219" w:lineRule="auto"/>
        <w:ind w:left="4"/>
        <w:rPr>
          <w:rFonts w:ascii="宋体" w:hAnsi="宋体" w:eastAsia="宋体" w:cs="宋体"/>
          <w:sz w:val="21"/>
          <w:szCs w:val="21"/>
        </w:rPr>
      </w:pPr>
      <w:r>
        <w:rPr>
          <w:rFonts w:ascii="宋体" w:hAnsi="宋体" w:eastAsia="宋体" w:cs="宋体"/>
          <w:spacing w:val="2"/>
          <w:sz w:val="21"/>
          <w:szCs w:val="21"/>
        </w:rPr>
        <w:t>医院、服务公司和办公室等)的用电。</w:t>
      </w:r>
    </w:p>
    <w:p w14:paraId="72F7AC68">
      <w:pPr>
        <w:spacing w:before="106" w:line="221" w:lineRule="auto"/>
        <w:ind w:left="467"/>
        <w:rPr>
          <w:rFonts w:ascii="黑体" w:hAnsi="黑体" w:eastAsia="黑体" w:cs="黑体"/>
          <w:sz w:val="21"/>
          <w:szCs w:val="21"/>
        </w:rPr>
      </w:pPr>
      <w:r>
        <w:rPr>
          <w:rFonts w:ascii="黑体" w:hAnsi="黑体" w:eastAsia="黑体" w:cs="黑体"/>
          <w:b/>
          <w:bCs/>
          <w:spacing w:val="-9"/>
          <w:sz w:val="21"/>
          <w:szCs w:val="21"/>
        </w:rPr>
        <w:t>发电厂用电率</w:t>
      </w:r>
    </w:p>
    <w:p w14:paraId="07BCE38E">
      <w:pPr>
        <w:spacing w:before="104" w:line="259" w:lineRule="auto"/>
        <w:ind w:left="464" w:right="889"/>
        <w:rPr>
          <w:rFonts w:ascii="宋体" w:hAnsi="宋体" w:eastAsia="宋体" w:cs="宋体"/>
          <w:sz w:val="21"/>
          <w:szCs w:val="21"/>
        </w:rPr>
      </w:pPr>
      <w:r>
        <w:rPr>
          <w:rFonts w:ascii="宋体" w:hAnsi="宋体" w:eastAsia="宋体" w:cs="宋体"/>
          <w:spacing w:val="17"/>
          <w:sz w:val="21"/>
          <w:szCs w:val="21"/>
        </w:rPr>
        <w:t>计算公式：发电厂用电率(%)=发电厂用电量(万千瓦时)/发电量(万千瓦时)</w:t>
      </w:r>
      <w:r>
        <w:rPr>
          <w:rFonts w:ascii="宋体" w:hAnsi="宋体" w:eastAsia="宋体" w:cs="宋体"/>
          <w:spacing w:val="16"/>
          <w:sz w:val="21"/>
          <w:szCs w:val="21"/>
        </w:rPr>
        <w:t>×100%</w:t>
      </w:r>
      <w:r>
        <w:rPr>
          <w:rFonts w:ascii="宋体" w:hAnsi="宋体" w:eastAsia="宋体" w:cs="宋体"/>
          <w:sz w:val="21"/>
          <w:szCs w:val="21"/>
        </w:rPr>
        <w:t xml:space="preserve"> </w:t>
      </w:r>
      <w:r>
        <w:rPr>
          <w:rFonts w:ascii="宋体" w:hAnsi="宋体" w:eastAsia="宋体" w:cs="宋体"/>
          <w:spacing w:val="-3"/>
          <w:sz w:val="21"/>
          <w:szCs w:val="21"/>
        </w:rPr>
        <w:t>发电量、发电厂用电量说明同上。</w:t>
      </w:r>
    </w:p>
    <w:p w14:paraId="152FB437">
      <w:pPr>
        <w:spacing w:line="259" w:lineRule="auto"/>
        <w:rPr>
          <w:rFonts w:ascii="宋体" w:hAnsi="宋体" w:eastAsia="宋体" w:cs="宋体"/>
          <w:sz w:val="21"/>
          <w:szCs w:val="21"/>
        </w:rPr>
        <w:sectPr>
          <w:headerReference r:id="rId53" w:type="default"/>
          <w:pgSz w:w="11910" w:h="16840"/>
          <w:pgMar w:top="1058" w:right="1174" w:bottom="400" w:left="1215" w:header="848" w:footer="0" w:gutter="0"/>
          <w:cols w:space="720" w:num="1"/>
        </w:sectPr>
      </w:pPr>
    </w:p>
    <w:p w14:paraId="43A8ECBD">
      <w:pPr>
        <w:pStyle w:val="2"/>
        <w:spacing w:line="278" w:lineRule="auto"/>
      </w:pPr>
    </w:p>
    <w:p w14:paraId="2EF9DCC0">
      <w:pPr>
        <w:pStyle w:val="2"/>
        <w:spacing w:line="278" w:lineRule="auto"/>
      </w:pPr>
    </w:p>
    <w:p w14:paraId="47236002">
      <w:pPr>
        <w:spacing w:before="91" w:line="196" w:lineRule="auto"/>
        <w:ind w:left="2024"/>
        <w:rPr>
          <w:rFonts w:ascii="宋体" w:hAnsi="宋体" w:eastAsia="宋体" w:cs="宋体"/>
          <w:sz w:val="28"/>
          <w:szCs w:val="28"/>
        </w:rPr>
      </w:pPr>
      <w:r>
        <w:rPr>
          <w:rFonts w:ascii="宋体" w:hAnsi="宋体" w:eastAsia="宋体" w:cs="宋体"/>
          <w:b/>
          <w:bCs/>
          <w:spacing w:val="-1"/>
          <w:sz w:val="28"/>
          <w:szCs w:val="28"/>
        </w:rPr>
        <w:t>(三)能源生产、销售与库存目录(205-6表)</w:t>
      </w:r>
    </w:p>
    <w:tbl>
      <w:tblPr>
        <w:tblStyle w:val="5"/>
        <w:tblW w:w="9240" w:type="dxa"/>
        <w:tblInd w:w="9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50"/>
        <w:gridCol w:w="780"/>
        <w:gridCol w:w="1120"/>
        <w:gridCol w:w="2910"/>
        <w:gridCol w:w="940"/>
        <w:gridCol w:w="1340"/>
      </w:tblGrid>
      <w:tr w14:paraId="6EEE83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4" w:hRule="atLeast"/>
        </w:trPr>
        <w:tc>
          <w:tcPr>
            <w:tcW w:w="2150" w:type="dxa"/>
            <w:tcBorders>
              <w:left w:val="nil"/>
            </w:tcBorders>
            <w:vAlign w:val="top"/>
          </w:tcPr>
          <w:p w14:paraId="3D73E273">
            <w:pPr>
              <w:pStyle w:val="6"/>
              <w:spacing w:before="263" w:line="221" w:lineRule="auto"/>
              <w:ind w:left="729"/>
            </w:pPr>
            <w:r>
              <w:rPr>
                <w:spacing w:val="2"/>
              </w:rPr>
              <w:t>能源名称</w:t>
            </w:r>
          </w:p>
        </w:tc>
        <w:tc>
          <w:tcPr>
            <w:tcW w:w="780" w:type="dxa"/>
            <w:vAlign w:val="top"/>
          </w:tcPr>
          <w:p w14:paraId="320B045E">
            <w:pPr>
              <w:pStyle w:val="6"/>
              <w:spacing w:before="263" w:line="220" w:lineRule="auto"/>
              <w:ind w:left="25"/>
            </w:pPr>
            <w:r>
              <w:rPr>
                <w:spacing w:val="-2"/>
              </w:rPr>
              <w:t>计量单位</w:t>
            </w:r>
          </w:p>
        </w:tc>
        <w:tc>
          <w:tcPr>
            <w:tcW w:w="1120" w:type="dxa"/>
            <w:vAlign w:val="top"/>
          </w:tcPr>
          <w:p w14:paraId="5D14D428">
            <w:pPr>
              <w:pStyle w:val="6"/>
              <w:spacing w:before="262" w:line="219" w:lineRule="auto"/>
              <w:ind w:left="375"/>
            </w:pPr>
            <w:r>
              <w:rPr>
                <w:spacing w:val="-2"/>
              </w:rPr>
              <w:t>代码</w:t>
            </w:r>
          </w:p>
        </w:tc>
        <w:tc>
          <w:tcPr>
            <w:tcW w:w="2910" w:type="dxa"/>
            <w:vAlign w:val="top"/>
          </w:tcPr>
          <w:p w14:paraId="321F9D8C">
            <w:pPr>
              <w:pStyle w:val="6"/>
              <w:spacing w:before="263" w:line="221" w:lineRule="auto"/>
              <w:ind w:left="1105"/>
            </w:pPr>
            <w:r>
              <w:rPr>
                <w:spacing w:val="2"/>
              </w:rPr>
              <w:t>能源名称</w:t>
            </w:r>
          </w:p>
        </w:tc>
        <w:tc>
          <w:tcPr>
            <w:tcW w:w="940" w:type="dxa"/>
            <w:vAlign w:val="top"/>
          </w:tcPr>
          <w:p w14:paraId="7E59B800">
            <w:pPr>
              <w:pStyle w:val="6"/>
              <w:spacing w:before="263" w:line="220" w:lineRule="auto"/>
              <w:ind w:left="105"/>
            </w:pPr>
            <w:r>
              <w:rPr>
                <w:spacing w:val="-2"/>
              </w:rPr>
              <w:t>计量单位</w:t>
            </w:r>
          </w:p>
        </w:tc>
        <w:tc>
          <w:tcPr>
            <w:tcW w:w="1340" w:type="dxa"/>
            <w:tcBorders>
              <w:right w:val="nil"/>
            </w:tcBorders>
            <w:vAlign w:val="top"/>
          </w:tcPr>
          <w:p w14:paraId="65882D35">
            <w:pPr>
              <w:pStyle w:val="6"/>
              <w:spacing w:before="262" w:line="219" w:lineRule="auto"/>
              <w:ind w:left="484"/>
            </w:pPr>
            <w:r>
              <w:rPr>
                <w:spacing w:val="-2"/>
              </w:rPr>
              <w:t>代码</w:t>
            </w:r>
          </w:p>
        </w:tc>
      </w:tr>
      <w:tr w14:paraId="0A12F5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06" w:hRule="atLeast"/>
        </w:trPr>
        <w:tc>
          <w:tcPr>
            <w:tcW w:w="2150" w:type="dxa"/>
            <w:tcBorders>
              <w:left w:val="nil"/>
            </w:tcBorders>
            <w:vAlign w:val="top"/>
          </w:tcPr>
          <w:p w14:paraId="21309442">
            <w:pPr>
              <w:pStyle w:val="6"/>
              <w:spacing w:before="48" w:line="251" w:lineRule="exact"/>
              <w:ind w:left="20"/>
            </w:pPr>
            <w:r>
              <w:rPr>
                <w:spacing w:val="2"/>
                <w:position w:val="5"/>
              </w:rPr>
              <w:t>煤炭及煤炭制品</w:t>
            </w:r>
          </w:p>
          <w:p w14:paraId="583920A5">
            <w:pPr>
              <w:pStyle w:val="6"/>
              <w:spacing w:line="220" w:lineRule="auto"/>
              <w:ind w:left="179"/>
            </w:pPr>
            <w:r>
              <w:rPr>
                <w:spacing w:val="-3"/>
              </w:rPr>
              <w:t>原煤</w:t>
            </w:r>
          </w:p>
          <w:p w14:paraId="6F75B63D">
            <w:pPr>
              <w:pStyle w:val="6"/>
              <w:spacing w:before="25" w:line="220" w:lineRule="auto"/>
              <w:ind w:left="350"/>
            </w:pPr>
            <w:r>
              <w:rPr>
                <w:spacing w:val="-2"/>
              </w:rPr>
              <w:t>无烟煤</w:t>
            </w:r>
          </w:p>
          <w:p w14:paraId="34244ACB">
            <w:pPr>
              <w:pStyle w:val="6"/>
              <w:spacing w:before="55" w:line="240" w:lineRule="exact"/>
              <w:ind w:left="370"/>
            </w:pPr>
            <w:r>
              <w:rPr>
                <w:spacing w:val="-2"/>
                <w:position w:val="4"/>
              </w:rPr>
              <w:t>炼焦烟煤</w:t>
            </w:r>
          </w:p>
          <w:p w14:paraId="721D6108">
            <w:pPr>
              <w:pStyle w:val="6"/>
              <w:spacing w:line="220" w:lineRule="auto"/>
              <w:ind w:left="390"/>
            </w:pPr>
            <w:r>
              <w:rPr>
                <w:spacing w:val="-3"/>
              </w:rPr>
              <w:t>一般烟煤</w:t>
            </w:r>
          </w:p>
          <w:p w14:paraId="61BABA93">
            <w:pPr>
              <w:pStyle w:val="6"/>
              <w:spacing w:before="45" w:line="219" w:lineRule="auto"/>
              <w:ind w:left="370"/>
            </w:pPr>
            <w:r>
              <w:rPr>
                <w:spacing w:val="-2"/>
              </w:rPr>
              <w:t>褐煤</w:t>
            </w:r>
          </w:p>
          <w:p w14:paraId="09A87431">
            <w:pPr>
              <w:pStyle w:val="6"/>
              <w:spacing w:before="27" w:line="220" w:lineRule="auto"/>
              <w:ind w:left="179"/>
            </w:pPr>
            <w:r>
              <w:rPr>
                <w:spacing w:val="4"/>
              </w:rPr>
              <w:t>煤炭制品</w:t>
            </w:r>
          </w:p>
          <w:p w14:paraId="1D7B9E86">
            <w:pPr>
              <w:pStyle w:val="6"/>
              <w:spacing w:before="43" w:line="234" w:lineRule="auto"/>
              <w:ind w:left="380" w:right="295" w:hanging="10"/>
            </w:pPr>
            <w:r>
              <w:rPr>
                <w:spacing w:val="4"/>
              </w:rPr>
              <w:t>洗精煤(用于炼焦)</w:t>
            </w:r>
            <w:r>
              <w:rPr>
                <w:spacing w:val="2"/>
              </w:rPr>
              <w:t xml:space="preserve"> </w:t>
            </w:r>
            <w:r>
              <w:rPr>
                <w:spacing w:val="-2"/>
              </w:rPr>
              <w:t>其他洗煤</w:t>
            </w:r>
          </w:p>
          <w:p w14:paraId="41868C89">
            <w:pPr>
              <w:pStyle w:val="6"/>
              <w:spacing w:before="35" w:line="221" w:lineRule="auto"/>
              <w:ind w:left="350"/>
            </w:pPr>
            <w:r>
              <w:rPr>
                <w:spacing w:val="-2"/>
              </w:rPr>
              <w:t>焦炭</w:t>
            </w:r>
          </w:p>
          <w:p w14:paraId="604FDB1E">
            <w:pPr>
              <w:pStyle w:val="6"/>
              <w:spacing w:before="35" w:line="238" w:lineRule="auto"/>
              <w:ind w:left="360" w:right="316" w:firstLine="10"/>
            </w:pPr>
            <w:r>
              <w:rPr>
                <w:spacing w:val="2"/>
              </w:rPr>
              <w:t>型煤及其他煤制品</w:t>
            </w:r>
            <w:r>
              <w:rPr>
                <w:spacing w:val="1"/>
              </w:rPr>
              <w:t xml:space="preserve"> </w:t>
            </w:r>
            <w:r>
              <w:rPr>
                <w:spacing w:val="6"/>
              </w:rPr>
              <w:t>煤焦油</w:t>
            </w:r>
          </w:p>
          <w:p w14:paraId="1657A1B3">
            <w:pPr>
              <w:pStyle w:val="6"/>
              <w:spacing w:before="35" w:line="220" w:lineRule="auto"/>
              <w:ind w:left="370"/>
            </w:pPr>
            <w:r>
              <w:rPr>
                <w:spacing w:val="-2"/>
              </w:rPr>
              <w:t>煤气</w:t>
            </w:r>
          </w:p>
          <w:p w14:paraId="4955B07A">
            <w:pPr>
              <w:pStyle w:val="6"/>
              <w:spacing w:before="35" w:line="241" w:lineRule="auto"/>
              <w:ind w:left="1069" w:right="323" w:hanging="519"/>
            </w:pPr>
            <w:r>
              <w:rPr>
                <w:spacing w:val="-2"/>
              </w:rPr>
              <w:t>其中：焦炉煤气</w:t>
            </w:r>
            <w:r>
              <w:rPr>
                <w:spacing w:val="5"/>
              </w:rPr>
              <w:t xml:space="preserve"> </w:t>
            </w:r>
            <w:r>
              <w:rPr>
                <w:spacing w:val="7"/>
              </w:rPr>
              <w:t>高炉煤气</w:t>
            </w:r>
            <w:r>
              <w:rPr>
                <w:spacing w:val="2"/>
              </w:rPr>
              <w:t xml:space="preserve"> </w:t>
            </w:r>
            <w:r>
              <w:rPr>
                <w:spacing w:val="-2"/>
              </w:rPr>
              <w:t>转炉煤气</w:t>
            </w:r>
          </w:p>
          <w:p w14:paraId="6C16A63F">
            <w:pPr>
              <w:pStyle w:val="6"/>
              <w:spacing w:before="46" w:line="250" w:lineRule="exact"/>
              <w:ind w:left="370"/>
            </w:pPr>
            <w:r>
              <w:rPr>
                <w:spacing w:val="-2"/>
                <w:position w:val="5"/>
              </w:rPr>
              <w:t>煤制天然气</w:t>
            </w:r>
          </w:p>
          <w:p w14:paraId="135B0E66">
            <w:pPr>
              <w:pStyle w:val="6"/>
              <w:spacing w:line="220" w:lineRule="auto"/>
              <w:ind w:left="179"/>
            </w:pPr>
            <w:r>
              <w:rPr>
                <w:spacing w:val="6"/>
              </w:rPr>
              <w:t>煤制油</w:t>
            </w:r>
          </w:p>
          <w:p w14:paraId="1F8EABE7">
            <w:pPr>
              <w:pStyle w:val="6"/>
              <w:spacing w:before="35" w:line="220" w:lineRule="auto"/>
              <w:ind w:left="360"/>
            </w:pPr>
            <w:r>
              <w:rPr>
                <w:spacing w:val="3"/>
              </w:rPr>
              <w:t>煤制石脑油</w:t>
            </w:r>
          </w:p>
          <w:p w14:paraId="38C8B456">
            <w:pPr>
              <w:pStyle w:val="6"/>
              <w:spacing w:before="36" w:line="220" w:lineRule="auto"/>
              <w:ind w:left="360"/>
            </w:pPr>
            <w:r>
              <w:rPr>
                <w:spacing w:val="4"/>
              </w:rPr>
              <w:t>煤制汽油</w:t>
            </w:r>
          </w:p>
          <w:p w14:paraId="5461985C">
            <w:pPr>
              <w:pStyle w:val="6"/>
              <w:spacing w:before="25" w:line="220" w:lineRule="auto"/>
              <w:ind w:left="360"/>
            </w:pPr>
            <w:r>
              <w:rPr>
                <w:spacing w:val="4"/>
              </w:rPr>
              <w:t>煤制柴油</w:t>
            </w:r>
          </w:p>
          <w:p w14:paraId="2A4F28E5">
            <w:pPr>
              <w:pStyle w:val="6"/>
              <w:spacing w:before="36" w:line="260" w:lineRule="exact"/>
              <w:ind w:left="370"/>
            </w:pPr>
            <w:r>
              <w:rPr>
                <w:spacing w:val="-2"/>
                <w:position w:val="5"/>
              </w:rPr>
              <w:t>煤制航空燃料</w:t>
            </w:r>
          </w:p>
          <w:p w14:paraId="0BF94294">
            <w:pPr>
              <w:pStyle w:val="6"/>
              <w:spacing w:line="220" w:lineRule="auto"/>
              <w:ind w:left="360"/>
            </w:pPr>
            <w:r>
              <w:rPr>
                <w:spacing w:val="-2"/>
              </w:rPr>
              <w:t>煤制石蜡</w:t>
            </w:r>
          </w:p>
          <w:p w14:paraId="3F38F4E7">
            <w:pPr>
              <w:pStyle w:val="6"/>
              <w:spacing w:before="25" w:line="219" w:lineRule="auto"/>
              <w:ind w:left="370"/>
            </w:pPr>
            <w:r>
              <w:rPr>
                <w:spacing w:val="2"/>
              </w:rPr>
              <w:t>其他煤制油产品</w:t>
            </w:r>
          </w:p>
          <w:p w14:paraId="757AC17D">
            <w:pPr>
              <w:pStyle w:val="6"/>
              <w:spacing w:before="37" w:line="238" w:lineRule="auto"/>
              <w:ind w:left="189" w:right="116" w:hanging="159"/>
            </w:pPr>
            <w:r>
              <w:rPr>
                <w:spacing w:val="1"/>
              </w:rPr>
              <w:t>天然气及天然气加工制品</w:t>
            </w:r>
            <w:r>
              <w:rPr>
                <w:spacing w:val="6"/>
              </w:rPr>
              <w:t xml:space="preserve"> </w:t>
            </w:r>
            <w:r>
              <w:rPr>
                <w:spacing w:val="3"/>
              </w:rPr>
              <w:t>天然气</w:t>
            </w:r>
          </w:p>
          <w:p w14:paraId="5DF80C8D">
            <w:pPr>
              <w:pStyle w:val="6"/>
              <w:spacing w:before="26" w:line="220" w:lineRule="auto"/>
              <w:ind w:left="370"/>
            </w:pPr>
            <w:r>
              <w:rPr>
                <w:spacing w:val="2"/>
              </w:rPr>
              <w:t>常规天然气</w:t>
            </w:r>
          </w:p>
          <w:p w14:paraId="7AE2924D">
            <w:pPr>
              <w:pStyle w:val="6"/>
              <w:spacing w:before="35" w:line="220" w:lineRule="auto"/>
              <w:ind w:left="390"/>
            </w:pPr>
            <w:r>
              <w:rPr>
                <w:spacing w:val="1"/>
              </w:rPr>
              <w:t>非常规天然气</w:t>
            </w:r>
          </w:p>
          <w:p w14:paraId="33CC8B7D">
            <w:pPr>
              <w:pStyle w:val="6"/>
              <w:spacing w:before="35" w:line="261" w:lineRule="exact"/>
              <w:ind w:left="550"/>
            </w:pPr>
            <w:r>
              <w:rPr>
                <w:spacing w:val="-2"/>
                <w:position w:val="5"/>
              </w:rPr>
              <w:t>煤层气</w:t>
            </w:r>
          </w:p>
          <w:p w14:paraId="2356F1B9">
            <w:pPr>
              <w:pStyle w:val="6"/>
              <w:spacing w:line="220" w:lineRule="auto"/>
              <w:ind w:left="550"/>
            </w:pPr>
            <w:r>
              <w:rPr>
                <w:spacing w:val="3"/>
              </w:rPr>
              <w:t>页岩气</w:t>
            </w:r>
          </w:p>
          <w:p w14:paraId="76B3E339">
            <w:pPr>
              <w:pStyle w:val="6"/>
              <w:spacing w:before="35" w:line="240" w:lineRule="exact"/>
              <w:ind w:left="550"/>
            </w:pPr>
            <w:r>
              <w:rPr>
                <w:spacing w:val="-2"/>
                <w:position w:val="4"/>
              </w:rPr>
              <w:t>致密砂岩气</w:t>
            </w:r>
          </w:p>
          <w:p w14:paraId="2880B083">
            <w:pPr>
              <w:pStyle w:val="6"/>
              <w:spacing w:line="220" w:lineRule="auto"/>
              <w:ind w:left="189"/>
            </w:pPr>
            <w:r>
              <w:rPr>
                <w:spacing w:val="2"/>
              </w:rPr>
              <w:t>天然气加工制品</w:t>
            </w:r>
          </w:p>
          <w:p w14:paraId="3A66F95E">
            <w:pPr>
              <w:pStyle w:val="6"/>
              <w:spacing w:before="36" w:line="220" w:lineRule="auto"/>
              <w:ind w:left="370"/>
            </w:pPr>
            <w:r>
              <w:rPr>
                <w:spacing w:val="2"/>
              </w:rPr>
              <w:t>液化天然气</w:t>
            </w:r>
          </w:p>
          <w:p w14:paraId="49F240B7">
            <w:pPr>
              <w:pStyle w:val="6"/>
              <w:spacing w:before="35" w:line="254" w:lineRule="exact"/>
              <w:ind w:left="20"/>
            </w:pPr>
            <w:r>
              <w:rPr>
                <w:spacing w:val="2"/>
                <w:position w:val="5"/>
              </w:rPr>
              <w:t>石油及石油制品</w:t>
            </w:r>
          </w:p>
          <w:p w14:paraId="4A25F7CB">
            <w:pPr>
              <w:pStyle w:val="6"/>
              <w:spacing w:line="223" w:lineRule="auto"/>
              <w:ind w:left="179"/>
            </w:pPr>
            <w:r>
              <w:rPr>
                <w:spacing w:val="9"/>
              </w:rPr>
              <w:t>原油</w:t>
            </w:r>
          </w:p>
          <w:p w14:paraId="1134A5E2">
            <w:pPr>
              <w:pStyle w:val="6"/>
              <w:spacing w:before="29" w:line="253" w:lineRule="exact"/>
              <w:ind w:left="370"/>
            </w:pPr>
            <w:r>
              <w:rPr>
                <w:spacing w:val="3"/>
                <w:position w:val="5"/>
              </w:rPr>
              <w:t>其中：页岩油</w:t>
            </w:r>
          </w:p>
          <w:p w14:paraId="2B6CA1CD">
            <w:pPr>
              <w:pStyle w:val="6"/>
              <w:spacing w:line="222" w:lineRule="auto"/>
              <w:ind w:left="189"/>
            </w:pPr>
            <w:r>
              <w:rPr>
                <w:spacing w:val="-2"/>
              </w:rPr>
              <w:t>原油加工量</w:t>
            </w:r>
          </w:p>
          <w:p w14:paraId="036C5246">
            <w:pPr>
              <w:pStyle w:val="6"/>
              <w:spacing w:before="30" w:line="220" w:lineRule="auto"/>
              <w:ind w:left="189"/>
            </w:pPr>
            <w:r>
              <w:rPr>
                <w:spacing w:val="4"/>
              </w:rPr>
              <w:t>石油制品</w:t>
            </w:r>
          </w:p>
          <w:p w14:paraId="4223B5D8">
            <w:pPr>
              <w:pStyle w:val="6"/>
              <w:spacing w:before="28" w:line="223" w:lineRule="auto"/>
              <w:ind w:left="370"/>
            </w:pPr>
            <w:r>
              <w:rPr>
                <w:spacing w:val="9"/>
              </w:rPr>
              <w:t>汽油</w:t>
            </w:r>
          </w:p>
          <w:p w14:paraId="6EB67665">
            <w:pPr>
              <w:pStyle w:val="6"/>
              <w:spacing w:before="40" w:line="220" w:lineRule="auto"/>
              <w:ind w:left="370"/>
            </w:pPr>
            <w:r>
              <w:rPr>
                <w:spacing w:val="9"/>
              </w:rPr>
              <w:t>煤油</w:t>
            </w:r>
          </w:p>
          <w:p w14:paraId="4E1A6A9E">
            <w:pPr>
              <w:pStyle w:val="6"/>
              <w:spacing w:before="36" w:line="220" w:lineRule="auto"/>
              <w:ind w:left="350"/>
            </w:pPr>
            <w:r>
              <w:rPr>
                <w:spacing w:val="9"/>
              </w:rPr>
              <w:t>柴油</w:t>
            </w:r>
          </w:p>
          <w:p w14:paraId="7C7C8D86">
            <w:pPr>
              <w:pStyle w:val="6"/>
              <w:spacing w:before="25" w:line="220" w:lineRule="auto"/>
              <w:ind w:left="360"/>
            </w:pPr>
            <w:r>
              <w:rPr>
                <w:spacing w:val="6"/>
              </w:rPr>
              <w:t>润滑油</w:t>
            </w:r>
          </w:p>
          <w:p w14:paraId="63DE4F02">
            <w:pPr>
              <w:pStyle w:val="6"/>
              <w:spacing w:before="46" w:line="220" w:lineRule="auto"/>
              <w:ind w:left="360"/>
            </w:pPr>
            <w:r>
              <w:rPr>
                <w:spacing w:val="6"/>
              </w:rPr>
              <w:t>燃料油</w:t>
            </w:r>
          </w:p>
          <w:p w14:paraId="2B0B1E5F">
            <w:pPr>
              <w:pStyle w:val="6"/>
              <w:spacing w:before="26" w:line="221" w:lineRule="auto"/>
              <w:ind w:left="370"/>
            </w:pPr>
            <w:r>
              <w:rPr>
                <w:spacing w:val="6"/>
              </w:rPr>
              <w:t>石脑油</w:t>
            </w:r>
          </w:p>
          <w:p w14:paraId="59E752A6">
            <w:pPr>
              <w:pStyle w:val="6"/>
              <w:spacing w:before="42" w:line="219" w:lineRule="auto"/>
              <w:ind w:left="360"/>
            </w:pPr>
            <w:r>
              <w:rPr>
                <w:spacing w:val="6"/>
              </w:rPr>
              <w:t>溶剂油</w:t>
            </w:r>
          </w:p>
          <w:p w14:paraId="711F34F5">
            <w:pPr>
              <w:pStyle w:val="6"/>
              <w:spacing w:before="28" w:line="220" w:lineRule="auto"/>
              <w:ind w:left="370"/>
            </w:pPr>
            <w:r>
              <w:rPr>
                <w:spacing w:val="-2"/>
              </w:rPr>
              <w:t>石蜡</w:t>
            </w:r>
          </w:p>
          <w:p w14:paraId="7FA3B6BB">
            <w:pPr>
              <w:pStyle w:val="6"/>
              <w:spacing w:before="36" w:line="221" w:lineRule="auto"/>
              <w:ind w:left="370"/>
            </w:pPr>
            <w:r>
              <w:rPr>
                <w:spacing w:val="-2"/>
              </w:rPr>
              <w:t>石油焦</w:t>
            </w:r>
          </w:p>
          <w:p w14:paraId="621B0F01">
            <w:pPr>
              <w:pStyle w:val="6"/>
              <w:spacing w:before="33" w:line="251" w:lineRule="exact"/>
              <w:ind w:left="380"/>
            </w:pPr>
            <w:r>
              <w:rPr>
                <w:spacing w:val="-2"/>
                <w:position w:val="5"/>
              </w:rPr>
              <w:t>石油沥青</w:t>
            </w:r>
          </w:p>
          <w:p w14:paraId="7B0607BB">
            <w:pPr>
              <w:pStyle w:val="6"/>
              <w:spacing w:line="220" w:lineRule="auto"/>
              <w:ind w:left="370"/>
            </w:pPr>
            <w:r>
              <w:rPr>
                <w:spacing w:val="-2"/>
              </w:rPr>
              <w:t>燃料气</w:t>
            </w:r>
          </w:p>
          <w:p w14:paraId="5470F9E3">
            <w:pPr>
              <w:pStyle w:val="6"/>
              <w:spacing w:before="26" w:line="224" w:lineRule="auto"/>
              <w:ind w:left="1100" w:right="162" w:hanging="550"/>
            </w:pPr>
            <w:r>
              <w:rPr>
                <w:spacing w:val="-1"/>
              </w:rPr>
              <w:t>其中：液化石油气</w:t>
            </w:r>
            <w:r>
              <w:t xml:space="preserve"> </w:t>
            </w:r>
            <w:r>
              <w:rPr>
                <w:spacing w:val="2"/>
              </w:rPr>
              <w:t>炼厂干气</w:t>
            </w:r>
          </w:p>
        </w:tc>
        <w:tc>
          <w:tcPr>
            <w:tcW w:w="780" w:type="dxa"/>
            <w:vAlign w:val="top"/>
          </w:tcPr>
          <w:p w14:paraId="6FEDAA30">
            <w:pPr>
              <w:spacing w:line="246" w:lineRule="auto"/>
              <w:rPr>
                <w:rFonts w:ascii="Arial"/>
                <w:sz w:val="21"/>
              </w:rPr>
            </w:pPr>
            <w:r>
              <w:pict>
                <v:shape id="_x0000_s1037" o:spid="_x0000_s1037" o:spt="202" type="#_x0000_t202" style="position:absolute;left:0pt;margin-left:11.4pt;margin-top:388.15pt;height:8pt;width:12.15pt;mso-position-horizontal-relative:page;mso-position-vertical-relative:page;z-index:251749376;mso-width-relative:page;mso-height-relative:page;" filled="f" stroked="f" coordsize="21600,21600">
                  <v:path/>
                  <v:fill on="f" focussize="0,0"/>
                  <v:stroke on="f"/>
                  <v:imagedata o:title=""/>
                  <o:lock v:ext="edit" aspectratio="f"/>
                  <v:textbox inset="0mm,0mm,0mm,0mm" style="layout-flow:vertical-ideographic;">
                    <w:txbxContent>
                      <w:p w14:paraId="23853C60">
                        <w:pPr>
                          <w:pStyle w:val="6"/>
                          <w:spacing w:before="20" w:line="202" w:lineRule="exact"/>
                          <w:ind w:left="20"/>
                          <w:rPr>
                            <w:sz w:val="12"/>
                            <w:szCs w:val="12"/>
                          </w:rPr>
                        </w:pPr>
                        <w:r>
                          <w:rPr>
                            <w:position w:val="1"/>
                            <w:sz w:val="12"/>
                            <w:szCs w:val="12"/>
                          </w:rPr>
                          <w:t>一</w:t>
                        </w:r>
                      </w:p>
                    </w:txbxContent>
                  </v:textbox>
                </v:shape>
              </w:pict>
            </w:r>
            <w:r>
              <w:pict>
                <v:shape id="_x0000_s1038" o:spid="_x0000_s1038" o:spt="202" type="#_x0000_t202" style="position:absolute;left:0pt;margin-left:11.75pt;margin-top:5.05pt;height:145.15pt;width:13.3pt;mso-position-horizontal-relative:page;mso-position-vertical-relative:page;z-index:251751424;mso-width-relative:page;mso-height-relative:page;" filled="f" stroked="f" coordsize="21600,21600">
                  <v:path/>
                  <v:fill on="f" focussize="0,0"/>
                  <v:stroke on="f"/>
                  <v:imagedata o:title=""/>
                  <o:lock v:ext="edit" aspectratio="f"/>
                  <v:textbox inset="0mm,0mm,0mm,0mm" style="layout-flow:vertical-ideographic;">
                    <w:txbxContent>
                      <w:p w14:paraId="7B23BF4F">
                        <w:pPr>
                          <w:pStyle w:val="6"/>
                          <w:spacing w:before="20" w:line="225" w:lineRule="auto"/>
                          <w:ind w:left="20"/>
                        </w:pPr>
                        <w:r>
                          <w:rPr>
                            <w:spacing w:val="-1"/>
                          </w:rPr>
                          <w:t>吨 吨 吨 吨 吨 一 吨 吨 吨 吨 吨</w:t>
                        </w:r>
                      </w:p>
                    </w:txbxContent>
                  </v:textbox>
                </v:shape>
              </w:pict>
            </w:r>
            <w:r>
              <w:pict>
                <v:shape id="_x0000_s1039" o:spid="_x0000_s1039" o:spt="202" type="#_x0000_t202" style="position:absolute;left:0pt;margin-left:11.75pt;margin-top:215.55pt;height:99pt;width:13.3pt;mso-position-horizontal-relative:page;mso-position-vertical-relative:page;z-index:251750400;mso-width-relative:page;mso-height-relative:page;" filled="f" stroked="f" coordsize="21600,21600">
                  <v:path/>
                  <v:fill on="f" focussize="0,0"/>
                  <v:stroke on="f"/>
                  <v:imagedata o:title=""/>
                  <o:lock v:ext="edit" aspectratio="f"/>
                  <v:textbox inset="0mm,0mm,0mm,0mm" style="layout-flow:vertical-ideographic;">
                    <w:txbxContent>
                      <w:p w14:paraId="7AF98895">
                        <w:pPr>
                          <w:pStyle w:val="6"/>
                          <w:spacing w:before="20" w:line="225" w:lineRule="auto"/>
                          <w:ind w:left="20"/>
                        </w:pPr>
                        <w:r>
                          <w:t>吨</w:t>
                        </w:r>
                        <w:r>
                          <w:rPr>
                            <w:spacing w:val="23"/>
                          </w:rPr>
                          <w:t xml:space="preserve"> </w:t>
                        </w:r>
                        <w:r>
                          <w:t>吨</w:t>
                        </w:r>
                        <w:r>
                          <w:rPr>
                            <w:spacing w:val="23"/>
                          </w:rPr>
                          <w:t xml:space="preserve"> </w:t>
                        </w:r>
                        <w:r>
                          <w:t>吨</w:t>
                        </w:r>
                        <w:r>
                          <w:rPr>
                            <w:spacing w:val="23"/>
                          </w:rPr>
                          <w:t xml:space="preserve"> </w:t>
                        </w:r>
                        <w:r>
                          <w:t>吨</w:t>
                        </w:r>
                        <w:r>
                          <w:rPr>
                            <w:spacing w:val="23"/>
                          </w:rPr>
                          <w:t xml:space="preserve"> </w:t>
                        </w:r>
                        <w:r>
                          <w:t>吨</w:t>
                        </w:r>
                        <w:r>
                          <w:rPr>
                            <w:spacing w:val="23"/>
                          </w:rPr>
                          <w:t xml:space="preserve"> </w:t>
                        </w:r>
                        <w:r>
                          <w:t>吨</w:t>
                        </w:r>
                        <w:r>
                          <w:rPr>
                            <w:spacing w:val="23"/>
                          </w:rPr>
                          <w:t xml:space="preserve"> </w:t>
                        </w:r>
                        <w:r>
                          <w:t>一</w:t>
                        </w:r>
                      </w:p>
                    </w:txbxContent>
                  </v:textbox>
                </v:shape>
              </w:pict>
            </w:r>
            <w:r>
              <w:pict>
                <v:shape id="_x0000_s1040" o:spid="_x0000_s1040" o:spt="202" type="#_x0000_t202" style="position:absolute;left:0pt;margin-left:14pt;margin-top:400.7pt;height:234.25pt;width:9.55pt;mso-position-horizontal-relative:page;mso-position-vertical-relative:page;z-index:251747328;mso-width-relative:page;mso-height-relative:page;" filled="f" stroked="f" coordsize="21600,21600">
                  <v:path/>
                  <v:fill on="f" focussize="0,0"/>
                  <v:stroke on="f"/>
                  <v:imagedata o:title=""/>
                  <o:lock v:ext="edit" aspectratio="f"/>
                  <v:textbox inset="0mm,0mm,0mm,0mm" style="layout-flow:vertical-ideographic;">
                    <w:txbxContent>
                      <w:p w14:paraId="5D0D3DAF">
                        <w:pPr>
                          <w:pStyle w:val="6"/>
                          <w:spacing w:before="20" w:line="225" w:lineRule="auto"/>
                          <w:ind w:left="20"/>
                          <w:rPr>
                            <w:sz w:val="12"/>
                            <w:szCs w:val="12"/>
                          </w:rPr>
                        </w:pPr>
                        <w:r>
                          <w:rPr>
                            <w:sz w:val="12"/>
                            <w:szCs w:val="12"/>
                          </w:rPr>
                          <w:t>吨  一</w:t>
                        </w:r>
                        <w:r>
                          <w:rPr>
                            <w:spacing w:val="10"/>
                            <w:sz w:val="12"/>
                            <w:szCs w:val="12"/>
                          </w:rPr>
                          <w:t xml:space="preserve">  </w:t>
                        </w:r>
                        <w:r>
                          <w:rPr>
                            <w:sz w:val="12"/>
                            <w:szCs w:val="12"/>
                          </w:rPr>
                          <w:t>吨</w:t>
                        </w:r>
                        <w:r>
                          <w:rPr>
                            <w:spacing w:val="6"/>
                            <w:sz w:val="12"/>
                            <w:szCs w:val="12"/>
                          </w:rPr>
                          <w:t xml:space="preserve">  </w:t>
                        </w:r>
                        <w:r>
                          <w:rPr>
                            <w:sz w:val="12"/>
                            <w:szCs w:val="12"/>
                          </w:rPr>
                          <w:t>吨</w:t>
                        </w:r>
                        <w:r>
                          <w:rPr>
                            <w:spacing w:val="6"/>
                            <w:sz w:val="12"/>
                            <w:szCs w:val="12"/>
                          </w:rPr>
                          <w:t xml:space="preserve">  </w:t>
                        </w:r>
                        <w:r>
                          <w:rPr>
                            <w:sz w:val="12"/>
                            <w:szCs w:val="12"/>
                          </w:rPr>
                          <w:t>吨</w:t>
                        </w:r>
                        <w:r>
                          <w:rPr>
                            <w:spacing w:val="5"/>
                            <w:sz w:val="12"/>
                            <w:szCs w:val="12"/>
                          </w:rPr>
                          <w:t xml:space="preserve">  </w:t>
                        </w:r>
                        <w:r>
                          <w:rPr>
                            <w:sz w:val="12"/>
                            <w:szCs w:val="12"/>
                          </w:rPr>
                          <w:t>一</w:t>
                        </w:r>
                        <w:r>
                          <w:rPr>
                            <w:spacing w:val="6"/>
                            <w:sz w:val="12"/>
                            <w:szCs w:val="12"/>
                          </w:rPr>
                          <w:t xml:space="preserve">  </w:t>
                        </w:r>
                        <w:r>
                          <w:rPr>
                            <w:sz w:val="12"/>
                            <w:szCs w:val="12"/>
                          </w:rPr>
                          <w:t>吨</w:t>
                        </w:r>
                        <w:r>
                          <w:rPr>
                            <w:spacing w:val="6"/>
                            <w:sz w:val="12"/>
                            <w:szCs w:val="12"/>
                          </w:rPr>
                          <w:t xml:space="preserve">  </w:t>
                        </w:r>
                        <w:r>
                          <w:rPr>
                            <w:sz w:val="12"/>
                            <w:szCs w:val="12"/>
                          </w:rPr>
                          <w:t>吨</w:t>
                        </w:r>
                        <w:r>
                          <w:rPr>
                            <w:spacing w:val="5"/>
                            <w:sz w:val="12"/>
                            <w:szCs w:val="12"/>
                          </w:rPr>
                          <w:t xml:space="preserve">  </w:t>
                        </w:r>
                        <w:r>
                          <w:rPr>
                            <w:sz w:val="12"/>
                            <w:szCs w:val="12"/>
                          </w:rPr>
                          <w:t>吨</w:t>
                        </w:r>
                        <w:r>
                          <w:rPr>
                            <w:spacing w:val="6"/>
                            <w:sz w:val="12"/>
                            <w:szCs w:val="12"/>
                          </w:rPr>
                          <w:t xml:space="preserve">  </w:t>
                        </w:r>
                        <w:r>
                          <w:rPr>
                            <w:sz w:val="12"/>
                            <w:szCs w:val="12"/>
                          </w:rPr>
                          <w:t>吨</w:t>
                        </w:r>
                        <w:r>
                          <w:rPr>
                            <w:spacing w:val="6"/>
                            <w:sz w:val="12"/>
                            <w:szCs w:val="12"/>
                          </w:rPr>
                          <w:t xml:space="preserve">  </w:t>
                        </w:r>
                        <w:r>
                          <w:rPr>
                            <w:sz w:val="12"/>
                            <w:szCs w:val="12"/>
                          </w:rPr>
                          <w:t>吨</w:t>
                        </w:r>
                        <w:r>
                          <w:rPr>
                            <w:spacing w:val="5"/>
                            <w:sz w:val="12"/>
                            <w:szCs w:val="12"/>
                          </w:rPr>
                          <w:t xml:space="preserve">  </w:t>
                        </w:r>
                        <w:r>
                          <w:rPr>
                            <w:sz w:val="12"/>
                            <w:szCs w:val="12"/>
                          </w:rPr>
                          <w:t>吨</w:t>
                        </w:r>
                        <w:r>
                          <w:rPr>
                            <w:spacing w:val="6"/>
                            <w:sz w:val="12"/>
                            <w:szCs w:val="12"/>
                          </w:rPr>
                          <w:t xml:space="preserve">  </w:t>
                        </w:r>
                        <w:r>
                          <w:rPr>
                            <w:sz w:val="12"/>
                            <w:szCs w:val="12"/>
                          </w:rPr>
                          <w:t>吨</w:t>
                        </w:r>
                        <w:r>
                          <w:rPr>
                            <w:spacing w:val="6"/>
                            <w:sz w:val="12"/>
                            <w:szCs w:val="12"/>
                          </w:rPr>
                          <w:t xml:space="preserve">  </w:t>
                        </w:r>
                        <w:r>
                          <w:rPr>
                            <w:sz w:val="12"/>
                            <w:szCs w:val="12"/>
                          </w:rPr>
                          <w:t>吨</w:t>
                        </w:r>
                        <w:r>
                          <w:rPr>
                            <w:spacing w:val="6"/>
                            <w:sz w:val="12"/>
                            <w:szCs w:val="12"/>
                          </w:rPr>
                          <w:t xml:space="preserve">  </w:t>
                        </w:r>
                        <w:r>
                          <w:rPr>
                            <w:sz w:val="12"/>
                            <w:szCs w:val="12"/>
                          </w:rPr>
                          <w:t>吨</w:t>
                        </w:r>
                        <w:r>
                          <w:rPr>
                            <w:spacing w:val="5"/>
                            <w:sz w:val="12"/>
                            <w:szCs w:val="12"/>
                          </w:rPr>
                          <w:t xml:space="preserve">  </w:t>
                        </w:r>
                        <w:r>
                          <w:rPr>
                            <w:sz w:val="12"/>
                            <w:szCs w:val="12"/>
                          </w:rPr>
                          <w:t>吨</w:t>
                        </w:r>
                        <w:r>
                          <w:rPr>
                            <w:spacing w:val="6"/>
                            <w:sz w:val="12"/>
                            <w:szCs w:val="12"/>
                          </w:rPr>
                          <w:t xml:space="preserve">  </w:t>
                        </w:r>
                        <w:r>
                          <w:rPr>
                            <w:sz w:val="12"/>
                            <w:szCs w:val="12"/>
                          </w:rPr>
                          <w:t>吨</w:t>
                        </w:r>
                        <w:r>
                          <w:rPr>
                            <w:spacing w:val="6"/>
                            <w:sz w:val="12"/>
                            <w:szCs w:val="12"/>
                          </w:rPr>
                          <w:t xml:space="preserve">  </w:t>
                        </w:r>
                        <w:r>
                          <w:rPr>
                            <w:sz w:val="12"/>
                            <w:szCs w:val="12"/>
                          </w:rPr>
                          <w:t>吨</w:t>
                        </w:r>
                        <w:r>
                          <w:rPr>
                            <w:spacing w:val="5"/>
                            <w:sz w:val="12"/>
                            <w:szCs w:val="12"/>
                          </w:rPr>
                          <w:t xml:space="preserve">  </w:t>
                        </w:r>
                        <w:r>
                          <w:rPr>
                            <w:sz w:val="12"/>
                            <w:szCs w:val="12"/>
                          </w:rPr>
                          <w:t>吨</w:t>
                        </w:r>
                      </w:p>
                    </w:txbxContent>
                  </v:textbox>
                </v:shape>
              </w:pict>
            </w:r>
          </w:p>
          <w:p w14:paraId="7911F3D8">
            <w:pPr>
              <w:spacing w:line="246" w:lineRule="auto"/>
              <w:rPr>
                <w:rFonts w:ascii="Arial"/>
                <w:sz w:val="21"/>
              </w:rPr>
            </w:pPr>
          </w:p>
          <w:p w14:paraId="30C222BF">
            <w:pPr>
              <w:spacing w:line="246" w:lineRule="auto"/>
              <w:rPr>
                <w:rFonts w:ascii="Arial"/>
                <w:sz w:val="21"/>
              </w:rPr>
            </w:pPr>
          </w:p>
          <w:p w14:paraId="02ADB9C0">
            <w:pPr>
              <w:spacing w:line="247" w:lineRule="auto"/>
              <w:rPr>
                <w:rFonts w:ascii="Arial"/>
                <w:sz w:val="21"/>
              </w:rPr>
            </w:pPr>
          </w:p>
          <w:p w14:paraId="4C37DC8D">
            <w:pPr>
              <w:spacing w:line="247" w:lineRule="auto"/>
              <w:rPr>
                <w:rFonts w:ascii="Arial"/>
                <w:sz w:val="21"/>
              </w:rPr>
            </w:pPr>
          </w:p>
          <w:p w14:paraId="560E05EA">
            <w:pPr>
              <w:spacing w:line="247" w:lineRule="auto"/>
              <w:rPr>
                <w:rFonts w:ascii="Arial"/>
                <w:sz w:val="21"/>
              </w:rPr>
            </w:pPr>
          </w:p>
          <w:p w14:paraId="79A1FC12">
            <w:pPr>
              <w:spacing w:line="247" w:lineRule="auto"/>
              <w:rPr>
                <w:rFonts w:ascii="Arial"/>
                <w:sz w:val="21"/>
              </w:rPr>
            </w:pPr>
          </w:p>
          <w:p w14:paraId="5E7C987B">
            <w:pPr>
              <w:spacing w:line="247" w:lineRule="auto"/>
              <w:rPr>
                <w:rFonts w:ascii="Arial"/>
                <w:sz w:val="21"/>
              </w:rPr>
            </w:pPr>
          </w:p>
          <w:p w14:paraId="47A63B94">
            <w:pPr>
              <w:spacing w:line="247" w:lineRule="auto"/>
              <w:rPr>
                <w:rFonts w:ascii="Arial"/>
                <w:sz w:val="21"/>
              </w:rPr>
            </w:pPr>
          </w:p>
          <w:p w14:paraId="4FF16DD4">
            <w:pPr>
              <w:spacing w:line="247" w:lineRule="auto"/>
              <w:rPr>
                <w:rFonts w:ascii="Arial"/>
                <w:sz w:val="21"/>
              </w:rPr>
            </w:pPr>
          </w:p>
          <w:p w14:paraId="41E06FC3">
            <w:pPr>
              <w:spacing w:line="247" w:lineRule="auto"/>
              <w:rPr>
                <w:rFonts w:ascii="Arial"/>
                <w:sz w:val="21"/>
              </w:rPr>
            </w:pPr>
          </w:p>
          <w:p w14:paraId="6A2DF232">
            <w:pPr>
              <w:spacing w:line="247" w:lineRule="auto"/>
              <w:rPr>
                <w:rFonts w:ascii="Arial"/>
                <w:sz w:val="21"/>
              </w:rPr>
            </w:pPr>
          </w:p>
          <w:p w14:paraId="52E3BFB3">
            <w:pPr>
              <w:pStyle w:val="6"/>
              <w:spacing w:before="59" w:line="249" w:lineRule="auto"/>
              <w:ind w:left="25" w:right="36"/>
              <w:jc w:val="both"/>
            </w:pPr>
            <w:r>
              <w:rPr>
                <w:spacing w:val="-3"/>
              </w:rPr>
              <w:t>万立方米</w:t>
            </w:r>
            <w:r>
              <w:t xml:space="preserve"> </w:t>
            </w:r>
            <w:r>
              <w:rPr>
                <w:spacing w:val="-3"/>
              </w:rPr>
              <w:t>万立方米</w:t>
            </w:r>
            <w:r>
              <w:t xml:space="preserve"> </w:t>
            </w:r>
            <w:r>
              <w:rPr>
                <w:spacing w:val="-3"/>
              </w:rPr>
              <w:t>万立方米</w:t>
            </w:r>
            <w:r>
              <w:t xml:space="preserve"> </w:t>
            </w:r>
            <w:r>
              <w:rPr>
                <w:spacing w:val="-3"/>
              </w:rPr>
              <w:t>万立方米</w:t>
            </w:r>
            <w:r>
              <w:t xml:space="preserve"> </w:t>
            </w:r>
            <w:r>
              <w:rPr>
                <w:spacing w:val="-3"/>
              </w:rPr>
              <w:t>万立方米</w:t>
            </w:r>
          </w:p>
          <w:p w14:paraId="09ED2064">
            <w:pPr>
              <w:spacing w:line="244" w:lineRule="auto"/>
              <w:rPr>
                <w:rFonts w:ascii="Arial"/>
                <w:sz w:val="21"/>
              </w:rPr>
            </w:pPr>
          </w:p>
          <w:p w14:paraId="7039D591">
            <w:pPr>
              <w:spacing w:line="244" w:lineRule="auto"/>
              <w:rPr>
                <w:rFonts w:ascii="Arial"/>
                <w:sz w:val="21"/>
              </w:rPr>
            </w:pPr>
          </w:p>
          <w:p w14:paraId="6D4C5A8E">
            <w:pPr>
              <w:spacing w:line="244" w:lineRule="auto"/>
              <w:rPr>
                <w:rFonts w:ascii="Arial"/>
                <w:sz w:val="21"/>
              </w:rPr>
            </w:pPr>
          </w:p>
          <w:p w14:paraId="1FE7C0FF">
            <w:pPr>
              <w:spacing w:line="244" w:lineRule="auto"/>
              <w:rPr>
                <w:rFonts w:ascii="Arial"/>
                <w:sz w:val="21"/>
              </w:rPr>
            </w:pPr>
          </w:p>
          <w:p w14:paraId="3F858BCF">
            <w:pPr>
              <w:spacing w:line="245" w:lineRule="auto"/>
              <w:rPr>
                <w:rFonts w:ascii="Arial"/>
                <w:sz w:val="21"/>
              </w:rPr>
            </w:pPr>
          </w:p>
          <w:p w14:paraId="6FB370A9">
            <w:pPr>
              <w:spacing w:line="245" w:lineRule="auto"/>
              <w:rPr>
                <w:rFonts w:ascii="Arial"/>
                <w:sz w:val="21"/>
              </w:rPr>
            </w:pPr>
          </w:p>
          <w:p w14:paraId="7D85396C">
            <w:pPr>
              <w:spacing w:line="245" w:lineRule="auto"/>
              <w:rPr>
                <w:rFonts w:ascii="Arial"/>
                <w:sz w:val="21"/>
              </w:rPr>
            </w:pPr>
          </w:p>
          <w:p w14:paraId="6D926559">
            <w:pPr>
              <w:spacing w:line="245" w:lineRule="auto"/>
              <w:rPr>
                <w:rFonts w:ascii="Arial"/>
                <w:sz w:val="21"/>
              </w:rPr>
            </w:pPr>
          </w:p>
          <w:p w14:paraId="1F0D05A7">
            <w:pPr>
              <w:pStyle w:val="6"/>
              <w:spacing w:before="59" w:line="250" w:lineRule="auto"/>
              <w:ind w:left="25" w:right="36"/>
              <w:jc w:val="both"/>
            </w:pPr>
            <w:r>
              <w:rPr>
                <w:spacing w:val="-3"/>
              </w:rPr>
              <w:t>万立方米</w:t>
            </w:r>
            <w:r>
              <w:t xml:space="preserve"> </w:t>
            </w:r>
            <w:r>
              <w:rPr>
                <w:spacing w:val="-3"/>
              </w:rPr>
              <w:t>万立方米</w:t>
            </w:r>
            <w:r>
              <w:t xml:space="preserve"> </w:t>
            </w:r>
            <w:r>
              <w:rPr>
                <w:spacing w:val="-3"/>
              </w:rPr>
              <w:t>万立方米</w:t>
            </w:r>
            <w:r>
              <w:t xml:space="preserve"> </w:t>
            </w:r>
            <w:r>
              <w:rPr>
                <w:spacing w:val="-3"/>
              </w:rPr>
              <w:t>万立方米</w:t>
            </w:r>
            <w:r>
              <w:t xml:space="preserve"> </w:t>
            </w:r>
            <w:r>
              <w:rPr>
                <w:spacing w:val="-3"/>
              </w:rPr>
              <w:t>万立方米</w:t>
            </w:r>
            <w:r>
              <w:t xml:space="preserve"> </w:t>
            </w:r>
            <w:r>
              <w:rPr>
                <w:spacing w:val="-3"/>
              </w:rPr>
              <w:t>万立方米</w:t>
            </w:r>
          </w:p>
        </w:tc>
        <w:tc>
          <w:tcPr>
            <w:tcW w:w="1120" w:type="dxa"/>
            <w:vAlign w:val="top"/>
          </w:tcPr>
          <w:p w14:paraId="0BD79641">
            <w:pPr>
              <w:pStyle w:val="6"/>
              <w:spacing w:before="115" w:line="253" w:lineRule="auto"/>
              <w:ind w:left="105" w:right="111"/>
              <w:jc w:val="both"/>
            </w:pPr>
            <w:r>
              <w:rPr>
                <w:spacing w:val="-1"/>
              </w:rPr>
              <w:t>0600000000</w:t>
            </w:r>
            <w:r>
              <w:t xml:space="preserve"> </w:t>
            </w:r>
            <w:r>
              <w:rPr>
                <w:spacing w:val="-1"/>
              </w:rPr>
              <w:t>0601000000</w:t>
            </w:r>
            <w:r>
              <w:t xml:space="preserve"> </w:t>
            </w:r>
            <w:r>
              <w:rPr>
                <w:spacing w:val="-1"/>
              </w:rPr>
              <w:t>0601010000</w:t>
            </w:r>
            <w:r>
              <w:t xml:space="preserve"> </w:t>
            </w:r>
            <w:r>
              <w:rPr>
                <w:spacing w:val="-1"/>
              </w:rPr>
              <w:t>0601020100</w:t>
            </w:r>
            <w:r>
              <w:t xml:space="preserve"> </w:t>
            </w:r>
            <w:r>
              <w:rPr>
                <w:spacing w:val="-1"/>
              </w:rPr>
              <w:t>0601020200</w:t>
            </w:r>
            <w:r>
              <w:t xml:space="preserve"> </w:t>
            </w:r>
            <w:r>
              <w:rPr>
                <w:spacing w:val="-1"/>
              </w:rPr>
              <w:t>0601030000</w:t>
            </w:r>
            <w:r>
              <w:t xml:space="preserve"> </w:t>
            </w:r>
            <w:r>
              <w:rPr>
                <w:spacing w:val="-1"/>
              </w:rPr>
              <w:t>2524000000</w:t>
            </w:r>
            <w:r>
              <w:t xml:space="preserve"> </w:t>
            </w:r>
            <w:r>
              <w:rPr>
                <w:spacing w:val="-1"/>
              </w:rPr>
              <w:t>0602010000</w:t>
            </w:r>
            <w:r>
              <w:t xml:space="preserve"> </w:t>
            </w:r>
            <w:r>
              <w:rPr>
                <w:spacing w:val="-1"/>
              </w:rPr>
              <w:t>0602070000</w:t>
            </w:r>
            <w:r>
              <w:t xml:space="preserve"> </w:t>
            </w:r>
            <w:r>
              <w:rPr>
                <w:spacing w:val="3"/>
              </w:rPr>
              <w:t>250401100</w:t>
            </w:r>
            <w:r>
              <w:rPr>
                <w:spacing w:val="2"/>
              </w:rPr>
              <w:t xml:space="preserve"> </w:t>
            </w:r>
            <w:r>
              <w:rPr>
                <w:spacing w:val="-1"/>
              </w:rPr>
              <w:t>2524010000</w:t>
            </w:r>
            <w:r>
              <w:t xml:space="preserve"> </w:t>
            </w:r>
            <w:r>
              <w:rPr>
                <w:spacing w:val="-1"/>
              </w:rPr>
              <w:t>2521020000</w:t>
            </w:r>
            <w:r>
              <w:t xml:space="preserve"> </w:t>
            </w:r>
            <w:r>
              <w:rPr>
                <w:spacing w:val="-1"/>
              </w:rPr>
              <w:t>4501000000</w:t>
            </w:r>
            <w:r>
              <w:rPr>
                <w:spacing w:val="2"/>
              </w:rPr>
              <w:t xml:space="preserve"> </w:t>
            </w:r>
            <w:r>
              <w:rPr>
                <w:spacing w:val="-1"/>
              </w:rPr>
              <w:t>4501010000</w:t>
            </w:r>
            <w:r>
              <w:rPr>
                <w:spacing w:val="2"/>
              </w:rPr>
              <w:t xml:space="preserve"> </w:t>
            </w:r>
            <w:r>
              <w:rPr>
                <w:spacing w:val="-1"/>
              </w:rPr>
              <w:t>4501030000</w:t>
            </w:r>
            <w:r>
              <w:rPr>
                <w:spacing w:val="2"/>
              </w:rPr>
              <w:t xml:space="preserve"> </w:t>
            </w:r>
            <w:r>
              <w:rPr>
                <w:spacing w:val="-1"/>
              </w:rPr>
              <w:t>4501040000</w:t>
            </w:r>
            <w:r>
              <w:rPr>
                <w:spacing w:val="2"/>
              </w:rPr>
              <w:t xml:space="preserve"> </w:t>
            </w:r>
            <w:r>
              <w:rPr>
                <w:spacing w:val="-1"/>
              </w:rPr>
              <w:t>2522010000</w:t>
            </w:r>
            <w:r>
              <w:t xml:space="preserve"> </w:t>
            </w:r>
            <w:r>
              <w:rPr>
                <w:spacing w:val="-1"/>
              </w:rPr>
              <w:t>2523000000</w:t>
            </w:r>
            <w:r>
              <w:t xml:space="preserve"> </w:t>
            </w:r>
            <w:r>
              <w:rPr>
                <w:spacing w:val="-1"/>
              </w:rPr>
              <w:t>2523010000</w:t>
            </w:r>
            <w:r>
              <w:t xml:space="preserve"> </w:t>
            </w:r>
            <w:r>
              <w:rPr>
                <w:spacing w:val="-1"/>
              </w:rPr>
              <w:t>2523020000</w:t>
            </w:r>
            <w:r>
              <w:t xml:space="preserve"> </w:t>
            </w:r>
            <w:r>
              <w:rPr>
                <w:spacing w:val="-1"/>
              </w:rPr>
              <w:t>2523030000</w:t>
            </w:r>
            <w:r>
              <w:t xml:space="preserve"> </w:t>
            </w:r>
            <w:r>
              <w:rPr>
                <w:spacing w:val="-1"/>
              </w:rPr>
              <w:t>2523040000</w:t>
            </w:r>
            <w:r>
              <w:t xml:space="preserve"> </w:t>
            </w:r>
            <w:r>
              <w:rPr>
                <w:spacing w:val="-1"/>
              </w:rPr>
              <w:t>2523050000</w:t>
            </w:r>
            <w:r>
              <w:t xml:space="preserve"> </w:t>
            </w:r>
            <w:r>
              <w:rPr>
                <w:spacing w:val="-1"/>
              </w:rPr>
              <w:t>2523060000</w:t>
            </w:r>
            <w:r>
              <w:t xml:space="preserve"> </w:t>
            </w:r>
            <w:r>
              <w:rPr>
                <w:spacing w:val="-1"/>
              </w:rPr>
              <w:t>0720000000</w:t>
            </w:r>
            <w:r>
              <w:t xml:space="preserve"> </w:t>
            </w:r>
            <w:r>
              <w:rPr>
                <w:spacing w:val="-1"/>
              </w:rPr>
              <w:t>0702000000</w:t>
            </w:r>
            <w:r>
              <w:t xml:space="preserve"> </w:t>
            </w:r>
            <w:r>
              <w:rPr>
                <w:spacing w:val="-1"/>
              </w:rPr>
              <w:t>0702010000</w:t>
            </w:r>
            <w:r>
              <w:t xml:space="preserve"> </w:t>
            </w:r>
            <w:r>
              <w:rPr>
                <w:spacing w:val="-1"/>
              </w:rPr>
              <w:t>070202000(</w:t>
            </w:r>
            <w:r>
              <w:t xml:space="preserve"> </w:t>
            </w:r>
            <w:r>
              <w:rPr>
                <w:spacing w:val="-1"/>
              </w:rPr>
              <w:t>0704000000</w:t>
            </w:r>
            <w:r>
              <w:t xml:space="preserve"> </w:t>
            </w:r>
            <w:r>
              <w:rPr>
                <w:spacing w:val="-1"/>
              </w:rPr>
              <w:t>0702020100</w:t>
            </w:r>
            <w:r>
              <w:t xml:space="preserve"> </w:t>
            </w:r>
            <w:r>
              <w:rPr>
                <w:spacing w:val="-1"/>
              </w:rPr>
              <w:t>0702020200</w:t>
            </w:r>
            <w:r>
              <w:t xml:space="preserve"> </w:t>
            </w:r>
            <w:r>
              <w:rPr>
                <w:spacing w:val="-1"/>
              </w:rPr>
              <w:t>0703100000</w:t>
            </w:r>
            <w:r>
              <w:t xml:space="preserve"> </w:t>
            </w:r>
            <w:r>
              <w:rPr>
                <w:spacing w:val="-1"/>
              </w:rPr>
              <w:t>0703000000</w:t>
            </w:r>
            <w:r>
              <w:t xml:space="preserve"> </w:t>
            </w:r>
            <w:r>
              <w:rPr>
                <w:spacing w:val="-1"/>
              </w:rPr>
              <w:t>0710000000</w:t>
            </w:r>
            <w:r>
              <w:t xml:space="preserve"> </w:t>
            </w:r>
            <w:r>
              <w:rPr>
                <w:spacing w:val="-1"/>
              </w:rPr>
              <w:t>0701000000</w:t>
            </w:r>
            <w:r>
              <w:t xml:space="preserve"> </w:t>
            </w:r>
            <w:r>
              <w:rPr>
                <w:spacing w:val="-1"/>
              </w:rPr>
              <w:t>2503010000</w:t>
            </w:r>
            <w:r>
              <w:t xml:space="preserve"> </w:t>
            </w:r>
            <w:r>
              <w:rPr>
                <w:spacing w:val="-1"/>
              </w:rPr>
              <w:t>2501000000</w:t>
            </w:r>
            <w:r>
              <w:t xml:space="preserve"> </w:t>
            </w:r>
            <w:r>
              <w:rPr>
                <w:spacing w:val="-1"/>
              </w:rPr>
              <w:t>2502000000</w:t>
            </w:r>
            <w:r>
              <w:t xml:space="preserve"> </w:t>
            </w:r>
            <w:r>
              <w:rPr>
                <w:spacing w:val="-1"/>
              </w:rPr>
              <w:t>2502010000</w:t>
            </w:r>
            <w:r>
              <w:t xml:space="preserve"> </w:t>
            </w:r>
            <w:r>
              <w:rPr>
                <w:spacing w:val="-1"/>
              </w:rPr>
              <w:t>2502020000</w:t>
            </w:r>
            <w:r>
              <w:t xml:space="preserve"> </w:t>
            </w:r>
            <w:r>
              <w:rPr>
                <w:spacing w:val="-1"/>
              </w:rPr>
              <w:t>2502030000</w:t>
            </w:r>
            <w:r>
              <w:t xml:space="preserve"> </w:t>
            </w:r>
            <w:r>
              <w:rPr>
                <w:spacing w:val="-1"/>
              </w:rPr>
              <w:t>2502040000</w:t>
            </w:r>
            <w:r>
              <w:t xml:space="preserve"> </w:t>
            </w:r>
            <w:r>
              <w:rPr>
                <w:spacing w:val="-1"/>
              </w:rPr>
              <w:t>2502050000</w:t>
            </w:r>
            <w:r>
              <w:t xml:space="preserve"> </w:t>
            </w:r>
            <w:r>
              <w:rPr>
                <w:spacing w:val="-1"/>
              </w:rPr>
              <w:t>2502060000</w:t>
            </w:r>
            <w:r>
              <w:t xml:space="preserve"> </w:t>
            </w:r>
            <w:r>
              <w:rPr>
                <w:spacing w:val="-1"/>
              </w:rPr>
              <w:t>2502070000</w:t>
            </w:r>
            <w:r>
              <w:t xml:space="preserve"> </w:t>
            </w:r>
            <w:r>
              <w:rPr>
                <w:spacing w:val="-1"/>
              </w:rPr>
              <w:t>2502100000</w:t>
            </w:r>
            <w:r>
              <w:t xml:space="preserve"> </w:t>
            </w:r>
            <w:r>
              <w:rPr>
                <w:spacing w:val="-1"/>
              </w:rPr>
              <w:t>2504011002</w:t>
            </w:r>
            <w:r>
              <w:t xml:space="preserve"> </w:t>
            </w:r>
            <w:r>
              <w:rPr>
                <w:spacing w:val="-1"/>
              </w:rPr>
              <w:t>2504011003</w:t>
            </w:r>
            <w:r>
              <w:t xml:space="preserve"> </w:t>
            </w:r>
            <w:r>
              <w:rPr>
                <w:spacing w:val="-1"/>
              </w:rPr>
              <w:t>2502110000</w:t>
            </w:r>
            <w:r>
              <w:t xml:space="preserve"> </w:t>
            </w:r>
            <w:r>
              <w:rPr>
                <w:spacing w:val="-1"/>
              </w:rPr>
              <w:t>2502110100</w:t>
            </w:r>
            <w:r>
              <w:t xml:space="preserve"> </w:t>
            </w:r>
            <w:r>
              <w:rPr>
                <w:spacing w:val="-1"/>
              </w:rPr>
              <w:t>2502140000</w:t>
            </w:r>
          </w:p>
        </w:tc>
        <w:tc>
          <w:tcPr>
            <w:tcW w:w="2910" w:type="dxa"/>
            <w:vAlign w:val="top"/>
          </w:tcPr>
          <w:p w14:paraId="44B090AE">
            <w:pPr>
              <w:pStyle w:val="6"/>
              <w:spacing w:before="48" w:line="251" w:lineRule="exact"/>
              <w:ind w:left="474"/>
            </w:pPr>
            <w:r>
              <w:rPr>
                <w:spacing w:val="3"/>
                <w:position w:val="4"/>
              </w:rPr>
              <w:t>其他石油制品</w:t>
            </w:r>
          </w:p>
          <w:p w14:paraId="0090DBD7">
            <w:pPr>
              <w:pStyle w:val="6"/>
              <w:spacing w:line="220" w:lineRule="auto"/>
              <w:ind w:left="115"/>
            </w:pPr>
            <w:r>
              <w:rPr>
                <w:spacing w:val="-2"/>
              </w:rPr>
              <w:t>生物质能</w:t>
            </w:r>
          </w:p>
          <w:p w14:paraId="06676CA3">
            <w:pPr>
              <w:pStyle w:val="6"/>
              <w:spacing w:before="45" w:line="220" w:lineRule="auto"/>
              <w:ind w:left="285"/>
            </w:pPr>
            <w:r>
              <w:rPr>
                <w:spacing w:val="1"/>
              </w:rPr>
              <w:t>固态生物燃料</w:t>
            </w:r>
          </w:p>
          <w:p w14:paraId="57D507C9">
            <w:pPr>
              <w:pStyle w:val="6"/>
              <w:spacing w:before="25" w:line="260" w:lineRule="exact"/>
              <w:ind w:left="285"/>
            </w:pPr>
            <w:r>
              <w:rPr>
                <w:spacing w:val="-2"/>
                <w:position w:val="5"/>
              </w:rPr>
              <w:t>液态生物燃料</w:t>
            </w:r>
          </w:p>
          <w:p w14:paraId="450F62B0">
            <w:pPr>
              <w:pStyle w:val="6"/>
              <w:spacing w:line="220" w:lineRule="auto"/>
              <w:ind w:left="474"/>
            </w:pPr>
            <w:r>
              <w:rPr>
                <w:spacing w:val="-2"/>
              </w:rPr>
              <w:t>生物乙醇</w:t>
            </w:r>
          </w:p>
          <w:p w14:paraId="476C47E3">
            <w:pPr>
              <w:pStyle w:val="6"/>
              <w:spacing w:before="25" w:line="220" w:lineRule="auto"/>
              <w:ind w:left="474"/>
            </w:pPr>
            <w:r>
              <w:rPr>
                <w:spacing w:val="4"/>
              </w:rPr>
              <w:t>生物柴油</w:t>
            </w:r>
          </w:p>
          <w:p w14:paraId="2AC6125F">
            <w:pPr>
              <w:pStyle w:val="6"/>
              <w:spacing w:before="25" w:line="220" w:lineRule="auto"/>
              <w:ind w:left="474"/>
            </w:pPr>
            <w:r>
              <w:rPr>
                <w:spacing w:val="3"/>
              </w:rPr>
              <w:t>生物航空煤油</w:t>
            </w:r>
          </w:p>
          <w:p w14:paraId="67B804FE">
            <w:pPr>
              <w:pStyle w:val="6"/>
              <w:spacing w:before="45" w:line="220" w:lineRule="auto"/>
              <w:ind w:left="474"/>
            </w:pPr>
            <w:r>
              <w:rPr>
                <w:spacing w:val="-1"/>
              </w:rPr>
              <w:t>其他液态生物燃料</w:t>
            </w:r>
          </w:p>
          <w:p w14:paraId="424B9ABD">
            <w:pPr>
              <w:pStyle w:val="6"/>
              <w:spacing w:before="25" w:line="260" w:lineRule="exact"/>
              <w:ind w:left="285"/>
            </w:pPr>
            <w:r>
              <w:rPr>
                <w:spacing w:val="-2"/>
                <w:position w:val="5"/>
              </w:rPr>
              <w:t>气态生物燃料</w:t>
            </w:r>
          </w:p>
          <w:p w14:paraId="67779167">
            <w:pPr>
              <w:pStyle w:val="6"/>
              <w:spacing w:line="220" w:lineRule="auto"/>
              <w:ind w:left="105"/>
            </w:pPr>
            <w:r>
              <w:rPr>
                <w:spacing w:val="-3"/>
              </w:rPr>
              <w:t>发电量</w:t>
            </w:r>
          </w:p>
          <w:p w14:paraId="6D9C7A7E">
            <w:pPr>
              <w:pStyle w:val="6"/>
              <w:spacing w:before="36" w:line="219" w:lineRule="auto"/>
              <w:ind w:left="285"/>
            </w:pPr>
            <w:r>
              <w:rPr>
                <w:spacing w:val="-2"/>
              </w:rPr>
              <w:t>火力发电量</w:t>
            </w:r>
          </w:p>
          <w:p w14:paraId="0EC0B5FA">
            <w:pPr>
              <w:pStyle w:val="6"/>
              <w:spacing w:before="36" w:line="220" w:lineRule="auto"/>
              <w:ind w:left="474"/>
            </w:pPr>
            <w:r>
              <w:rPr>
                <w:spacing w:val="-2"/>
              </w:rPr>
              <w:t>燃煤发电量</w:t>
            </w:r>
          </w:p>
          <w:p w14:paraId="102CF83A">
            <w:pPr>
              <w:pStyle w:val="6"/>
              <w:spacing w:before="26" w:line="260" w:lineRule="exact"/>
              <w:ind w:left="655"/>
            </w:pPr>
            <w:r>
              <w:rPr>
                <w:spacing w:val="-1"/>
                <w:position w:val="5"/>
              </w:rPr>
              <w:t>其中：煤矸石发电量</w:t>
            </w:r>
          </w:p>
          <w:p w14:paraId="471253EA">
            <w:pPr>
              <w:pStyle w:val="6"/>
              <w:spacing w:line="220" w:lineRule="auto"/>
              <w:ind w:left="464"/>
            </w:pPr>
            <w:r>
              <w:rPr>
                <w:spacing w:val="-2"/>
              </w:rPr>
              <w:t>燃油发电量</w:t>
            </w:r>
          </w:p>
          <w:p w14:paraId="2D3B1AE8">
            <w:pPr>
              <w:pStyle w:val="6"/>
              <w:spacing w:before="26" w:line="220" w:lineRule="auto"/>
              <w:ind w:left="464"/>
            </w:pPr>
            <w:r>
              <w:rPr>
                <w:spacing w:val="-2"/>
              </w:rPr>
              <w:t>燃气发电量</w:t>
            </w:r>
          </w:p>
          <w:p w14:paraId="0C0523F9">
            <w:pPr>
              <w:pStyle w:val="6"/>
              <w:spacing w:before="35" w:line="219" w:lineRule="auto"/>
              <w:ind w:left="655"/>
            </w:pPr>
            <w:r>
              <w:rPr>
                <w:spacing w:val="-1"/>
              </w:rPr>
              <w:t>其中：煤层气发电量</w:t>
            </w:r>
          </w:p>
          <w:p w14:paraId="5234D6F4">
            <w:pPr>
              <w:pStyle w:val="6"/>
              <w:spacing w:before="46" w:line="227" w:lineRule="auto"/>
              <w:ind w:left="454" w:right="452" w:firstLine="20"/>
            </w:pPr>
            <w:r>
              <w:rPr>
                <w:spacing w:val="-1"/>
              </w:rPr>
              <w:t>余热、余压、余气发电量</w:t>
            </w:r>
            <w:r>
              <w:rPr>
                <w:spacing w:val="2"/>
              </w:rPr>
              <w:t xml:space="preserve"> </w:t>
            </w:r>
            <w:r>
              <w:rPr>
                <w:spacing w:val="-2"/>
              </w:rPr>
              <w:t>垃圾焚烧发电量</w:t>
            </w:r>
          </w:p>
          <w:p w14:paraId="1DBD0F7B">
            <w:pPr>
              <w:pStyle w:val="6"/>
              <w:spacing w:before="48" w:line="220" w:lineRule="auto"/>
              <w:ind w:left="464"/>
            </w:pPr>
            <w:r>
              <w:rPr>
                <w:spacing w:val="-2"/>
              </w:rPr>
              <w:t>生物质发电量</w:t>
            </w:r>
          </w:p>
          <w:p w14:paraId="36CFCEB2">
            <w:pPr>
              <w:pStyle w:val="6"/>
              <w:spacing w:before="25" w:line="260" w:lineRule="exact"/>
              <w:ind w:left="655"/>
            </w:pPr>
            <w:r>
              <w:rPr>
                <w:spacing w:val="-1"/>
                <w:position w:val="5"/>
              </w:rPr>
              <w:t>其中：沼气发电量</w:t>
            </w:r>
          </w:p>
          <w:p w14:paraId="1C769275">
            <w:pPr>
              <w:pStyle w:val="6"/>
              <w:spacing w:line="219" w:lineRule="auto"/>
              <w:ind w:left="285"/>
            </w:pPr>
            <w:r>
              <w:rPr>
                <w:spacing w:val="-2"/>
              </w:rPr>
              <w:t>水力发电量</w:t>
            </w:r>
          </w:p>
          <w:p w14:paraId="7DB494C2">
            <w:pPr>
              <w:pStyle w:val="6"/>
              <w:spacing w:before="26" w:line="219" w:lineRule="auto"/>
              <w:ind w:left="474"/>
            </w:pPr>
            <w:r>
              <w:rPr>
                <w:spacing w:val="-1"/>
              </w:rPr>
              <w:t>其中：抽水蓄能发电量</w:t>
            </w:r>
          </w:p>
          <w:p w14:paraId="0E7A65B8">
            <w:pPr>
              <w:pStyle w:val="6"/>
              <w:spacing w:before="47" w:line="220" w:lineRule="auto"/>
              <w:ind w:left="285"/>
            </w:pPr>
            <w:r>
              <w:rPr>
                <w:spacing w:val="-2"/>
              </w:rPr>
              <w:t>核能发电量</w:t>
            </w:r>
          </w:p>
          <w:p w14:paraId="21EAEFD5">
            <w:pPr>
              <w:pStyle w:val="6"/>
              <w:spacing w:before="25" w:line="219" w:lineRule="auto"/>
              <w:ind w:left="285"/>
            </w:pPr>
            <w:r>
              <w:rPr>
                <w:spacing w:val="-2"/>
              </w:rPr>
              <w:t>风力发电量</w:t>
            </w:r>
          </w:p>
          <w:p w14:paraId="4AD56ABB">
            <w:pPr>
              <w:pStyle w:val="6"/>
              <w:spacing w:before="47" w:line="239" w:lineRule="exact"/>
              <w:ind w:left="285"/>
            </w:pPr>
            <w:r>
              <w:rPr>
                <w:spacing w:val="-1"/>
                <w:position w:val="4"/>
              </w:rPr>
              <w:t>太阳能发电量</w:t>
            </w:r>
          </w:p>
          <w:p w14:paraId="4C94E14A">
            <w:pPr>
              <w:pStyle w:val="6"/>
              <w:spacing w:before="1" w:line="219" w:lineRule="auto"/>
              <w:ind w:left="285"/>
            </w:pPr>
            <w:r>
              <w:rPr>
                <w:spacing w:val="-1"/>
              </w:rPr>
              <w:t>潮汐能发电量</w:t>
            </w:r>
          </w:p>
          <w:p w14:paraId="24DD7569">
            <w:pPr>
              <w:pStyle w:val="6"/>
              <w:spacing w:before="27" w:line="220" w:lineRule="auto"/>
              <w:ind w:left="285"/>
            </w:pPr>
            <w:r>
              <w:rPr>
                <w:spacing w:val="-1"/>
              </w:rPr>
              <w:t>地热能发电量</w:t>
            </w:r>
          </w:p>
          <w:p w14:paraId="7026C72E">
            <w:pPr>
              <w:pStyle w:val="6"/>
              <w:spacing w:before="45" w:line="220" w:lineRule="auto"/>
              <w:ind w:left="285"/>
            </w:pPr>
            <w:r>
              <w:rPr>
                <w:spacing w:val="-2"/>
              </w:rPr>
              <w:t>其他发电量</w:t>
            </w:r>
          </w:p>
          <w:p w14:paraId="0CB9E72C">
            <w:pPr>
              <w:pStyle w:val="6"/>
              <w:spacing w:before="25" w:line="219" w:lineRule="auto"/>
              <w:ind w:left="95"/>
            </w:pPr>
            <w:r>
              <w:rPr>
                <w:spacing w:val="7"/>
              </w:rPr>
              <w:t>热力</w:t>
            </w:r>
          </w:p>
          <w:p w14:paraId="0DA2C1E9">
            <w:pPr>
              <w:pStyle w:val="6"/>
              <w:spacing w:before="46" w:line="219" w:lineRule="auto"/>
              <w:ind w:left="285"/>
            </w:pPr>
            <w:r>
              <w:rPr>
                <w:spacing w:val="-2"/>
              </w:rPr>
              <w:t>太阳能供热</w:t>
            </w:r>
          </w:p>
          <w:p w14:paraId="7E779243">
            <w:pPr>
              <w:pStyle w:val="6"/>
              <w:spacing w:before="36" w:line="250" w:lineRule="exact"/>
              <w:ind w:left="285"/>
            </w:pPr>
            <w:r>
              <w:rPr>
                <w:spacing w:val="-2"/>
                <w:position w:val="5"/>
              </w:rPr>
              <w:t>生物质能供热</w:t>
            </w:r>
          </w:p>
          <w:p w14:paraId="540BF22B">
            <w:pPr>
              <w:pStyle w:val="6"/>
              <w:spacing w:before="1" w:line="218" w:lineRule="auto"/>
              <w:ind w:left="285"/>
            </w:pPr>
            <w:r>
              <w:rPr>
                <w:spacing w:val="-2"/>
              </w:rPr>
              <w:t>地热能供热</w:t>
            </w:r>
          </w:p>
          <w:p w14:paraId="4F10BE60">
            <w:pPr>
              <w:pStyle w:val="6"/>
              <w:spacing w:before="37" w:line="250" w:lineRule="exact"/>
              <w:ind w:left="285"/>
            </w:pPr>
            <w:r>
              <w:rPr>
                <w:spacing w:val="-2"/>
                <w:position w:val="5"/>
              </w:rPr>
              <w:t>化石燃料供热</w:t>
            </w:r>
          </w:p>
          <w:p w14:paraId="3AB94334">
            <w:pPr>
              <w:pStyle w:val="6"/>
              <w:spacing w:line="218" w:lineRule="auto"/>
              <w:ind w:left="285"/>
            </w:pPr>
            <w:r>
              <w:rPr>
                <w:spacing w:val="-1"/>
              </w:rPr>
              <w:t>废料燃烧供热</w:t>
            </w:r>
          </w:p>
          <w:p w14:paraId="5CBC7A6A">
            <w:pPr>
              <w:pStyle w:val="6"/>
              <w:spacing w:before="27" w:line="219" w:lineRule="auto"/>
              <w:ind w:left="285"/>
            </w:pPr>
            <w:r>
              <w:rPr>
                <w:spacing w:val="1"/>
              </w:rPr>
              <w:t>电热锅炉供热</w:t>
            </w:r>
          </w:p>
          <w:p w14:paraId="6324763A">
            <w:pPr>
              <w:pStyle w:val="6"/>
              <w:spacing w:before="36" w:line="219" w:lineRule="auto"/>
              <w:ind w:left="285"/>
            </w:pPr>
            <w:r>
              <w:rPr>
                <w:spacing w:val="2"/>
              </w:rPr>
              <w:t>热泵供热</w:t>
            </w:r>
          </w:p>
          <w:p w14:paraId="151A24FC">
            <w:pPr>
              <w:pStyle w:val="6"/>
              <w:spacing w:before="37" w:line="240" w:lineRule="exact"/>
              <w:ind w:left="285"/>
            </w:pPr>
            <w:r>
              <w:rPr>
                <w:spacing w:val="-2"/>
                <w:position w:val="4"/>
              </w:rPr>
              <w:t>余热余压供热</w:t>
            </w:r>
          </w:p>
          <w:p w14:paraId="61BE9A73">
            <w:pPr>
              <w:pStyle w:val="6"/>
              <w:spacing w:before="1" w:line="218" w:lineRule="auto"/>
              <w:ind w:left="285"/>
            </w:pPr>
            <w:r>
              <w:rPr>
                <w:spacing w:val="-2"/>
              </w:rPr>
              <w:t>其他能源供热</w:t>
            </w:r>
          </w:p>
          <w:p w14:paraId="2BA0EEAD">
            <w:pPr>
              <w:pStyle w:val="6"/>
              <w:spacing w:before="48" w:line="221" w:lineRule="auto"/>
              <w:ind w:left="115"/>
            </w:pPr>
            <w:r>
              <w:rPr>
                <w:spacing w:val="-2"/>
              </w:rPr>
              <w:t>氢能</w:t>
            </w:r>
          </w:p>
          <w:p w14:paraId="7F9FA00D">
            <w:pPr>
              <w:pStyle w:val="6"/>
              <w:spacing w:before="35" w:line="221" w:lineRule="auto"/>
              <w:ind w:left="285"/>
            </w:pPr>
            <w:r>
              <w:rPr>
                <w:spacing w:val="-2"/>
              </w:rPr>
              <w:t>氢气</w:t>
            </w:r>
          </w:p>
          <w:p w14:paraId="32294755">
            <w:pPr>
              <w:pStyle w:val="6"/>
              <w:spacing w:before="24" w:line="220" w:lineRule="auto"/>
              <w:ind w:left="454"/>
            </w:pPr>
            <w:r>
              <w:rPr>
                <w:spacing w:val="-2"/>
              </w:rPr>
              <w:t>煤制氢</w:t>
            </w:r>
          </w:p>
          <w:p w14:paraId="50A75008">
            <w:pPr>
              <w:pStyle w:val="6"/>
              <w:spacing w:before="36" w:line="259" w:lineRule="exact"/>
              <w:ind w:left="464"/>
            </w:pPr>
            <w:r>
              <w:rPr>
                <w:spacing w:val="-2"/>
                <w:position w:val="5"/>
              </w:rPr>
              <w:t>天然气制氢</w:t>
            </w:r>
          </w:p>
          <w:p w14:paraId="20B26CEF">
            <w:pPr>
              <w:pStyle w:val="6"/>
              <w:spacing w:line="219" w:lineRule="auto"/>
              <w:ind w:left="474"/>
            </w:pPr>
            <w:r>
              <w:rPr>
                <w:spacing w:val="1"/>
              </w:rPr>
              <w:t>电解水制氢</w:t>
            </w:r>
          </w:p>
          <w:p w14:paraId="08BA1B45">
            <w:pPr>
              <w:pStyle w:val="6"/>
              <w:spacing w:before="27" w:line="219" w:lineRule="auto"/>
              <w:jc w:val="right"/>
            </w:pPr>
            <w:r>
              <w:rPr>
                <w:spacing w:val="-4"/>
              </w:rPr>
              <w:t>其中：可再生能源电解水制氢</w:t>
            </w:r>
          </w:p>
          <w:p w14:paraId="09CB88F3">
            <w:pPr>
              <w:pStyle w:val="6"/>
              <w:spacing w:before="46" w:line="240" w:lineRule="exact"/>
              <w:ind w:left="474"/>
            </w:pPr>
            <w:r>
              <w:rPr>
                <w:spacing w:val="-2"/>
                <w:position w:val="4"/>
              </w:rPr>
              <w:t>混合气体分离制氢</w:t>
            </w:r>
          </w:p>
          <w:p w14:paraId="5F257A75">
            <w:pPr>
              <w:pStyle w:val="6"/>
              <w:spacing w:line="220" w:lineRule="auto"/>
              <w:ind w:left="474"/>
            </w:pPr>
            <w:r>
              <w:rPr>
                <w:spacing w:val="-1"/>
              </w:rPr>
              <w:t>石油化工原料制氢</w:t>
            </w:r>
          </w:p>
          <w:p w14:paraId="359495F0">
            <w:pPr>
              <w:pStyle w:val="6"/>
              <w:spacing w:before="46" w:line="219" w:lineRule="auto"/>
              <w:ind w:left="474"/>
            </w:pPr>
            <w:r>
              <w:rPr>
                <w:spacing w:val="-2"/>
              </w:rPr>
              <w:t>工业副产氢</w:t>
            </w:r>
          </w:p>
          <w:p w14:paraId="08A3B17F">
            <w:pPr>
              <w:pStyle w:val="6"/>
              <w:spacing w:before="26" w:line="250" w:lineRule="exact"/>
              <w:ind w:left="464"/>
            </w:pPr>
            <w:r>
              <w:rPr>
                <w:spacing w:val="-2"/>
                <w:position w:val="4"/>
              </w:rPr>
              <w:t>太阳能制氢</w:t>
            </w:r>
          </w:p>
          <w:p w14:paraId="2E5D1A91">
            <w:pPr>
              <w:pStyle w:val="6"/>
              <w:spacing w:before="1" w:line="220" w:lineRule="auto"/>
              <w:ind w:left="474"/>
            </w:pPr>
            <w:r>
              <w:rPr>
                <w:spacing w:val="-2"/>
              </w:rPr>
              <w:t>核能制氢</w:t>
            </w:r>
          </w:p>
          <w:p w14:paraId="1B493CCC">
            <w:pPr>
              <w:pStyle w:val="6"/>
              <w:spacing w:before="35" w:line="220" w:lineRule="auto"/>
              <w:ind w:left="474"/>
            </w:pPr>
            <w:r>
              <w:rPr>
                <w:spacing w:val="-2"/>
              </w:rPr>
              <w:t>其他方式制氢</w:t>
            </w:r>
          </w:p>
        </w:tc>
        <w:tc>
          <w:tcPr>
            <w:tcW w:w="940" w:type="dxa"/>
            <w:vAlign w:val="top"/>
          </w:tcPr>
          <w:p w14:paraId="438B79F2">
            <w:pPr>
              <w:spacing w:line="244" w:lineRule="auto"/>
              <w:rPr>
                <w:rFonts w:ascii="Arial"/>
                <w:sz w:val="21"/>
              </w:rPr>
            </w:pPr>
            <w:r>
              <w:pict>
                <v:shape id="_x0000_s1041" o:spid="_x0000_s1041" o:spt="202" type="#_x0000_t202" style="position:absolute;left:0pt;margin-left:18pt;margin-top:0.7pt;height:98.75pt;width:9.55pt;mso-position-horizontal-relative:page;mso-position-vertical-relative:page;z-index:251748352;mso-width-relative:page;mso-height-relative:page;" filled="f" stroked="f" coordsize="21600,21600">
                  <v:path/>
                  <v:fill on="f" focussize="0,0"/>
                  <v:stroke on="f"/>
                  <v:imagedata o:title=""/>
                  <o:lock v:ext="edit" aspectratio="f"/>
                  <v:textbox inset="0mm,0mm,0mm,0mm" style="layout-flow:vertical-ideographic;">
                    <w:txbxContent>
                      <w:p w14:paraId="67D7499E">
                        <w:pPr>
                          <w:pStyle w:val="6"/>
                          <w:spacing w:before="20" w:line="225" w:lineRule="auto"/>
                          <w:ind w:left="20"/>
                          <w:rPr>
                            <w:sz w:val="12"/>
                            <w:szCs w:val="12"/>
                          </w:rPr>
                        </w:pPr>
                        <w:r>
                          <w:rPr>
                            <w:sz w:val="12"/>
                            <w:szCs w:val="12"/>
                          </w:rPr>
                          <w:t>吨</w:t>
                        </w:r>
                        <w:r>
                          <w:rPr>
                            <w:spacing w:val="9"/>
                            <w:sz w:val="12"/>
                            <w:szCs w:val="12"/>
                          </w:rPr>
                          <w:t xml:space="preserve">  </w:t>
                        </w:r>
                        <w:r>
                          <w:rPr>
                            <w:sz w:val="12"/>
                            <w:szCs w:val="12"/>
                          </w:rPr>
                          <w:t>一</w:t>
                        </w:r>
                        <w:r>
                          <w:rPr>
                            <w:spacing w:val="9"/>
                            <w:sz w:val="12"/>
                            <w:szCs w:val="12"/>
                          </w:rPr>
                          <w:t xml:space="preserve">  </w:t>
                        </w:r>
                        <w:r>
                          <w:rPr>
                            <w:sz w:val="12"/>
                            <w:szCs w:val="12"/>
                          </w:rPr>
                          <w:t>吨</w:t>
                        </w:r>
                        <w:r>
                          <w:rPr>
                            <w:spacing w:val="10"/>
                            <w:sz w:val="12"/>
                            <w:szCs w:val="12"/>
                          </w:rPr>
                          <w:t xml:space="preserve">  </w:t>
                        </w:r>
                        <w:r>
                          <w:rPr>
                            <w:sz w:val="12"/>
                            <w:szCs w:val="12"/>
                          </w:rPr>
                          <w:t>吨</w:t>
                        </w:r>
                        <w:r>
                          <w:rPr>
                            <w:spacing w:val="10"/>
                            <w:sz w:val="12"/>
                            <w:szCs w:val="12"/>
                          </w:rPr>
                          <w:t xml:space="preserve">  </w:t>
                        </w:r>
                        <w:r>
                          <w:rPr>
                            <w:sz w:val="12"/>
                            <w:szCs w:val="12"/>
                          </w:rPr>
                          <w:t>吨</w:t>
                        </w:r>
                        <w:r>
                          <w:rPr>
                            <w:spacing w:val="9"/>
                            <w:sz w:val="12"/>
                            <w:szCs w:val="12"/>
                          </w:rPr>
                          <w:t xml:space="preserve">  </w:t>
                        </w:r>
                        <w:r>
                          <w:rPr>
                            <w:sz w:val="12"/>
                            <w:szCs w:val="12"/>
                          </w:rPr>
                          <w:t>吨</w:t>
                        </w:r>
                        <w:r>
                          <w:rPr>
                            <w:spacing w:val="10"/>
                            <w:sz w:val="12"/>
                            <w:szCs w:val="12"/>
                          </w:rPr>
                          <w:t xml:space="preserve">  </w:t>
                        </w:r>
                        <w:r>
                          <w:rPr>
                            <w:sz w:val="12"/>
                            <w:szCs w:val="12"/>
                          </w:rPr>
                          <w:t>吨</w:t>
                        </w:r>
                        <w:r>
                          <w:rPr>
                            <w:spacing w:val="9"/>
                            <w:sz w:val="12"/>
                            <w:szCs w:val="12"/>
                          </w:rPr>
                          <w:t xml:space="preserve">  </w:t>
                        </w:r>
                        <w:r>
                          <w:rPr>
                            <w:sz w:val="12"/>
                            <w:szCs w:val="12"/>
                          </w:rPr>
                          <w:t>吨</w:t>
                        </w:r>
                      </w:p>
                    </w:txbxContent>
                  </v:textbox>
                </v:shape>
              </w:pict>
            </w:r>
          </w:p>
          <w:p w14:paraId="1ED80352">
            <w:pPr>
              <w:spacing w:line="244" w:lineRule="auto"/>
              <w:rPr>
                <w:rFonts w:ascii="Arial"/>
                <w:sz w:val="21"/>
              </w:rPr>
            </w:pPr>
          </w:p>
          <w:p w14:paraId="79BCC515">
            <w:pPr>
              <w:spacing w:line="244" w:lineRule="auto"/>
              <w:rPr>
                <w:rFonts w:ascii="Arial"/>
                <w:sz w:val="21"/>
              </w:rPr>
            </w:pPr>
          </w:p>
          <w:p w14:paraId="1D311B9C">
            <w:pPr>
              <w:spacing w:line="244" w:lineRule="auto"/>
              <w:rPr>
                <w:rFonts w:ascii="Arial"/>
                <w:sz w:val="21"/>
              </w:rPr>
            </w:pPr>
          </w:p>
          <w:p w14:paraId="4E9D475D">
            <w:pPr>
              <w:spacing w:line="244" w:lineRule="auto"/>
              <w:rPr>
                <w:rFonts w:ascii="Arial"/>
                <w:sz w:val="21"/>
              </w:rPr>
            </w:pPr>
          </w:p>
          <w:p w14:paraId="33011E6D">
            <w:pPr>
              <w:spacing w:line="244" w:lineRule="auto"/>
              <w:rPr>
                <w:rFonts w:ascii="Arial"/>
                <w:sz w:val="21"/>
              </w:rPr>
            </w:pPr>
          </w:p>
          <w:p w14:paraId="4A5BEC3B">
            <w:pPr>
              <w:spacing w:line="245" w:lineRule="auto"/>
              <w:rPr>
                <w:rFonts w:ascii="Arial"/>
                <w:sz w:val="21"/>
              </w:rPr>
            </w:pPr>
          </w:p>
          <w:p w14:paraId="6DB610D8">
            <w:pPr>
              <w:spacing w:line="245" w:lineRule="auto"/>
              <w:rPr>
                <w:rFonts w:ascii="Arial"/>
                <w:sz w:val="21"/>
              </w:rPr>
            </w:pPr>
          </w:p>
          <w:p w14:paraId="092CF27F">
            <w:pPr>
              <w:pStyle w:val="6"/>
              <w:spacing w:before="58" w:line="255" w:lineRule="auto"/>
              <w:ind w:left="105" w:right="94"/>
              <w:jc w:val="both"/>
            </w:pPr>
            <w:r>
              <w:rPr>
                <w:spacing w:val="-3"/>
              </w:rPr>
              <w:t>万立方米</w:t>
            </w:r>
            <w:r>
              <w:t xml:space="preserve"> </w:t>
            </w:r>
            <w:r>
              <w:rPr>
                <w:spacing w:val="2"/>
              </w:rPr>
              <w:t>万千瓦时</w:t>
            </w:r>
            <w:r>
              <w:rPr>
                <w:spacing w:val="1"/>
              </w:rPr>
              <w:t xml:space="preserve"> </w:t>
            </w:r>
            <w:r>
              <w:rPr>
                <w:spacing w:val="2"/>
              </w:rPr>
              <w:t>万千瓦时</w:t>
            </w:r>
            <w:r>
              <w:rPr>
                <w:spacing w:val="1"/>
              </w:rPr>
              <w:t xml:space="preserve"> </w:t>
            </w:r>
            <w:r>
              <w:rPr>
                <w:spacing w:val="2"/>
              </w:rPr>
              <w:t>万千瓦时</w:t>
            </w:r>
            <w:r>
              <w:rPr>
                <w:spacing w:val="1"/>
              </w:rPr>
              <w:t xml:space="preserve"> </w:t>
            </w:r>
            <w:r>
              <w:rPr>
                <w:spacing w:val="2"/>
              </w:rPr>
              <w:t>万千瓦时</w:t>
            </w:r>
            <w:r>
              <w:rPr>
                <w:spacing w:val="1"/>
              </w:rPr>
              <w:t xml:space="preserve"> </w:t>
            </w:r>
            <w:r>
              <w:rPr>
                <w:spacing w:val="2"/>
              </w:rPr>
              <w:t>万千瓦时</w:t>
            </w:r>
            <w:r>
              <w:rPr>
                <w:spacing w:val="1"/>
              </w:rPr>
              <w:t xml:space="preserve"> </w:t>
            </w:r>
            <w:r>
              <w:rPr>
                <w:spacing w:val="2"/>
              </w:rPr>
              <w:t>万千瓦时</w:t>
            </w:r>
            <w:r>
              <w:rPr>
                <w:spacing w:val="1"/>
              </w:rPr>
              <w:t xml:space="preserve"> </w:t>
            </w:r>
            <w:r>
              <w:rPr>
                <w:spacing w:val="2"/>
              </w:rPr>
              <w:t>万千瓦时</w:t>
            </w:r>
            <w:r>
              <w:rPr>
                <w:spacing w:val="1"/>
              </w:rPr>
              <w:t xml:space="preserve"> </w:t>
            </w:r>
            <w:r>
              <w:rPr>
                <w:spacing w:val="2"/>
              </w:rPr>
              <w:t>万千瓦时</w:t>
            </w:r>
            <w:r>
              <w:rPr>
                <w:spacing w:val="1"/>
              </w:rPr>
              <w:t xml:space="preserve"> </w:t>
            </w:r>
            <w:r>
              <w:rPr>
                <w:spacing w:val="2"/>
              </w:rPr>
              <w:t>万千瓦时</w:t>
            </w:r>
            <w:r>
              <w:rPr>
                <w:spacing w:val="1"/>
              </w:rPr>
              <w:t xml:space="preserve"> </w:t>
            </w:r>
            <w:r>
              <w:rPr>
                <w:spacing w:val="2"/>
              </w:rPr>
              <w:t>万千瓦时</w:t>
            </w:r>
            <w:r>
              <w:rPr>
                <w:spacing w:val="1"/>
              </w:rPr>
              <w:t xml:space="preserve"> </w:t>
            </w:r>
            <w:r>
              <w:rPr>
                <w:spacing w:val="2"/>
              </w:rPr>
              <w:t>万千瓦时</w:t>
            </w:r>
            <w:r>
              <w:rPr>
                <w:spacing w:val="1"/>
              </w:rPr>
              <w:t xml:space="preserve"> </w:t>
            </w:r>
            <w:r>
              <w:rPr>
                <w:spacing w:val="2"/>
              </w:rPr>
              <w:t>万千瓦时</w:t>
            </w:r>
            <w:r>
              <w:rPr>
                <w:spacing w:val="1"/>
              </w:rPr>
              <w:t xml:space="preserve"> </w:t>
            </w:r>
            <w:r>
              <w:rPr>
                <w:spacing w:val="2"/>
              </w:rPr>
              <w:t>万千瓦时</w:t>
            </w:r>
            <w:r>
              <w:rPr>
                <w:spacing w:val="1"/>
              </w:rPr>
              <w:t xml:space="preserve"> </w:t>
            </w:r>
            <w:r>
              <w:rPr>
                <w:spacing w:val="2"/>
              </w:rPr>
              <w:t>万千瓦时</w:t>
            </w:r>
            <w:r>
              <w:rPr>
                <w:spacing w:val="1"/>
              </w:rPr>
              <w:t xml:space="preserve"> </w:t>
            </w:r>
            <w:r>
              <w:rPr>
                <w:spacing w:val="2"/>
              </w:rPr>
              <w:t>万千瓦时</w:t>
            </w:r>
            <w:r>
              <w:rPr>
                <w:spacing w:val="1"/>
              </w:rPr>
              <w:t xml:space="preserve"> </w:t>
            </w:r>
            <w:r>
              <w:rPr>
                <w:spacing w:val="2"/>
              </w:rPr>
              <w:t>万千瓦时</w:t>
            </w:r>
            <w:r>
              <w:rPr>
                <w:spacing w:val="1"/>
              </w:rPr>
              <w:t xml:space="preserve"> </w:t>
            </w:r>
            <w:r>
              <w:rPr>
                <w:spacing w:val="2"/>
              </w:rPr>
              <w:t>万千瓦时</w:t>
            </w:r>
            <w:r>
              <w:rPr>
                <w:spacing w:val="1"/>
              </w:rPr>
              <w:t xml:space="preserve"> </w:t>
            </w:r>
            <w:r>
              <w:rPr>
                <w:spacing w:val="2"/>
              </w:rPr>
              <w:t>万千瓦时</w:t>
            </w:r>
            <w:r>
              <w:rPr>
                <w:spacing w:val="1"/>
              </w:rPr>
              <w:t xml:space="preserve"> </w:t>
            </w:r>
            <w:r>
              <w:rPr>
                <w:spacing w:val="2"/>
              </w:rPr>
              <w:t>万千瓦时</w:t>
            </w:r>
            <w:r>
              <w:rPr>
                <w:spacing w:val="1"/>
              </w:rPr>
              <w:t xml:space="preserve"> </w:t>
            </w:r>
            <w:r>
              <w:rPr>
                <w:spacing w:val="2"/>
              </w:rPr>
              <w:t>百万千焦</w:t>
            </w:r>
            <w:r>
              <w:rPr>
                <w:spacing w:val="1"/>
              </w:rPr>
              <w:t xml:space="preserve"> </w:t>
            </w:r>
            <w:r>
              <w:rPr>
                <w:spacing w:val="2"/>
              </w:rPr>
              <w:t>百万千焦</w:t>
            </w:r>
            <w:r>
              <w:rPr>
                <w:spacing w:val="1"/>
              </w:rPr>
              <w:t xml:space="preserve"> </w:t>
            </w:r>
            <w:r>
              <w:rPr>
                <w:spacing w:val="2"/>
              </w:rPr>
              <w:t>百万千焦</w:t>
            </w:r>
            <w:r>
              <w:rPr>
                <w:spacing w:val="1"/>
              </w:rPr>
              <w:t xml:space="preserve"> </w:t>
            </w:r>
            <w:r>
              <w:rPr>
                <w:spacing w:val="2"/>
              </w:rPr>
              <w:t>百万千焦</w:t>
            </w:r>
            <w:r>
              <w:rPr>
                <w:spacing w:val="1"/>
              </w:rPr>
              <w:t xml:space="preserve"> </w:t>
            </w:r>
            <w:r>
              <w:rPr>
                <w:spacing w:val="2"/>
              </w:rPr>
              <w:t>百万千焦</w:t>
            </w:r>
            <w:r>
              <w:rPr>
                <w:spacing w:val="1"/>
              </w:rPr>
              <w:t xml:space="preserve"> </w:t>
            </w:r>
            <w:r>
              <w:rPr>
                <w:spacing w:val="2"/>
              </w:rPr>
              <w:t>百万千焦</w:t>
            </w:r>
            <w:r>
              <w:rPr>
                <w:spacing w:val="1"/>
              </w:rPr>
              <w:t xml:space="preserve"> </w:t>
            </w:r>
            <w:r>
              <w:rPr>
                <w:spacing w:val="2"/>
              </w:rPr>
              <w:t>百万千焦</w:t>
            </w:r>
            <w:r>
              <w:rPr>
                <w:spacing w:val="1"/>
              </w:rPr>
              <w:t xml:space="preserve"> </w:t>
            </w:r>
            <w:r>
              <w:rPr>
                <w:spacing w:val="2"/>
              </w:rPr>
              <w:t>百万千焦</w:t>
            </w:r>
            <w:r>
              <w:rPr>
                <w:spacing w:val="1"/>
              </w:rPr>
              <w:t xml:space="preserve"> </w:t>
            </w:r>
            <w:r>
              <w:rPr>
                <w:spacing w:val="2"/>
              </w:rPr>
              <w:t>百万千焦</w:t>
            </w:r>
            <w:r>
              <w:rPr>
                <w:spacing w:val="1"/>
              </w:rPr>
              <w:t xml:space="preserve"> </w:t>
            </w:r>
            <w:r>
              <w:rPr>
                <w:spacing w:val="2"/>
              </w:rPr>
              <w:t>百万千焦</w:t>
            </w:r>
          </w:p>
          <w:p w14:paraId="6BD205E5">
            <w:pPr>
              <w:pStyle w:val="6"/>
              <w:spacing w:before="285" w:line="252" w:lineRule="auto"/>
              <w:ind w:left="105" w:right="116"/>
              <w:jc w:val="both"/>
            </w:pPr>
            <w:r>
              <w:rPr>
                <w:spacing w:val="-3"/>
              </w:rPr>
              <w:t>万立方米</w:t>
            </w:r>
            <w:r>
              <w:t xml:space="preserve"> </w:t>
            </w:r>
            <w:r>
              <w:rPr>
                <w:spacing w:val="-3"/>
              </w:rPr>
              <w:t>万立方米</w:t>
            </w:r>
            <w:r>
              <w:t xml:space="preserve"> </w:t>
            </w:r>
            <w:r>
              <w:rPr>
                <w:spacing w:val="-3"/>
              </w:rPr>
              <w:t>万立方米</w:t>
            </w:r>
            <w:r>
              <w:t xml:space="preserve"> </w:t>
            </w:r>
            <w:r>
              <w:rPr>
                <w:spacing w:val="-3"/>
              </w:rPr>
              <w:t>万立方米</w:t>
            </w:r>
            <w:r>
              <w:t xml:space="preserve"> </w:t>
            </w:r>
            <w:r>
              <w:rPr>
                <w:spacing w:val="-3"/>
              </w:rPr>
              <w:t>万立方米</w:t>
            </w:r>
            <w:r>
              <w:t xml:space="preserve"> </w:t>
            </w:r>
            <w:r>
              <w:rPr>
                <w:spacing w:val="-3"/>
              </w:rPr>
              <w:t>万立方米</w:t>
            </w:r>
            <w:r>
              <w:t xml:space="preserve"> </w:t>
            </w:r>
            <w:r>
              <w:rPr>
                <w:spacing w:val="-3"/>
              </w:rPr>
              <w:t>万立方米</w:t>
            </w:r>
            <w:r>
              <w:t xml:space="preserve"> </w:t>
            </w:r>
            <w:r>
              <w:rPr>
                <w:spacing w:val="-3"/>
              </w:rPr>
              <w:t>万立方米</w:t>
            </w:r>
            <w:r>
              <w:t xml:space="preserve"> </w:t>
            </w:r>
            <w:r>
              <w:rPr>
                <w:spacing w:val="-3"/>
              </w:rPr>
              <w:t>万立方米</w:t>
            </w:r>
            <w:r>
              <w:t xml:space="preserve"> </w:t>
            </w:r>
            <w:r>
              <w:rPr>
                <w:spacing w:val="-3"/>
              </w:rPr>
              <w:t>万立方米</w:t>
            </w:r>
            <w:r>
              <w:t xml:space="preserve"> </w:t>
            </w:r>
            <w:r>
              <w:rPr>
                <w:spacing w:val="-3"/>
              </w:rPr>
              <w:t>万立方米</w:t>
            </w:r>
          </w:p>
        </w:tc>
        <w:tc>
          <w:tcPr>
            <w:tcW w:w="1340" w:type="dxa"/>
            <w:tcBorders>
              <w:right w:val="nil"/>
            </w:tcBorders>
            <w:vAlign w:val="top"/>
          </w:tcPr>
          <w:p w14:paraId="771C7378">
            <w:pPr>
              <w:pStyle w:val="6"/>
              <w:spacing w:before="114" w:line="183" w:lineRule="auto"/>
              <w:ind w:left="214"/>
            </w:pPr>
            <w:r>
              <w:rPr>
                <w:spacing w:val="-1"/>
              </w:rPr>
              <w:t>2502990000</w:t>
            </w:r>
          </w:p>
          <w:p w14:paraId="3BF73BD7">
            <w:pPr>
              <w:pStyle w:val="6"/>
              <w:spacing w:before="81" w:line="183" w:lineRule="auto"/>
              <w:ind w:left="214"/>
            </w:pPr>
            <w:r>
              <w:rPr>
                <w:spacing w:val="-1"/>
              </w:rPr>
              <w:t>2540000000</w:t>
            </w:r>
          </w:p>
          <w:p w14:paraId="482FF4E8">
            <w:pPr>
              <w:pStyle w:val="6"/>
              <w:spacing w:before="81" w:line="183" w:lineRule="auto"/>
              <w:ind w:left="214"/>
            </w:pPr>
            <w:r>
              <w:rPr>
                <w:spacing w:val="-1"/>
              </w:rPr>
              <w:t>2542000000</w:t>
            </w:r>
          </w:p>
          <w:p w14:paraId="7A738158">
            <w:pPr>
              <w:pStyle w:val="6"/>
              <w:spacing w:before="50" w:line="184" w:lineRule="auto"/>
              <w:ind w:left="214"/>
            </w:pPr>
            <w:r>
              <w:rPr>
                <w:spacing w:val="-1"/>
              </w:rPr>
              <w:t>2541000000</w:t>
            </w:r>
          </w:p>
          <w:p w14:paraId="6484B26A">
            <w:pPr>
              <w:pStyle w:val="6"/>
              <w:spacing w:before="91" w:line="184" w:lineRule="auto"/>
              <w:ind w:left="214"/>
            </w:pPr>
            <w:r>
              <w:rPr>
                <w:spacing w:val="-2"/>
              </w:rPr>
              <w:t>1501020300</w:t>
            </w:r>
          </w:p>
          <w:p w14:paraId="597DDB78">
            <w:pPr>
              <w:pStyle w:val="6"/>
              <w:spacing w:before="50" w:line="184" w:lineRule="auto"/>
              <w:ind w:left="214"/>
            </w:pPr>
            <w:r>
              <w:rPr>
                <w:spacing w:val="-1"/>
              </w:rPr>
              <w:t>2503030101</w:t>
            </w:r>
          </w:p>
          <w:p w14:paraId="4336A0AB">
            <w:pPr>
              <w:pStyle w:val="6"/>
              <w:spacing w:before="81" w:line="184" w:lineRule="auto"/>
              <w:ind w:left="214"/>
            </w:pPr>
            <w:r>
              <w:rPr>
                <w:spacing w:val="-1"/>
              </w:rPr>
              <w:t>2541030000</w:t>
            </w:r>
          </w:p>
          <w:p w14:paraId="7C0FFBEC">
            <w:pPr>
              <w:pStyle w:val="6"/>
              <w:spacing w:before="61" w:line="184" w:lineRule="auto"/>
              <w:ind w:left="214"/>
            </w:pPr>
            <w:r>
              <w:rPr>
                <w:spacing w:val="-1"/>
              </w:rPr>
              <w:t>2541040000</w:t>
            </w:r>
          </w:p>
          <w:p w14:paraId="74AD46DC">
            <w:pPr>
              <w:pStyle w:val="6"/>
              <w:spacing w:before="71" w:line="183" w:lineRule="auto"/>
              <w:ind w:left="214"/>
            </w:pPr>
            <w:r>
              <w:rPr>
                <w:spacing w:val="-1"/>
              </w:rPr>
              <w:t>4520000000</w:t>
            </w:r>
          </w:p>
          <w:p w14:paraId="0ED6CFD3">
            <w:pPr>
              <w:pStyle w:val="6"/>
              <w:spacing w:before="81" w:line="184" w:lineRule="auto"/>
              <w:ind w:left="214"/>
            </w:pPr>
            <w:r>
              <w:rPr>
                <w:spacing w:val="-1"/>
              </w:rPr>
              <w:t>4401010000</w:t>
            </w:r>
          </w:p>
          <w:p w14:paraId="41770DAE">
            <w:pPr>
              <w:pStyle w:val="6"/>
              <w:spacing w:before="60" w:line="184" w:lineRule="auto"/>
              <w:ind w:left="214"/>
            </w:pPr>
            <w:r>
              <w:rPr>
                <w:spacing w:val="-1"/>
              </w:rPr>
              <w:t>4401010100</w:t>
            </w:r>
          </w:p>
          <w:p w14:paraId="0E6579CC">
            <w:pPr>
              <w:pStyle w:val="6"/>
              <w:spacing w:before="61" w:line="184" w:lineRule="auto"/>
              <w:ind w:left="214"/>
            </w:pPr>
            <w:r>
              <w:rPr>
                <w:spacing w:val="-1"/>
              </w:rPr>
              <w:t>4401010101</w:t>
            </w:r>
          </w:p>
          <w:p w14:paraId="1616ACD0">
            <w:pPr>
              <w:pStyle w:val="6"/>
              <w:spacing w:before="81" w:line="184" w:lineRule="auto"/>
              <w:ind w:left="214"/>
            </w:pPr>
            <w:r>
              <w:rPr>
                <w:spacing w:val="-1"/>
              </w:rPr>
              <w:t>4401010105</w:t>
            </w:r>
          </w:p>
          <w:p w14:paraId="28F78BE2">
            <w:pPr>
              <w:pStyle w:val="6"/>
              <w:spacing w:before="80" w:line="184" w:lineRule="auto"/>
              <w:ind w:left="214"/>
            </w:pPr>
            <w:r>
              <w:rPr>
                <w:spacing w:val="-1"/>
              </w:rPr>
              <w:t>4401010102</w:t>
            </w:r>
          </w:p>
          <w:p w14:paraId="3F5F1ABB">
            <w:pPr>
              <w:pStyle w:val="6"/>
              <w:spacing w:before="51" w:line="184" w:lineRule="auto"/>
              <w:ind w:left="214"/>
            </w:pPr>
            <w:r>
              <w:rPr>
                <w:spacing w:val="-1"/>
              </w:rPr>
              <w:t>4401010103</w:t>
            </w:r>
          </w:p>
          <w:p w14:paraId="439B5ACA">
            <w:pPr>
              <w:pStyle w:val="6"/>
              <w:spacing w:before="80" w:line="184" w:lineRule="auto"/>
              <w:ind w:left="214"/>
            </w:pPr>
            <w:r>
              <w:rPr>
                <w:spacing w:val="-1"/>
              </w:rPr>
              <w:t>4401010106</w:t>
            </w:r>
          </w:p>
          <w:p w14:paraId="4AB344F5">
            <w:pPr>
              <w:pStyle w:val="6"/>
              <w:spacing w:before="61" w:line="184" w:lineRule="auto"/>
              <w:ind w:left="214"/>
            </w:pPr>
            <w:r>
              <w:rPr>
                <w:spacing w:val="-1"/>
              </w:rPr>
              <w:t>4401010104</w:t>
            </w:r>
          </w:p>
          <w:p w14:paraId="3779BF02">
            <w:pPr>
              <w:pStyle w:val="6"/>
              <w:spacing w:before="71" w:line="184" w:lineRule="auto"/>
              <w:ind w:left="214"/>
            </w:pPr>
            <w:r>
              <w:rPr>
                <w:spacing w:val="-1"/>
              </w:rPr>
              <w:t>4401010900</w:t>
            </w:r>
          </w:p>
          <w:p w14:paraId="52B98C53">
            <w:pPr>
              <w:pStyle w:val="6"/>
              <w:spacing w:before="80" w:line="184" w:lineRule="auto"/>
              <w:ind w:left="214"/>
            </w:pPr>
            <w:r>
              <w:rPr>
                <w:spacing w:val="-1"/>
              </w:rPr>
              <w:t>4401011000</w:t>
            </w:r>
          </w:p>
          <w:p w14:paraId="1D2C43FB">
            <w:pPr>
              <w:pStyle w:val="6"/>
              <w:spacing w:before="61" w:line="184" w:lineRule="auto"/>
              <w:ind w:left="214"/>
            </w:pPr>
            <w:r>
              <w:rPr>
                <w:spacing w:val="-1"/>
              </w:rPr>
              <w:t>4401010700</w:t>
            </w:r>
          </w:p>
          <w:p w14:paraId="750660F0">
            <w:pPr>
              <w:pStyle w:val="6"/>
              <w:spacing w:before="60" w:line="184" w:lineRule="auto"/>
              <w:ind w:left="214"/>
            </w:pPr>
            <w:r>
              <w:rPr>
                <w:spacing w:val="-1"/>
              </w:rPr>
              <w:t>4401010200</w:t>
            </w:r>
          </w:p>
          <w:p w14:paraId="05462080">
            <w:pPr>
              <w:pStyle w:val="6"/>
              <w:spacing w:before="81" w:line="184" w:lineRule="auto"/>
              <w:ind w:left="214"/>
            </w:pPr>
            <w:r>
              <w:rPr>
                <w:spacing w:val="-1"/>
              </w:rPr>
              <w:t>4401010201</w:t>
            </w:r>
          </w:p>
          <w:p w14:paraId="2E72A923">
            <w:pPr>
              <w:pStyle w:val="6"/>
              <w:spacing w:before="80" w:line="184" w:lineRule="auto"/>
              <w:ind w:left="214"/>
            </w:pPr>
            <w:r>
              <w:rPr>
                <w:spacing w:val="-1"/>
              </w:rPr>
              <w:t>4401010300</w:t>
            </w:r>
          </w:p>
          <w:p w14:paraId="13EB41FD">
            <w:pPr>
              <w:pStyle w:val="6"/>
              <w:spacing w:before="51" w:line="184" w:lineRule="auto"/>
              <w:ind w:left="214"/>
            </w:pPr>
            <w:r>
              <w:rPr>
                <w:spacing w:val="-1"/>
              </w:rPr>
              <w:t>4401010500</w:t>
            </w:r>
          </w:p>
          <w:p w14:paraId="0BC1AD16">
            <w:pPr>
              <w:pStyle w:val="6"/>
              <w:spacing w:before="91" w:line="184" w:lineRule="auto"/>
              <w:ind w:left="214"/>
            </w:pPr>
            <w:r>
              <w:rPr>
                <w:spacing w:val="-1"/>
              </w:rPr>
              <w:t>4401010400</w:t>
            </w:r>
          </w:p>
          <w:p w14:paraId="4048EEB7">
            <w:pPr>
              <w:pStyle w:val="6"/>
              <w:spacing w:before="50" w:line="184" w:lineRule="auto"/>
              <w:ind w:left="214"/>
            </w:pPr>
            <w:r>
              <w:rPr>
                <w:spacing w:val="-1"/>
              </w:rPr>
              <w:t>4401010600</w:t>
            </w:r>
          </w:p>
          <w:p w14:paraId="71A0DA0A">
            <w:pPr>
              <w:pStyle w:val="6"/>
              <w:spacing w:before="81" w:line="184" w:lineRule="auto"/>
              <w:ind w:left="214"/>
            </w:pPr>
            <w:r>
              <w:rPr>
                <w:spacing w:val="-1"/>
              </w:rPr>
              <w:t>4401010800</w:t>
            </w:r>
          </w:p>
          <w:p w14:paraId="0302F230">
            <w:pPr>
              <w:pStyle w:val="6"/>
              <w:spacing w:before="60" w:line="184" w:lineRule="auto"/>
              <w:ind w:left="214"/>
            </w:pPr>
            <w:r>
              <w:rPr>
                <w:spacing w:val="-1"/>
              </w:rPr>
              <w:t>4401019900</w:t>
            </w:r>
          </w:p>
          <w:p w14:paraId="10FDC18A">
            <w:pPr>
              <w:pStyle w:val="6"/>
              <w:spacing w:before="71" w:line="184" w:lineRule="auto"/>
              <w:ind w:left="214"/>
            </w:pPr>
            <w:r>
              <w:rPr>
                <w:spacing w:val="-1"/>
              </w:rPr>
              <w:t>4402010000</w:t>
            </w:r>
          </w:p>
          <w:p w14:paraId="58A6ACA0">
            <w:pPr>
              <w:pStyle w:val="6"/>
              <w:spacing w:before="61" w:line="184" w:lineRule="auto"/>
              <w:ind w:left="214"/>
            </w:pPr>
            <w:r>
              <w:rPr>
                <w:spacing w:val="-1"/>
              </w:rPr>
              <w:t>4402010100</w:t>
            </w:r>
          </w:p>
          <w:p w14:paraId="7DDB43BD">
            <w:pPr>
              <w:pStyle w:val="6"/>
              <w:spacing w:before="80" w:line="184" w:lineRule="auto"/>
              <w:ind w:left="214"/>
            </w:pPr>
            <w:r>
              <w:rPr>
                <w:spacing w:val="-1"/>
              </w:rPr>
              <w:t>4402010200</w:t>
            </w:r>
          </w:p>
          <w:p w14:paraId="2B8F9429">
            <w:pPr>
              <w:pStyle w:val="6"/>
              <w:spacing w:before="91" w:line="184" w:lineRule="auto"/>
              <w:ind w:left="214"/>
            </w:pPr>
            <w:r>
              <w:rPr>
                <w:spacing w:val="-1"/>
              </w:rPr>
              <w:t>4402010300</w:t>
            </w:r>
          </w:p>
          <w:p w14:paraId="6AF681C1">
            <w:pPr>
              <w:pStyle w:val="6"/>
              <w:spacing w:before="51" w:line="184" w:lineRule="auto"/>
              <w:ind w:left="214"/>
            </w:pPr>
            <w:r>
              <w:rPr>
                <w:spacing w:val="-1"/>
              </w:rPr>
              <w:t>4402010400</w:t>
            </w:r>
          </w:p>
          <w:p w14:paraId="2ECD5148">
            <w:pPr>
              <w:pStyle w:val="6"/>
              <w:spacing w:before="80" w:line="184" w:lineRule="auto"/>
              <w:ind w:left="214"/>
            </w:pPr>
            <w:r>
              <w:rPr>
                <w:spacing w:val="-1"/>
              </w:rPr>
              <w:t>4402010500</w:t>
            </w:r>
          </w:p>
          <w:p w14:paraId="6F6F5E2C">
            <w:pPr>
              <w:pStyle w:val="6"/>
              <w:spacing w:before="51" w:line="184" w:lineRule="auto"/>
              <w:ind w:left="214"/>
            </w:pPr>
            <w:r>
              <w:rPr>
                <w:spacing w:val="-1"/>
              </w:rPr>
              <w:t>4402010600</w:t>
            </w:r>
          </w:p>
          <w:p w14:paraId="796C8505">
            <w:pPr>
              <w:pStyle w:val="6"/>
              <w:spacing w:before="90" w:line="184" w:lineRule="auto"/>
              <w:ind w:left="214"/>
            </w:pPr>
            <w:r>
              <w:rPr>
                <w:spacing w:val="-1"/>
              </w:rPr>
              <w:t>4402010700</w:t>
            </w:r>
          </w:p>
          <w:p w14:paraId="0A4B16C4">
            <w:pPr>
              <w:pStyle w:val="6"/>
              <w:spacing w:before="51" w:line="184" w:lineRule="auto"/>
              <w:ind w:left="214"/>
            </w:pPr>
            <w:r>
              <w:rPr>
                <w:spacing w:val="-1"/>
              </w:rPr>
              <w:t>4402010800</w:t>
            </w:r>
          </w:p>
          <w:p w14:paraId="66D6E384">
            <w:pPr>
              <w:pStyle w:val="6"/>
              <w:spacing w:before="71" w:line="184" w:lineRule="auto"/>
              <w:ind w:left="214"/>
            </w:pPr>
            <w:r>
              <w:rPr>
                <w:spacing w:val="-1"/>
              </w:rPr>
              <w:t>4402010900</w:t>
            </w:r>
          </w:p>
          <w:p w14:paraId="6FB0C55A">
            <w:pPr>
              <w:pStyle w:val="6"/>
              <w:spacing w:before="80" w:line="184" w:lineRule="auto"/>
              <w:ind w:left="214"/>
            </w:pPr>
            <w:r>
              <w:rPr>
                <w:spacing w:val="-1"/>
              </w:rPr>
              <w:t>2619100000</w:t>
            </w:r>
          </w:p>
          <w:p w14:paraId="4B3C3D69">
            <w:pPr>
              <w:pStyle w:val="6"/>
              <w:spacing w:before="61" w:line="184" w:lineRule="auto"/>
              <w:ind w:left="214"/>
            </w:pPr>
            <w:r>
              <w:rPr>
                <w:spacing w:val="-1"/>
              </w:rPr>
              <w:t>2619100100</w:t>
            </w:r>
          </w:p>
          <w:p w14:paraId="3D81651A">
            <w:pPr>
              <w:pStyle w:val="6"/>
              <w:spacing w:before="90" w:line="184" w:lineRule="auto"/>
              <w:ind w:left="214"/>
            </w:pPr>
            <w:r>
              <w:rPr>
                <w:spacing w:val="-1"/>
              </w:rPr>
              <w:t>2522020100</w:t>
            </w:r>
          </w:p>
          <w:p w14:paraId="10E0776F">
            <w:pPr>
              <w:pStyle w:val="6"/>
              <w:spacing w:before="51" w:line="184" w:lineRule="auto"/>
              <w:ind w:left="214"/>
            </w:pPr>
            <w:r>
              <w:rPr>
                <w:spacing w:val="-1"/>
              </w:rPr>
              <w:t>2619100101</w:t>
            </w:r>
          </w:p>
          <w:p w14:paraId="0CA17224">
            <w:pPr>
              <w:pStyle w:val="6"/>
              <w:spacing w:before="81" w:line="184" w:lineRule="auto"/>
              <w:ind w:left="214"/>
            </w:pPr>
            <w:r>
              <w:rPr>
                <w:spacing w:val="-1"/>
              </w:rPr>
              <w:t>2619100102</w:t>
            </w:r>
          </w:p>
          <w:p w14:paraId="0981B090">
            <w:pPr>
              <w:pStyle w:val="6"/>
              <w:spacing w:before="50" w:line="184" w:lineRule="auto"/>
              <w:ind w:left="214"/>
            </w:pPr>
            <w:r>
              <w:rPr>
                <w:spacing w:val="-1"/>
              </w:rPr>
              <w:t>2619100110</w:t>
            </w:r>
          </w:p>
          <w:p w14:paraId="7EF60310">
            <w:pPr>
              <w:pStyle w:val="6"/>
              <w:spacing w:before="91" w:line="184" w:lineRule="auto"/>
              <w:ind w:left="214"/>
            </w:pPr>
            <w:r>
              <w:rPr>
                <w:spacing w:val="-1"/>
              </w:rPr>
              <w:t>2619100103</w:t>
            </w:r>
          </w:p>
          <w:p w14:paraId="05185B84">
            <w:pPr>
              <w:pStyle w:val="6"/>
              <w:spacing w:before="50" w:line="184" w:lineRule="auto"/>
              <w:ind w:left="214"/>
            </w:pPr>
            <w:r>
              <w:rPr>
                <w:spacing w:val="-1"/>
              </w:rPr>
              <w:t>2619100104</w:t>
            </w:r>
          </w:p>
          <w:p w14:paraId="329896B2">
            <w:pPr>
              <w:pStyle w:val="6"/>
              <w:spacing w:before="81" w:line="184" w:lineRule="auto"/>
              <w:ind w:left="214"/>
            </w:pPr>
            <w:r>
              <w:rPr>
                <w:spacing w:val="-1"/>
              </w:rPr>
              <w:t>2619100105</w:t>
            </w:r>
          </w:p>
          <w:p w14:paraId="290741CE">
            <w:pPr>
              <w:pStyle w:val="6"/>
              <w:spacing w:before="61" w:line="184" w:lineRule="auto"/>
              <w:ind w:left="214"/>
            </w:pPr>
            <w:r>
              <w:rPr>
                <w:spacing w:val="-1"/>
              </w:rPr>
              <w:t>2619100106</w:t>
            </w:r>
          </w:p>
          <w:p w14:paraId="143CE84D">
            <w:pPr>
              <w:pStyle w:val="6"/>
              <w:spacing w:before="70" w:line="184" w:lineRule="auto"/>
              <w:ind w:left="214"/>
            </w:pPr>
            <w:r>
              <w:rPr>
                <w:spacing w:val="-1"/>
              </w:rPr>
              <w:t>2619100107</w:t>
            </w:r>
          </w:p>
          <w:p w14:paraId="728E0DD8">
            <w:pPr>
              <w:pStyle w:val="6"/>
              <w:spacing w:before="61" w:line="184" w:lineRule="auto"/>
              <w:ind w:left="255"/>
            </w:pPr>
            <w:r>
              <w:rPr>
                <w:spacing w:val="-1"/>
              </w:rPr>
              <w:t>261910010</w:t>
            </w:r>
          </w:p>
        </w:tc>
      </w:tr>
    </w:tbl>
    <w:p w14:paraId="22942EBD">
      <w:pPr>
        <w:pStyle w:val="2"/>
      </w:pPr>
    </w:p>
    <w:p w14:paraId="53338275">
      <w:pPr>
        <w:sectPr>
          <w:headerReference r:id="rId54" w:type="default"/>
          <w:pgSz w:w="11910" w:h="16840"/>
          <w:pgMar w:top="1066" w:right="1264" w:bottom="400" w:left="1239" w:header="876" w:footer="0" w:gutter="0"/>
          <w:cols w:space="720" w:num="1"/>
        </w:sectPr>
      </w:pPr>
    </w:p>
    <w:p w14:paraId="662C716C">
      <w:pPr>
        <w:pStyle w:val="2"/>
        <w:spacing w:line="355" w:lineRule="auto"/>
      </w:pPr>
      <w:r>
        <w:pict>
          <v:rect id="_x0000_s1042" o:spid="_x0000_s1042" o:spt="1" style="position:absolute;left:0pt;margin-left:61.25pt;margin-top:52.4pt;height:0.55pt;width:19.4pt;mso-position-horizontal-relative:page;mso-position-vertical-relative:page;z-index:251752448;mso-width-relative:page;mso-height-relative:page;" fillcolor="#000000" filled="t" stroked="f" coordsize="21600,21600" o:allowincell="f">
            <v:path/>
            <v:fill on="t" focussize="0,0"/>
            <v:stroke on="f"/>
            <v:imagedata o:title=""/>
            <o:lock v:ext="edit"/>
          </v:rect>
        </w:pict>
      </w:r>
    </w:p>
    <w:p w14:paraId="3D7FE825">
      <w:pPr>
        <w:spacing w:before="68" w:line="221" w:lineRule="auto"/>
        <w:ind w:left="437"/>
        <w:rPr>
          <w:rFonts w:ascii="黑体" w:hAnsi="黑体" w:eastAsia="黑体" w:cs="黑体"/>
          <w:sz w:val="21"/>
          <w:szCs w:val="21"/>
        </w:rPr>
      </w:pPr>
      <w:r>
        <w:rPr>
          <w:rFonts w:ascii="黑体" w:hAnsi="黑体" w:eastAsia="黑体" w:cs="黑体"/>
          <w:b/>
          <w:bCs/>
          <w:spacing w:val="-8"/>
          <w:sz w:val="21"/>
          <w:szCs w:val="21"/>
        </w:rPr>
        <w:t>填报目录说明：</w:t>
      </w:r>
    </w:p>
    <w:p w14:paraId="3C6E1755">
      <w:pPr>
        <w:spacing w:before="108" w:line="293" w:lineRule="auto"/>
        <w:ind w:left="4" w:right="92" w:firstLine="433"/>
        <w:rPr>
          <w:rFonts w:ascii="宋体" w:hAnsi="宋体" w:eastAsia="宋体" w:cs="宋体"/>
          <w:sz w:val="21"/>
          <w:szCs w:val="21"/>
        </w:rPr>
      </w:pPr>
      <w:r>
        <w:rPr>
          <w:rFonts w:ascii="黑体" w:hAnsi="黑体" w:eastAsia="黑体" w:cs="黑体"/>
          <w:b/>
          <w:bCs/>
          <w:spacing w:val="1"/>
          <w:sz w:val="21"/>
          <w:szCs w:val="21"/>
        </w:rPr>
        <w:t>原煤</w:t>
      </w:r>
      <w:r>
        <w:rPr>
          <w:rFonts w:ascii="黑体" w:hAnsi="黑体" w:eastAsia="黑体" w:cs="黑体"/>
          <w:spacing w:val="88"/>
          <w:sz w:val="21"/>
          <w:szCs w:val="21"/>
        </w:rPr>
        <w:t xml:space="preserve"> </w:t>
      </w:r>
      <w:r>
        <w:rPr>
          <w:rFonts w:ascii="宋体" w:hAnsi="宋体" w:eastAsia="宋体" w:cs="宋体"/>
          <w:spacing w:val="1"/>
          <w:sz w:val="21"/>
          <w:szCs w:val="21"/>
        </w:rPr>
        <w:t>指煤矿生产的、经过验收符合质量标准的原煤。即：从毛煤中选出规定粒度的矸石(包括黄</w:t>
      </w:r>
      <w:r>
        <w:rPr>
          <w:rFonts w:ascii="宋体" w:hAnsi="宋体" w:eastAsia="宋体" w:cs="宋体"/>
          <w:sz w:val="21"/>
          <w:szCs w:val="21"/>
        </w:rPr>
        <w:t xml:space="preserve"> </w:t>
      </w:r>
      <w:r>
        <w:rPr>
          <w:rFonts w:ascii="宋体" w:hAnsi="宋体" w:eastAsia="宋体" w:cs="宋体"/>
          <w:spacing w:val="5"/>
          <w:sz w:val="21"/>
          <w:szCs w:val="21"/>
        </w:rPr>
        <w:t>铁矿等杂物)并且绝对干燥灰分在40%以下的原煤。绝对干燥灰分虽在40%以上，但经有关部门批准开</w:t>
      </w:r>
      <w:r>
        <w:rPr>
          <w:rFonts w:ascii="宋体" w:hAnsi="宋体" w:eastAsia="宋体" w:cs="宋体"/>
          <w:spacing w:val="17"/>
          <w:sz w:val="21"/>
          <w:szCs w:val="21"/>
        </w:rPr>
        <w:t xml:space="preserve"> </w:t>
      </w:r>
      <w:r>
        <w:rPr>
          <w:rFonts w:ascii="宋体" w:hAnsi="宋体" w:eastAsia="宋体" w:cs="宋体"/>
          <w:spacing w:val="-1"/>
          <w:sz w:val="21"/>
          <w:szCs w:val="21"/>
        </w:rPr>
        <w:t>采，并有消费需求的劣质煤，亦应计入原煤产量。原煤分为无烟煤、烟</w:t>
      </w:r>
      <w:r>
        <w:rPr>
          <w:rFonts w:ascii="宋体" w:hAnsi="宋体" w:eastAsia="宋体" w:cs="宋体"/>
          <w:spacing w:val="-2"/>
          <w:sz w:val="21"/>
          <w:szCs w:val="21"/>
        </w:rPr>
        <w:t>煤、褐煤，在烟煤中又分为炼焦</w:t>
      </w:r>
      <w:r>
        <w:rPr>
          <w:rFonts w:ascii="宋体" w:hAnsi="宋体" w:eastAsia="宋体" w:cs="宋体"/>
          <w:sz w:val="21"/>
          <w:szCs w:val="21"/>
        </w:rPr>
        <w:t xml:space="preserve"> </w:t>
      </w:r>
      <w:r>
        <w:rPr>
          <w:rFonts w:ascii="宋体" w:hAnsi="宋体" w:eastAsia="宋体" w:cs="宋体"/>
          <w:spacing w:val="4"/>
          <w:sz w:val="21"/>
          <w:szCs w:val="21"/>
        </w:rPr>
        <w:t>烟煤和一般烟煤两种。原煤不包括石煤、泥煤(泥炭)和伴随原煤生产过程而采出的煤矸石。</w:t>
      </w:r>
    </w:p>
    <w:p w14:paraId="2666091C">
      <w:pPr>
        <w:spacing w:before="109" w:line="220" w:lineRule="auto"/>
        <w:ind w:left="437"/>
        <w:rPr>
          <w:rFonts w:ascii="宋体" w:hAnsi="宋体" w:eastAsia="宋体" w:cs="宋体"/>
          <w:sz w:val="21"/>
          <w:szCs w:val="21"/>
        </w:rPr>
      </w:pPr>
      <w:r>
        <w:rPr>
          <w:rFonts w:ascii="宋体" w:hAnsi="宋体" w:eastAsia="宋体" w:cs="宋体"/>
          <w:b/>
          <w:bCs/>
          <w:spacing w:val="-5"/>
          <w:sz w:val="21"/>
          <w:szCs w:val="21"/>
        </w:rPr>
        <w:t>原煤的计量</w:t>
      </w:r>
    </w:p>
    <w:p w14:paraId="202AB2DB">
      <w:pPr>
        <w:spacing w:before="100" w:line="284" w:lineRule="auto"/>
        <w:ind w:left="4" w:right="96" w:firstLine="430"/>
        <w:jc w:val="both"/>
        <w:rPr>
          <w:rFonts w:ascii="宋体" w:hAnsi="宋体" w:eastAsia="宋体" w:cs="宋体"/>
          <w:sz w:val="21"/>
          <w:szCs w:val="21"/>
        </w:rPr>
      </w:pPr>
      <w:r>
        <w:rPr>
          <w:rFonts w:ascii="宋体" w:hAnsi="宋体" w:eastAsia="宋体" w:cs="宋体"/>
          <w:spacing w:val="3"/>
          <w:sz w:val="21"/>
          <w:szCs w:val="21"/>
        </w:rPr>
        <w:t>煤炭必须加工拣选，实行选后计量，即拣出粒度大于50毫米以上矸石后，经验收合格的，方可计</w:t>
      </w:r>
      <w:r>
        <w:rPr>
          <w:rFonts w:ascii="宋体" w:hAnsi="宋体" w:eastAsia="宋体" w:cs="宋体"/>
          <w:spacing w:val="8"/>
          <w:sz w:val="21"/>
          <w:szCs w:val="21"/>
        </w:rPr>
        <w:t xml:space="preserve"> </w:t>
      </w:r>
      <w:r>
        <w:rPr>
          <w:rFonts w:ascii="宋体" w:hAnsi="宋体" w:eastAsia="宋体" w:cs="宋体"/>
          <w:spacing w:val="-1"/>
          <w:sz w:val="21"/>
          <w:szCs w:val="21"/>
        </w:rPr>
        <w:t>算原煤产量。凡有选煤环节的矿井，出井的煤必须经过选矸后，</w:t>
      </w:r>
      <w:r>
        <w:rPr>
          <w:rFonts w:ascii="宋体" w:hAnsi="宋体" w:eastAsia="宋体" w:cs="宋体"/>
          <w:spacing w:val="-2"/>
          <w:sz w:val="21"/>
          <w:szCs w:val="21"/>
        </w:rPr>
        <w:t>才能计量。没有选煤环节的矿井，也应</w:t>
      </w:r>
      <w:r>
        <w:rPr>
          <w:rFonts w:ascii="宋体" w:hAnsi="宋体" w:eastAsia="宋体" w:cs="宋体"/>
          <w:sz w:val="21"/>
          <w:szCs w:val="21"/>
        </w:rPr>
        <w:t xml:space="preserve"> </w:t>
      </w:r>
      <w:r>
        <w:rPr>
          <w:rFonts w:ascii="宋体" w:hAnsi="宋体" w:eastAsia="宋体" w:cs="宋体"/>
          <w:spacing w:val="-2"/>
          <w:sz w:val="21"/>
          <w:szCs w:val="21"/>
        </w:rPr>
        <w:t>采用简易方法拣选，扣除矸石后，计算原煤产量。</w:t>
      </w:r>
    </w:p>
    <w:p w14:paraId="4AF1027F">
      <w:pPr>
        <w:spacing w:before="131" w:line="268" w:lineRule="auto"/>
        <w:ind w:left="144" w:right="96" w:firstLine="290"/>
        <w:rPr>
          <w:rFonts w:ascii="宋体" w:hAnsi="宋体" w:eastAsia="宋体" w:cs="宋体"/>
          <w:sz w:val="21"/>
          <w:szCs w:val="21"/>
        </w:rPr>
      </w:pPr>
      <w:r>
        <w:rPr>
          <w:rFonts w:ascii="宋体" w:hAnsi="宋体" w:eastAsia="宋体" w:cs="宋体"/>
          <w:spacing w:val="3"/>
          <w:sz w:val="21"/>
          <w:szCs w:val="21"/>
        </w:rPr>
        <w:t>原煤产量的计算应当以矿井主井口所采用的提升方式来定，但应扣除由井口提出毛煤到原煤筒仓</w:t>
      </w:r>
      <w:r>
        <w:rPr>
          <w:rFonts w:ascii="宋体" w:hAnsi="宋体" w:eastAsia="宋体" w:cs="宋体"/>
          <w:spacing w:val="11"/>
          <w:sz w:val="21"/>
          <w:szCs w:val="21"/>
        </w:rPr>
        <w:t xml:space="preserve"> </w:t>
      </w:r>
      <w:r>
        <w:rPr>
          <w:rFonts w:ascii="宋体" w:hAnsi="宋体" w:eastAsia="宋体" w:cs="宋体"/>
          <w:spacing w:val="7"/>
          <w:sz w:val="21"/>
          <w:szCs w:val="21"/>
        </w:rPr>
        <w:t>(储煤场)之前拣出的粒度大于50毫米的矸石。</w:t>
      </w:r>
    </w:p>
    <w:p w14:paraId="5280A26C">
      <w:pPr>
        <w:spacing w:before="110" w:line="219" w:lineRule="auto"/>
        <w:ind w:left="434"/>
        <w:rPr>
          <w:rFonts w:ascii="宋体" w:hAnsi="宋体" w:eastAsia="宋体" w:cs="宋体"/>
          <w:sz w:val="21"/>
          <w:szCs w:val="21"/>
        </w:rPr>
      </w:pPr>
      <w:r>
        <w:rPr>
          <w:rFonts w:ascii="宋体" w:hAnsi="宋体" w:eastAsia="宋体" w:cs="宋体"/>
          <w:spacing w:val="-6"/>
          <w:sz w:val="21"/>
          <w:szCs w:val="21"/>
        </w:rPr>
        <w:t>1.采用皮带运煤时，应以核子秤计量计算原煤产量。</w:t>
      </w:r>
    </w:p>
    <w:p w14:paraId="69E9CCA2">
      <w:pPr>
        <w:spacing w:before="111" w:line="219" w:lineRule="auto"/>
        <w:ind w:left="434"/>
        <w:rPr>
          <w:rFonts w:ascii="宋体" w:hAnsi="宋体" w:eastAsia="宋体" w:cs="宋体"/>
          <w:sz w:val="21"/>
          <w:szCs w:val="21"/>
        </w:rPr>
      </w:pPr>
      <w:r>
        <w:rPr>
          <w:rFonts w:ascii="宋体" w:hAnsi="宋体" w:eastAsia="宋体" w:cs="宋体"/>
          <w:spacing w:val="-3"/>
          <w:sz w:val="21"/>
          <w:szCs w:val="21"/>
        </w:rPr>
        <w:t>2.采用矿车运煤时，矿车计量以实际装载量计算，应扣除车底积煤。</w:t>
      </w:r>
    </w:p>
    <w:p w14:paraId="761755A9">
      <w:pPr>
        <w:spacing w:before="111" w:line="268" w:lineRule="auto"/>
        <w:ind w:left="4" w:firstLine="430"/>
        <w:rPr>
          <w:rFonts w:ascii="宋体" w:hAnsi="宋体" w:eastAsia="宋体" w:cs="宋体"/>
          <w:sz w:val="21"/>
          <w:szCs w:val="21"/>
        </w:rPr>
      </w:pPr>
      <w:r>
        <w:rPr>
          <w:rFonts w:ascii="宋体" w:hAnsi="宋体" w:eastAsia="宋体" w:cs="宋体"/>
          <w:spacing w:val="-4"/>
          <w:sz w:val="21"/>
          <w:szCs w:val="21"/>
        </w:rPr>
        <w:t>3.箕斗提煤时，罐率或容积比重应每季测定一次，同时要进行全水分检查，全水分超</w:t>
      </w:r>
      <w:r>
        <w:rPr>
          <w:rFonts w:ascii="宋体" w:hAnsi="宋体" w:eastAsia="宋体" w:cs="宋体"/>
          <w:spacing w:val="-5"/>
          <w:sz w:val="21"/>
          <w:szCs w:val="21"/>
        </w:rPr>
        <w:t>过规定指标时，</w:t>
      </w:r>
      <w:r>
        <w:rPr>
          <w:rFonts w:ascii="宋体" w:hAnsi="宋体" w:eastAsia="宋体" w:cs="宋体"/>
          <w:sz w:val="21"/>
          <w:szCs w:val="21"/>
        </w:rPr>
        <w:t xml:space="preserve"> </w:t>
      </w:r>
      <w:r>
        <w:rPr>
          <w:rFonts w:ascii="宋体" w:hAnsi="宋体" w:eastAsia="宋体" w:cs="宋体"/>
          <w:spacing w:val="-5"/>
          <w:sz w:val="21"/>
          <w:szCs w:val="21"/>
        </w:rPr>
        <w:t>应从容积比重中扣除其超过部分。</w:t>
      </w:r>
    </w:p>
    <w:p w14:paraId="2109350D">
      <w:pPr>
        <w:spacing w:before="110" w:line="264" w:lineRule="auto"/>
        <w:ind w:left="4" w:right="63" w:firstLine="430"/>
        <w:rPr>
          <w:rFonts w:ascii="宋体" w:hAnsi="宋体" w:eastAsia="宋体" w:cs="宋体"/>
          <w:sz w:val="21"/>
          <w:szCs w:val="21"/>
        </w:rPr>
      </w:pPr>
      <w:r>
        <w:rPr>
          <w:rFonts w:ascii="宋体" w:hAnsi="宋体" w:eastAsia="宋体" w:cs="宋体"/>
          <w:spacing w:val="4"/>
          <w:sz w:val="21"/>
          <w:szCs w:val="21"/>
        </w:rPr>
        <w:t>对已经验收的原煤产量，因存放日久或保管不善等其他原因而导致变质(如自燃或风化)的煤</w:t>
      </w:r>
      <w:r>
        <w:rPr>
          <w:rFonts w:ascii="宋体" w:hAnsi="宋体" w:eastAsia="宋体" w:cs="宋体"/>
          <w:spacing w:val="3"/>
          <w:sz w:val="21"/>
          <w:szCs w:val="21"/>
        </w:rPr>
        <w:t>炭不</w:t>
      </w:r>
      <w:r>
        <w:rPr>
          <w:rFonts w:ascii="宋体" w:hAnsi="宋体" w:eastAsia="宋体" w:cs="宋体"/>
          <w:sz w:val="21"/>
          <w:szCs w:val="21"/>
        </w:rPr>
        <w:t xml:space="preserve"> </w:t>
      </w:r>
      <w:r>
        <w:rPr>
          <w:rFonts w:ascii="宋体" w:hAnsi="宋体" w:eastAsia="宋体" w:cs="宋体"/>
          <w:spacing w:val="-4"/>
          <w:sz w:val="21"/>
          <w:szCs w:val="21"/>
        </w:rPr>
        <w:t>算废品，产量亦不扣除。</w:t>
      </w:r>
    </w:p>
    <w:p w14:paraId="7E6FC2A8">
      <w:pPr>
        <w:spacing w:before="108" w:line="293" w:lineRule="auto"/>
        <w:ind w:left="4" w:right="91" w:firstLine="432"/>
        <w:rPr>
          <w:rFonts w:ascii="宋体" w:hAnsi="宋体" w:eastAsia="宋体" w:cs="宋体"/>
          <w:sz w:val="21"/>
          <w:szCs w:val="21"/>
        </w:rPr>
      </w:pPr>
      <w:r>
        <w:rPr>
          <w:rFonts w:ascii="黑体" w:hAnsi="黑体" w:eastAsia="黑体" w:cs="黑体"/>
          <w:b/>
          <w:bCs/>
          <w:spacing w:val="-2"/>
          <w:sz w:val="21"/>
          <w:szCs w:val="21"/>
        </w:rPr>
        <w:t>无烟煤</w:t>
      </w:r>
      <w:r>
        <w:rPr>
          <w:rFonts w:ascii="黑体" w:hAnsi="黑体" w:eastAsia="黑体" w:cs="黑体"/>
          <w:spacing w:val="-2"/>
          <w:sz w:val="21"/>
          <w:szCs w:val="21"/>
        </w:rPr>
        <w:t xml:space="preserve">  </w:t>
      </w:r>
      <w:r>
        <w:rPr>
          <w:rFonts w:ascii="宋体" w:hAnsi="宋体" w:eastAsia="宋体" w:cs="宋体"/>
          <w:spacing w:val="-2"/>
          <w:sz w:val="21"/>
          <w:szCs w:val="21"/>
        </w:rPr>
        <w:t>指煤化程度高的原煤。其特点是挥发分低、密度大、燃点高、碳含量高、无黏结性，燃烧</w:t>
      </w:r>
      <w:r>
        <w:rPr>
          <w:rFonts w:ascii="宋体" w:hAnsi="宋体" w:eastAsia="宋体" w:cs="宋体"/>
          <w:spacing w:val="6"/>
          <w:sz w:val="21"/>
          <w:szCs w:val="21"/>
        </w:rPr>
        <w:t xml:space="preserve"> </w:t>
      </w:r>
      <w:r>
        <w:rPr>
          <w:rFonts w:ascii="宋体" w:hAnsi="宋体" w:eastAsia="宋体" w:cs="宋体"/>
          <w:spacing w:val="-1"/>
          <w:sz w:val="21"/>
          <w:szCs w:val="21"/>
        </w:rPr>
        <w:t>时多不冒烟。通常作为民用燃料，也可直接用于小型高炉炼铁等</w:t>
      </w:r>
      <w:r>
        <w:rPr>
          <w:rFonts w:ascii="宋体" w:hAnsi="宋体" w:eastAsia="宋体" w:cs="宋体"/>
          <w:spacing w:val="-2"/>
          <w:sz w:val="21"/>
          <w:szCs w:val="21"/>
        </w:rPr>
        <w:t>。无烟煤的干燥无灰基挥发分质量分数</w:t>
      </w:r>
      <w:r>
        <w:rPr>
          <w:rFonts w:ascii="宋体" w:hAnsi="宋体" w:eastAsia="宋体" w:cs="宋体"/>
          <w:sz w:val="21"/>
          <w:szCs w:val="21"/>
        </w:rPr>
        <w:t xml:space="preserve"> </w:t>
      </w:r>
      <w:r>
        <w:rPr>
          <w:rFonts w:ascii="宋体" w:hAnsi="宋体" w:eastAsia="宋体" w:cs="宋体"/>
          <w:spacing w:val="-3"/>
          <w:sz w:val="21"/>
          <w:szCs w:val="21"/>
        </w:rPr>
        <w:t>一般在10%以下。</w:t>
      </w:r>
      <w:r>
        <w:rPr>
          <w:rFonts w:ascii="宋体" w:hAnsi="宋体" w:eastAsia="宋体" w:cs="宋体"/>
          <w:spacing w:val="48"/>
          <w:sz w:val="21"/>
          <w:szCs w:val="21"/>
        </w:rPr>
        <w:t xml:space="preserve"> </w:t>
      </w:r>
      <w:r>
        <w:rPr>
          <w:rFonts w:ascii="宋体" w:hAnsi="宋体" w:eastAsia="宋体" w:cs="宋体"/>
          <w:spacing w:val="-3"/>
          <w:sz w:val="21"/>
          <w:szCs w:val="21"/>
        </w:rPr>
        <w:t>一般包括《中国煤炭分类》</w:t>
      </w:r>
      <w:r>
        <w:rPr>
          <w:rFonts w:ascii="宋体" w:hAnsi="宋体" w:eastAsia="宋体" w:cs="宋体"/>
          <w:spacing w:val="86"/>
          <w:sz w:val="21"/>
          <w:szCs w:val="21"/>
        </w:rPr>
        <w:t xml:space="preserve"> </w:t>
      </w:r>
      <w:r>
        <w:rPr>
          <w:rFonts w:ascii="宋体" w:hAnsi="宋体" w:eastAsia="宋体" w:cs="宋体"/>
          <w:spacing w:val="-3"/>
          <w:sz w:val="21"/>
          <w:szCs w:val="21"/>
        </w:rPr>
        <w:t>(GB</w:t>
      </w:r>
      <w:r>
        <w:rPr>
          <w:rFonts w:ascii="宋体" w:hAnsi="宋体" w:eastAsia="宋体" w:cs="宋体"/>
          <w:spacing w:val="-4"/>
          <w:sz w:val="21"/>
          <w:szCs w:val="21"/>
        </w:rPr>
        <w:t>/T5751-2009)  中的无烟煤一号、无烟煤二号和无烟</w:t>
      </w:r>
      <w:r>
        <w:rPr>
          <w:rFonts w:ascii="宋体" w:hAnsi="宋体" w:eastAsia="宋体" w:cs="宋体"/>
          <w:sz w:val="21"/>
          <w:szCs w:val="21"/>
        </w:rPr>
        <w:t xml:space="preserve"> </w:t>
      </w:r>
      <w:r>
        <w:rPr>
          <w:rFonts w:ascii="宋体" w:hAnsi="宋体" w:eastAsia="宋体" w:cs="宋体"/>
          <w:spacing w:val="-8"/>
          <w:sz w:val="21"/>
          <w:szCs w:val="21"/>
        </w:rPr>
        <w:t>煤三号。</w:t>
      </w:r>
    </w:p>
    <w:p w14:paraId="5983D6CF">
      <w:pPr>
        <w:spacing w:before="105" w:line="374" w:lineRule="exact"/>
        <w:ind w:left="436"/>
        <w:rPr>
          <w:rFonts w:ascii="宋体" w:hAnsi="宋体" w:eastAsia="宋体" w:cs="宋体"/>
          <w:sz w:val="21"/>
          <w:szCs w:val="21"/>
        </w:rPr>
      </w:pPr>
      <w:r>
        <w:rPr>
          <w:rFonts w:ascii="黑体" w:hAnsi="黑体" w:eastAsia="黑体" w:cs="黑体"/>
          <w:b/>
          <w:bCs/>
          <w:spacing w:val="-3"/>
          <w:position w:val="12"/>
          <w:sz w:val="21"/>
          <w:szCs w:val="21"/>
        </w:rPr>
        <w:t>炼焦烟煤</w:t>
      </w:r>
      <w:r>
        <w:rPr>
          <w:rFonts w:ascii="黑体" w:hAnsi="黑体" w:eastAsia="黑体" w:cs="黑体"/>
          <w:spacing w:val="-3"/>
          <w:position w:val="12"/>
          <w:sz w:val="21"/>
          <w:szCs w:val="21"/>
        </w:rPr>
        <w:t xml:space="preserve">  </w:t>
      </w:r>
      <w:r>
        <w:rPr>
          <w:rFonts w:ascii="宋体" w:hAnsi="宋体" w:eastAsia="宋体" w:cs="宋体"/>
          <w:spacing w:val="-3"/>
          <w:position w:val="12"/>
          <w:sz w:val="21"/>
          <w:szCs w:val="21"/>
        </w:rPr>
        <w:t>指主要可用于炼焦的烟煤，</w:t>
      </w:r>
      <w:r>
        <w:rPr>
          <w:rFonts w:ascii="宋体" w:hAnsi="宋体" w:eastAsia="宋体" w:cs="宋体"/>
          <w:spacing w:val="60"/>
          <w:position w:val="12"/>
          <w:sz w:val="21"/>
          <w:szCs w:val="21"/>
        </w:rPr>
        <w:t xml:space="preserve"> </w:t>
      </w:r>
      <w:r>
        <w:rPr>
          <w:rFonts w:ascii="宋体" w:hAnsi="宋体" w:eastAsia="宋体" w:cs="宋体"/>
          <w:spacing w:val="-3"/>
          <w:position w:val="12"/>
          <w:sz w:val="21"/>
          <w:szCs w:val="21"/>
        </w:rPr>
        <w:t>一般包括《中国煤炭分类》中的焦煤、1/3焦煤、</w:t>
      </w:r>
      <w:r>
        <w:rPr>
          <w:rFonts w:ascii="宋体" w:hAnsi="宋体" w:eastAsia="宋体" w:cs="宋体"/>
          <w:spacing w:val="-4"/>
          <w:position w:val="12"/>
          <w:sz w:val="21"/>
          <w:szCs w:val="21"/>
        </w:rPr>
        <w:t>肥煤、气</w:t>
      </w:r>
    </w:p>
    <w:p w14:paraId="3816C7A4">
      <w:pPr>
        <w:spacing w:line="218" w:lineRule="auto"/>
        <w:ind w:left="4"/>
        <w:rPr>
          <w:rFonts w:ascii="宋体" w:hAnsi="宋体" w:eastAsia="宋体" w:cs="宋体"/>
          <w:sz w:val="21"/>
          <w:szCs w:val="21"/>
        </w:rPr>
      </w:pPr>
      <w:r>
        <w:rPr>
          <w:rFonts w:ascii="宋体" w:hAnsi="宋体" w:eastAsia="宋体" w:cs="宋体"/>
          <w:spacing w:val="-2"/>
          <w:sz w:val="21"/>
          <w:szCs w:val="21"/>
        </w:rPr>
        <w:t>肥煤、气煤、瘦煤、贫瘦煤和其他炼焦的烟煤。</w:t>
      </w:r>
    </w:p>
    <w:p w14:paraId="50511E3F">
      <w:pPr>
        <w:spacing w:before="97" w:line="270" w:lineRule="auto"/>
        <w:ind w:left="4" w:right="86" w:firstLine="433"/>
        <w:rPr>
          <w:rFonts w:ascii="宋体" w:hAnsi="宋体" w:eastAsia="宋体" w:cs="宋体"/>
          <w:sz w:val="21"/>
          <w:szCs w:val="21"/>
        </w:rPr>
      </w:pPr>
      <w:r>
        <w:rPr>
          <w:rFonts w:ascii="黑体" w:hAnsi="黑体" w:eastAsia="黑体" w:cs="黑体"/>
          <w:b/>
          <w:bCs/>
          <w:spacing w:val="-5"/>
          <w:sz w:val="21"/>
          <w:szCs w:val="21"/>
        </w:rPr>
        <w:t>一般烟煤</w:t>
      </w:r>
      <w:r>
        <w:rPr>
          <w:rFonts w:ascii="黑体" w:hAnsi="黑体" w:eastAsia="黑体" w:cs="黑体"/>
          <w:spacing w:val="93"/>
          <w:sz w:val="21"/>
          <w:szCs w:val="21"/>
        </w:rPr>
        <w:t xml:space="preserve"> </w:t>
      </w:r>
      <w:r>
        <w:rPr>
          <w:rFonts w:ascii="宋体" w:hAnsi="宋体" w:eastAsia="宋体" w:cs="宋体"/>
          <w:spacing w:val="-5"/>
          <w:sz w:val="21"/>
          <w:szCs w:val="21"/>
        </w:rPr>
        <w:t>指除炼焦的烟煤以外的烟煤，</w:t>
      </w:r>
      <w:r>
        <w:rPr>
          <w:rFonts w:ascii="宋体" w:hAnsi="宋体" w:eastAsia="宋体" w:cs="宋体"/>
          <w:spacing w:val="58"/>
          <w:sz w:val="21"/>
          <w:szCs w:val="21"/>
        </w:rPr>
        <w:t xml:space="preserve"> </w:t>
      </w:r>
      <w:r>
        <w:rPr>
          <w:rFonts w:ascii="宋体" w:hAnsi="宋体" w:eastAsia="宋体" w:cs="宋体"/>
          <w:spacing w:val="-5"/>
          <w:sz w:val="21"/>
          <w:szCs w:val="21"/>
        </w:rPr>
        <w:t>一般包括《中国煤炭</w:t>
      </w:r>
      <w:r>
        <w:rPr>
          <w:rFonts w:ascii="宋体" w:hAnsi="宋体" w:eastAsia="宋体" w:cs="宋体"/>
          <w:spacing w:val="-6"/>
          <w:sz w:val="21"/>
          <w:szCs w:val="21"/>
        </w:rPr>
        <w:t>分类》中的贫煤、弱黏煤、不黏煤、</w:t>
      </w:r>
      <w:r>
        <w:rPr>
          <w:rFonts w:ascii="宋体" w:hAnsi="宋体" w:eastAsia="宋体" w:cs="宋体"/>
          <w:sz w:val="21"/>
          <w:szCs w:val="21"/>
        </w:rPr>
        <w:t xml:space="preserve"> </w:t>
      </w:r>
      <w:r>
        <w:rPr>
          <w:rFonts w:ascii="宋体" w:hAnsi="宋体" w:eastAsia="宋体" w:cs="宋体"/>
          <w:spacing w:val="-3"/>
          <w:sz w:val="21"/>
          <w:szCs w:val="21"/>
        </w:rPr>
        <w:t>长焰煤、1/2中黏煤和其他一般烟煤。</w:t>
      </w:r>
    </w:p>
    <w:p w14:paraId="5479BFE0">
      <w:pPr>
        <w:spacing w:before="107" w:line="293" w:lineRule="auto"/>
        <w:ind w:left="4" w:right="87" w:firstLine="432"/>
        <w:rPr>
          <w:rFonts w:ascii="宋体" w:hAnsi="宋体" w:eastAsia="宋体" w:cs="宋体"/>
          <w:sz w:val="21"/>
          <w:szCs w:val="21"/>
        </w:rPr>
      </w:pPr>
      <w:r>
        <w:rPr>
          <w:rFonts w:ascii="黑体" w:hAnsi="黑体" w:eastAsia="黑体" w:cs="黑体"/>
          <w:b/>
          <w:bCs/>
          <w:spacing w:val="-2"/>
          <w:sz w:val="21"/>
          <w:szCs w:val="21"/>
        </w:rPr>
        <w:t>褐煤</w:t>
      </w:r>
      <w:r>
        <w:rPr>
          <w:rFonts w:ascii="黑体" w:hAnsi="黑体" w:eastAsia="黑体" w:cs="黑体"/>
          <w:spacing w:val="-2"/>
          <w:sz w:val="21"/>
          <w:szCs w:val="21"/>
        </w:rPr>
        <w:t xml:space="preserve">  </w:t>
      </w:r>
      <w:r>
        <w:rPr>
          <w:rFonts w:ascii="宋体" w:hAnsi="宋体" w:eastAsia="宋体" w:cs="宋体"/>
          <w:spacing w:val="-2"/>
          <w:sz w:val="21"/>
          <w:szCs w:val="21"/>
        </w:rPr>
        <w:t>指煤化程度低的煤，其外观多呈褐色，光泽暗淡，水分含量高，在空气中易于风化。褐煤的</w:t>
      </w:r>
      <w:r>
        <w:rPr>
          <w:rFonts w:ascii="宋体" w:hAnsi="宋体" w:eastAsia="宋体" w:cs="宋体"/>
          <w:spacing w:val="16"/>
          <w:sz w:val="21"/>
          <w:szCs w:val="21"/>
        </w:rPr>
        <w:t xml:space="preserve"> </w:t>
      </w:r>
      <w:r>
        <w:rPr>
          <w:rFonts w:ascii="宋体" w:hAnsi="宋体" w:eastAsia="宋体" w:cs="宋体"/>
          <w:spacing w:val="3"/>
          <w:sz w:val="21"/>
          <w:szCs w:val="21"/>
        </w:rPr>
        <w:t>干燥无灰基挥发分质量分数一般在37%以上，透光率小于等于50%。褐煤多作发电燃料，也可作气化原</w:t>
      </w:r>
      <w:r>
        <w:rPr>
          <w:rFonts w:ascii="宋体" w:hAnsi="宋体" w:eastAsia="宋体" w:cs="宋体"/>
          <w:spacing w:val="15"/>
          <w:sz w:val="21"/>
          <w:szCs w:val="21"/>
        </w:rPr>
        <w:t xml:space="preserve"> </w:t>
      </w:r>
      <w:r>
        <w:rPr>
          <w:rFonts w:ascii="宋体" w:hAnsi="宋体" w:eastAsia="宋体" w:cs="宋体"/>
          <w:spacing w:val="-5"/>
          <w:sz w:val="21"/>
          <w:szCs w:val="21"/>
        </w:rPr>
        <w:t>料和锅炉燃料，有的可用来制造磺化煤、活性炭、褐煤蜡的原料。</w:t>
      </w:r>
      <w:r>
        <w:rPr>
          <w:rFonts w:ascii="宋体" w:hAnsi="宋体" w:eastAsia="宋体" w:cs="宋体"/>
          <w:spacing w:val="57"/>
          <w:sz w:val="21"/>
          <w:szCs w:val="21"/>
        </w:rPr>
        <w:t xml:space="preserve"> </w:t>
      </w:r>
      <w:r>
        <w:rPr>
          <w:rFonts w:ascii="宋体" w:hAnsi="宋体" w:eastAsia="宋体" w:cs="宋体"/>
          <w:spacing w:val="-5"/>
          <w:sz w:val="21"/>
          <w:szCs w:val="21"/>
        </w:rPr>
        <w:t>一般包括《中国煤炭分类》中的褐煤</w:t>
      </w:r>
      <w:r>
        <w:rPr>
          <w:rFonts w:ascii="宋体" w:hAnsi="宋体" w:eastAsia="宋体" w:cs="宋体"/>
          <w:sz w:val="21"/>
          <w:szCs w:val="21"/>
        </w:rPr>
        <w:t xml:space="preserve"> </w:t>
      </w:r>
      <w:r>
        <w:rPr>
          <w:rFonts w:ascii="宋体" w:hAnsi="宋体" w:eastAsia="宋体" w:cs="宋体"/>
          <w:spacing w:val="-5"/>
          <w:sz w:val="21"/>
          <w:szCs w:val="21"/>
        </w:rPr>
        <w:t>一号和褐煤二号。</w:t>
      </w:r>
    </w:p>
    <w:p w14:paraId="3D39D5B0">
      <w:pPr>
        <w:spacing w:before="106" w:line="374" w:lineRule="exact"/>
        <w:ind w:left="437"/>
        <w:rPr>
          <w:rFonts w:ascii="宋体" w:hAnsi="宋体" w:eastAsia="宋体" w:cs="宋体"/>
          <w:sz w:val="21"/>
          <w:szCs w:val="21"/>
        </w:rPr>
      </w:pPr>
      <w:r>
        <w:rPr>
          <w:rFonts w:ascii="黑体" w:hAnsi="黑体" w:eastAsia="黑体" w:cs="黑体"/>
          <w:b/>
          <w:bCs/>
          <w:spacing w:val="-1"/>
          <w:position w:val="12"/>
          <w:sz w:val="21"/>
          <w:szCs w:val="21"/>
        </w:rPr>
        <w:t>煤炭制品</w:t>
      </w:r>
      <w:r>
        <w:rPr>
          <w:rFonts w:ascii="黑体" w:hAnsi="黑体" w:eastAsia="黑体" w:cs="黑体"/>
          <w:spacing w:val="100"/>
          <w:position w:val="12"/>
          <w:sz w:val="21"/>
          <w:szCs w:val="21"/>
        </w:rPr>
        <w:t xml:space="preserve"> </w:t>
      </w:r>
      <w:r>
        <w:rPr>
          <w:rFonts w:ascii="宋体" w:hAnsi="宋体" w:eastAsia="宋体" w:cs="宋体"/>
          <w:spacing w:val="-1"/>
          <w:position w:val="12"/>
          <w:sz w:val="21"/>
          <w:szCs w:val="21"/>
        </w:rPr>
        <w:t>指以原煤为原料制成的除煤制油以外的各种煤制品</w:t>
      </w:r>
      <w:r>
        <w:rPr>
          <w:rFonts w:ascii="宋体" w:hAnsi="宋体" w:eastAsia="宋体" w:cs="宋体"/>
          <w:spacing w:val="-2"/>
          <w:position w:val="12"/>
          <w:sz w:val="21"/>
          <w:szCs w:val="21"/>
        </w:rPr>
        <w:t>。包括直接或间接由原煤经过洗选、</w:t>
      </w:r>
    </w:p>
    <w:p w14:paraId="06F6220E">
      <w:pPr>
        <w:spacing w:before="1" w:line="218" w:lineRule="auto"/>
        <w:ind w:left="4"/>
        <w:rPr>
          <w:rFonts w:ascii="宋体" w:hAnsi="宋体" w:eastAsia="宋体" w:cs="宋体"/>
          <w:sz w:val="21"/>
          <w:szCs w:val="21"/>
        </w:rPr>
      </w:pPr>
      <w:r>
        <w:rPr>
          <w:rFonts w:ascii="宋体" w:hAnsi="宋体" w:eastAsia="宋体" w:cs="宋体"/>
          <w:spacing w:val="-2"/>
          <w:sz w:val="21"/>
          <w:szCs w:val="21"/>
        </w:rPr>
        <w:t>干馏、裂解或其他化学反应等得到的产品。</w:t>
      </w:r>
    </w:p>
    <w:p w14:paraId="6E3F8232">
      <w:pPr>
        <w:spacing w:before="97" w:line="374" w:lineRule="exact"/>
        <w:ind w:left="437"/>
        <w:rPr>
          <w:rFonts w:ascii="宋体" w:hAnsi="宋体" w:eastAsia="宋体" w:cs="宋体"/>
          <w:sz w:val="21"/>
          <w:szCs w:val="21"/>
        </w:rPr>
      </w:pPr>
      <w:r>
        <w:rPr>
          <w:rFonts w:ascii="黑体" w:hAnsi="黑体" w:eastAsia="黑体" w:cs="黑体"/>
          <w:b/>
          <w:bCs/>
          <w:position w:val="12"/>
          <w:sz w:val="21"/>
          <w:szCs w:val="21"/>
        </w:rPr>
        <w:t>洗精煤(用于炼焦)</w:t>
      </w:r>
      <w:r>
        <w:rPr>
          <w:rFonts w:ascii="黑体" w:hAnsi="黑体" w:eastAsia="黑体" w:cs="黑体"/>
          <w:spacing w:val="102"/>
          <w:position w:val="12"/>
          <w:sz w:val="21"/>
          <w:szCs w:val="21"/>
        </w:rPr>
        <w:t xml:space="preserve"> </w:t>
      </w:r>
      <w:r>
        <w:rPr>
          <w:rFonts w:ascii="宋体" w:hAnsi="宋体" w:eastAsia="宋体" w:cs="宋体"/>
          <w:position w:val="12"/>
          <w:sz w:val="21"/>
          <w:szCs w:val="21"/>
        </w:rPr>
        <w:t>指原煤经洗选加工后，灰分较低、</w:t>
      </w:r>
      <w:r>
        <w:rPr>
          <w:rFonts w:ascii="宋体" w:hAnsi="宋体" w:eastAsia="宋体" w:cs="宋体"/>
          <w:spacing w:val="-1"/>
          <w:position w:val="12"/>
          <w:sz w:val="21"/>
          <w:szCs w:val="21"/>
        </w:rPr>
        <w:t>热值较高的用于炼焦的洗选煤产品，</w:t>
      </w:r>
      <w:r>
        <w:rPr>
          <w:rFonts w:ascii="宋体" w:hAnsi="宋体" w:eastAsia="宋体" w:cs="宋体"/>
          <w:spacing w:val="61"/>
          <w:position w:val="12"/>
          <w:sz w:val="21"/>
          <w:szCs w:val="21"/>
        </w:rPr>
        <w:t xml:space="preserve"> </w:t>
      </w:r>
      <w:r>
        <w:rPr>
          <w:rFonts w:ascii="宋体" w:hAnsi="宋体" w:eastAsia="宋体" w:cs="宋体"/>
          <w:spacing w:val="-1"/>
          <w:position w:val="12"/>
          <w:sz w:val="21"/>
          <w:szCs w:val="21"/>
        </w:rPr>
        <w:t>一般</w:t>
      </w:r>
    </w:p>
    <w:p w14:paraId="4E91BD4E">
      <w:pPr>
        <w:spacing w:before="1" w:line="218" w:lineRule="auto"/>
        <w:ind w:left="4"/>
        <w:rPr>
          <w:rFonts w:ascii="宋体" w:hAnsi="宋体" w:eastAsia="宋体" w:cs="宋体"/>
          <w:sz w:val="21"/>
          <w:szCs w:val="21"/>
        </w:rPr>
      </w:pPr>
      <w:r>
        <w:rPr>
          <w:rFonts w:ascii="宋体" w:hAnsi="宋体" w:eastAsia="宋体" w:cs="宋体"/>
          <w:spacing w:val="-4"/>
          <w:sz w:val="21"/>
          <w:szCs w:val="21"/>
        </w:rPr>
        <w:t>为炼焦选煤厂洗选产出。用于炼焦的洗精煤灰分较低，</w:t>
      </w:r>
      <w:r>
        <w:rPr>
          <w:rFonts w:ascii="宋体" w:hAnsi="宋体" w:eastAsia="宋体" w:cs="宋体"/>
          <w:spacing w:val="76"/>
          <w:sz w:val="21"/>
          <w:szCs w:val="21"/>
        </w:rPr>
        <w:t xml:space="preserve"> </w:t>
      </w:r>
      <w:r>
        <w:rPr>
          <w:rFonts w:ascii="宋体" w:hAnsi="宋体" w:eastAsia="宋体" w:cs="宋体"/>
          <w:spacing w:val="-4"/>
          <w:sz w:val="21"/>
          <w:szCs w:val="21"/>
        </w:rPr>
        <w:t>一般不超过12.5%。</w:t>
      </w:r>
    </w:p>
    <w:p w14:paraId="310A2DFB">
      <w:pPr>
        <w:spacing w:before="108" w:line="222" w:lineRule="auto"/>
        <w:ind w:left="437"/>
        <w:rPr>
          <w:rFonts w:ascii="宋体" w:hAnsi="宋体" w:eastAsia="宋体" w:cs="宋体"/>
          <w:sz w:val="21"/>
          <w:szCs w:val="21"/>
        </w:rPr>
      </w:pPr>
      <w:r>
        <w:rPr>
          <w:rFonts w:ascii="黑体" w:hAnsi="黑体" w:eastAsia="黑体" w:cs="黑体"/>
          <w:b/>
          <w:bCs/>
          <w:spacing w:val="-3"/>
          <w:sz w:val="21"/>
          <w:szCs w:val="21"/>
        </w:rPr>
        <w:t>其他洗煤</w:t>
      </w:r>
      <w:r>
        <w:rPr>
          <w:rFonts w:ascii="黑体" w:hAnsi="黑体" w:eastAsia="黑体" w:cs="黑体"/>
          <w:spacing w:val="107"/>
          <w:sz w:val="21"/>
          <w:szCs w:val="21"/>
        </w:rPr>
        <w:t xml:space="preserve"> </w:t>
      </w:r>
      <w:r>
        <w:rPr>
          <w:rFonts w:ascii="宋体" w:hAnsi="宋体" w:eastAsia="宋体" w:cs="宋体"/>
          <w:spacing w:val="-3"/>
          <w:sz w:val="21"/>
          <w:szCs w:val="21"/>
        </w:rPr>
        <w:t>指除用于炼焦的洗精煤以外的其他洗选煤产品。</w:t>
      </w:r>
    </w:p>
    <w:p w14:paraId="5998E533">
      <w:pPr>
        <w:spacing w:before="96" w:line="298" w:lineRule="auto"/>
        <w:ind w:left="4" w:right="89" w:firstLine="433"/>
        <w:rPr>
          <w:rFonts w:ascii="宋体" w:hAnsi="宋体" w:eastAsia="宋体" w:cs="宋体"/>
          <w:sz w:val="21"/>
          <w:szCs w:val="21"/>
        </w:rPr>
      </w:pPr>
      <w:r>
        <w:rPr>
          <w:rFonts w:ascii="黑体" w:hAnsi="黑体" w:eastAsia="黑体" w:cs="黑体"/>
          <w:b/>
          <w:bCs/>
          <w:spacing w:val="-1"/>
          <w:sz w:val="21"/>
          <w:szCs w:val="21"/>
        </w:rPr>
        <w:t>焦炭</w:t>
      </w:r>
      <w:r>
        <w:rPr>
          <w:rFonts w:ascii="黑体" w:hAnsi="黑体" w:eastAsia="黑体" w:cs="黑体"/>
          <w:spacing w:val="79"/>
          <w:sz w:val="21"/>
          <w:szCs w:val="21"/>
        </w:rPr>
        <w:t xml:space="preserve"> </w:t>
      </w:r>
      <w:r>
        <w:rPr>
          <w:rFonts w:ascii="宋体" w:hAnsi="宋体" w:eastAsia="宋体" w:cs="宋体"/>
          <w:spacing w:val="-1"/>
          <w:sz w:val="21"/>
          <w:szCs w:val="21"/>
        </w:rPr>
        <w:t>指将各种经过洗选的煤炭按一定比例配合后，在隔绝空气的高温</w:t>
      </w:r>
      <w:r>
        <w:rPr>
          <w:rFonts w:ascii="宋体" w:hAnsi="宋体" w:eastAsia="宋体" w:cs="宋体"/>
          <w:spacing w:val="-2"/>
          <w:sz w:val="21"/>
          <w:szCs w:val="21"/>
        </w:rPr>
        <w:t>炭化室内经过热解、缩聚、</w:t>
      </w:r>
      <w:r>
        <w:rPr>
          <w:rFonts w:ascii="宋体" w:hAnsi="宋体" w:eastAsia="宋体" w:cs="宋体"/>
          <w:sz w:val="21"/>
          <w:szCs w:val="21"/>
        </w:rPr>
        <w:t xml:space="preserve"> </w:t>
      </w:r>
      <w:r>
        <w:rPr>
          <w:rFonts w:ascii="宋体" w:hAnsi="宋体" w:eastAsia="宋体" w:cs="宋体"/>
          <w:spacing w:val="-1"/>
          <w:sz w:val="21"/>
          <w:szCs w:val="21"/>
        </w:rPr>
        <w:t>固化、收缩等复杂的物理化学过程形成的固体燃料，呈黑灰色块</w:t>
      </w:r>
      <w:r>
        <w:rPr>
          <w:rFonts w:ascii="宋体" w:hAnsi="宋体" w:eastAsia="宋体" w:cs="宋体"/>
          <w:spacing w:val="-2"/>
          <w:sz w:val="21"/>
          <w:szCs w:val="21"/>
        </w:rPr>
        <w:t>状、有光泽，燃烧时烟气少，具有不黏</w:t>
      </w:r>
      <w:r>
        <w:rPr>
          <w:rFonts w:ascii="宋体" w:hAnsi="宋体" w:eastAsia="宋体" w:cs="宋体"/>
          <w:sz w:val="21"/>
          <w:szCs w:val="21"/>
        </w:rPr>
        <w:t xml:space="preserve"> </w:t>
      </w:r>
      <w:r>
        <w:rPr>
          <w:rFonts w:ascii="宋体" w:hAnsi="宋体" w:eastAsia="宋体" w:cs="宋体"/>
          <w:spacing w:val="-1"/>
          <w:sz w:val="21"/>
          <w:szCs w:val="21"/>
        </w:rPr>
        <w:t>结、不结块、低硫、低灰、坚硬、耐磨、耐压、富于气孔性等特点，主要</w:t>
      </w:r>
      <w:r>
        <w:rPr>
          <w:rFonts w:ascii="宋体" w:hAnsi="宋体" w:eastAsia="宋体" w:cs="宋体"/>
          <w:spacing w:val="-2"/>
          <w:sz w:val="21"/>
          <w:szCs w:val="21"/>
        </w:rPr>
        <w:t>用于冶金、化工、铸造等工艺</w:t>
      </w:r>
      <w:r>
        <w:rPr>
          <w:rFonts w:ascii="宋体" w:hAnsi="宋体" w:eastAsia="宋体" w:cs="宋体"/>
          <w:sz w:val="21"/>
          <w:szCs w:val="21"/>
        </w:rPr>
        <w:t xml:space="preserve"> </w:t>
      </w:r>
      <w:r>
        <w:rPr>
          <w:rFonts w:ascii="宋体" w:hAnsi="宋体" w:eastAsia="宋体" w:cs="宋体"/>
          <w:spacing w:val="-1"/>
          <w:sz w:val="21"/>
          <w:szCs w:val="21"/>
        </w:rPr>
        <w:t>的燃料和原料。它包括各种生产方式生产的焦炭，即包括机械化焦炉、简易焦</w:t>
      </w:r>
      <w:r>
        <w:rPr>
          <w:rFonts w:ascii="宋体" w:hAnsi="宋体" w:eastAsia="宋体" w:cs="宋体"/>
          <w:spacing w:val="-2"/>
          <w:sz w:val="21"/>
          <w:szCs w:val="21"/>
        </w:rPr>
        <w:t>炉、土焦炉、煤气发生炉</w:t>
      </w:r>
      <w:r>
        <w:rPr>
          <w:rFonts w:ascii="宋体" w:hAnsi="宋体" w:eastAsia="宋体" w:cs="宋体"/>
          <w:sz w:val="21"/>
          <w:szCs w:val="21"/>
        </w:rPr>
        <w:t xml:space="preserve"> </w:t>
      </w:r>
      <w:r>
        <w:rPr>
          <w:rFonts w:ascii="宋体" w:hAnsi="宋体" w:eastAsia="宋体" w:cs="宋体"/>
          <w:spacing w:val="-5"/>
          <w:sz w:val="21"/>
          <w:szCs w:val="21"/>
        </w:rPr>
        <w:t>等装置生产的所有焦炭和半焦炭。</w:t>
      </w:r>
    </w:p>
    <w:p w14:paraId="48D4C4C1">
      <w:pPr>
        <w:spacing w:line="298" w:lineRule="auto"/>
        <w:rPr>
          <w:rFonts w:ascii="宋体" w:hAnsi="宋体" w:eastAsia="宋体" w:cs="宋体"/>
          <w:sz w:val="21"/>
          <w:szCs w:val="21"/>
        </w:rPr>
        <w:sectPr>
          <w:headerReference r:id="rId55" w:type="default"/>
          <w:pgSz w:w="11910" w:h="16840"/>
          <w:pgMar w:top="1048" w:right="1194" w:bottom="400" w:left="1225" w:header="838" w:footer="0" w:gutter="0"/>
          <w:cols w:space="720" w:num="1"/>
        </w:sectPr>
      </w:pPr>
    </w:p>
    <w:p w14:paraId="04D925BC">
      <w:pPr>
        <w:pStyle w:val="2"/>
        <w:spacing w:line="365" w:lineRule="auto"/>
      </w:pPr>
    </w:p>
    <w:p w14:paraId="0AF20D38">
      <w:pPr>
        <w:spacing w:before="68" w:line="222" w:lineRule="auto"/>
        <w:ind w:left="423"/>
        <w:rPr>
          <w:rFonts w:ascii="宋体" w:hAnsi="宋体" w:eastAsia="宋体" w:cs="宋体"/>
          <w:sz w:val="21"/>
          <w:szCs w:val="21"/>
        </w:rPr>
      </w:pPr>
      <w:r>
        <w:rPr>
          <w:rFonts w:ascii="黑体" w:hAnsi="黑体" w:eastAsia="黑体" w:cs="黑体"/>
          <w:b/>
          <w:bCs/>
          <w:spacing w:val="-2"/>
          <w:sz w:val="21"/>
          <w:szCs w:val="21"/>
        </w:rPr>
        <w:t>型煤及其他煤制品</w:t>
      </w:r>
      <w:r>
        <w:rPr>
          <w:rFonts w:ascii="黑体" w:hAnsi="黑体" w:eastAsia="黑体" w:cs="黑体"/>
          <w:spacing w:val="-2"/>
          <w:sz w:val="21"/>
          <w:szCs w:val="21"/>
        </w:rPr>
        <w:t xml:space="preserve">  </w:t>
      </w:r>
      <w:r>
        <w:rPr>
          <w:rFonts w:ascii="宋体" w:hAnsi="宋体" w:eastAsia="宋体" w:cs="宋体"/>
          <w:spacing w:val="-2"/>
          <w:sz w:val="21"/>
          <w:szCs w:val="21"/>
        </w:rPr>
        <w:t>指以原煤为原料制成的各种煤制品，包括水煤浆、型煤、煤粉等。</w:t>
      </w:r>
    </w:p>
    <w:p w14:paraId="209E55EC">
      <w:pPr>
        <w:spacing w:before="96" w:line="286" w:lineRule="auto"/>
        <w:ind w:firstLine="423"/>
        <w:rPr>
          <w:rFonts w:ascii="宋体" w:hAnsi="宋体" w:eastAsia="宋体" w:cs="宋体"/>
          <w:sz w:val="21"/>
          <w:szCs w:val="21"/>
        </w:rPr>
      </w:pPr>
      <w:r>
        <w:rPr>
          <w:rFonts w:ascii="黑体" w:hAnsi="黑体" w:eastAsia="黑体" w:cs="黑体"/>
          <w:b/>
          <w:bCs/>
          <w:spacing w:val="-1"/>
          <w:sz w:val="21"/>
          <w:szCs w:val="21"/>
        </w:rPr>
        <w:t>煤焦油</w:t>
      </w:r>
      <w:r>
        <w:rPr>
          <w:rFonts w:ascii="黑体" w:hAnsi="黑体" w:eastAsia="黑体" w:cs="黑体"/>
          <w:spacing w:val="89"/>
          <w:sz w:val="21"/>
          <w:szCs w:val="21"/>
        </w:rPr>
        <w:t xml:space="preserve"> </w:t>
      </w:r>
      <w:r>
        <w:rPr>
          <w:rFonts w:ascii="宋体" w:hAnsi="宋体" w:eastAsia="宋体" w:cs="宋体"/>
          <w:spacing w:val="-1"/>
          <w:sz w:val="21"/>
          <w:szCs w:val="21"/>
        </w:rPr>
        <w:t>指煤炭干馏时生成的具有刺激性臭味的黑色或黑褐色粘稠</w:t>
      </w:r>
      <w:r>
        <w:rPr>
          <w:rFonts w:ascii="宋体" w:hAnsi="宋体" w:eastAsia="宋体" w:cs="宋体"/>
          <w:spacing w:val="-2"/>
          <w:sz w:val="21"/>
          <w:szCs w:val="21"/>
        </w:rPr>
        <w:t>状液体。煤焦油按干馏温度可分</w:t>
      </w:r>
      <w:r>
        <w:rPr>
          <w:rFonts w:ascii="宋体" w:hAnsi="宋体" w:eastAsia="宋体" w:cs="宋体"/>
          <w:sz w:val="21"/>
          <w:szCs w:val="21"/>
        </w:rPr>
        <w:t xml:space="preserve"> </w:t>
      </w:r>
      <w:r>
        <w:rPr>
          <w:rFonts w:ascii="宋体" w:hAnsi="宋体" w:eastAsia="宋体" w:cs="宋体"/>
          <w:spacing w:val="-5"/>
          <w:sz w:val="21"/>
          <w:szCs w:val="21"/>
        </w:rPr>
        <w:t>为低温煤焦油、中温煤焦油和高温煤焦油。煤焦油可分馏出各种芳香烃、烷烃、酚类等，也可制取油毡、</w:t>
      </w:r>
      <w:r>
        <w:rPr>
          <w:rFonts w:ascii="宋体" w:hAnsi="宋体" w:eastAsia="宋体" w:cs="宋体"/>
          <w:spacing w:val="14"/>
          <w:sz w:val="21"/>
          <w:szCs w:val="21"/>
        </w:rPr>
        <w:t xml:space="preserve"> </w:t>
      </w:r>
      <w:r>
        <w:rPr>
          <w:rFonts w:ascii="宋体" w:hAnsi="宋体" w:eastAsia="宋体" w:cs="宋体"/>
          <w:spacing w:val="-6"/>
          <w:sz w:val="21"/>
          <w:szCs w:val="21"/>
        </w:rPr>
        <w:t>燃料和炭黑。</w:t>
      </w:r>
    </w:p>
    <w:p w14:paraId="393F34DC">
      <w:pPr>
        <w:spacing w:before="93" w:line="279" w:lineRule="auto"/>
        <w:ind w:right="49" w:firstLine="423"/>
        <w:rPr>
          <w:rFonts w:ascii="宋体" w:hAnsi="宋体" w:eastAsia="宋体" w:cs="宋体"/>
          <w:sz w:val="21"/>
          <w:szCs w:val="21"/>
        </w:rPr>
      </w:pPr>
      <w:r>
        <w:rPr>
          <w:rFonts w:ascii="幼圆" w:hAnsi="幼圆" w:eastAsia="幼圆" w:cs="幼圆"/>
          <w:b/>
          <w:bCs/>
          <w:spacing w:val="-1"/>
          <w:sz w:val="21"/>
          <w:szCs w:val="21"/>
        </w:rPr>
        <w:t>煤气</w:t>
      </w:r>
      <w:r>
        <w:rPr>
          <w:rFonts w:ascii="幼圆" w:hAnsi="幼圆" w:eastAsia="幼圆" w:cs="幼圆"/>
          <w:spacing w:val="91"/>
          <w:sz w:val="21"/>
          <w:szCs w:val="21"/>
        </w:rPr>
        <w:t xml:space="preserve"> </w:t>
      </w:r>
      <w:r>
        <w:rPr>
          <w:rFonts w:ascii="宋体" w:hAnsi="宋体" w:eastAsia="宋体" w:cs="宋体"/>
          <w:spacing w:val="-1"/>
          <w:sz w:val="21"/>
          <w:szCs w:val="21"/>
        </w:rPr>
        <w:t>指煤、焦炭、半焦等固体燃料与燃料油等液体燃料干馏或气化所产生的可燃</w:t>
      </w:r>
      <w:r>
        <w:rPr>
          <w:rFonts w:ascii="宋体" w:hAnsi="宋体" w:eastAsia="宋体" w:cs="宋体"/>
          <w:spacing w:val="-2"/>
          <w:sz w:val="21"/>
          <w:szCs w:val="21"/>
        </w:rPr>
        <w:t>气体。包括焦炉</w:t>
      </w:r>
      <w:r>
        <w:rPr>
          <w:rFonts w:ascii="宋体" w:hAnsi="宋体" w:eastAsia="宋体" w:cs="宋体"/>
          <w:sz w:val="21"/>
          <w:szCs w:val="21"/>
        </w:rPr>
        <w:t xml:space="preserve"> </w:t>
      </w:r>
      <w:r>
        <w:rPr>
          <w:rFonts w:ascii="宋体" w:hAnsi="宋体" w:eastAsia="宋体" w:cs="宋体"/>
          <w:spacing w:val="-2"/>
          <w:sz w:val="21"/>
          <w:szCs w:val="21"/>
        </w:rPr>
        <w:t>煤气、高炉煤气、转炉煤气、发生炉煤气和油煤气等。</w:t>
      </w:r>
    </w:p>
    <w:p w14:paraId="2D12BD64">
      <w:pPr>
        <w:spacing w:before="97" w:line="293" w:lineRule="auto"/>
        <w:ind w:right="15" w:firstLine="422"/>
        <w:rPr>
          <w:rFonts w:ascii="宋体" w:hAnsi="宋体" w:eastAsia="宋体" w:cs="宋体"/>
          <w:sz w:val="21"/>
          <w:szCs w:val="21"/>
        </w:rPr>
      </w:pPr>
      <w:r>
        <w:rPr>
          <w:rFonts w:ascii="黑体" w:hAnsi="黑体" w:eastAsia="黑体" w:cs="黑体"/>
          <w:b/>
          <w:bCs/>
          <w:spacing w:val="-1"/>
          <w:sz w:val="21"/>
          <w:szCs w:val="21"/>
        </w:rPr>
        <w:t>焦炉煤气</w:t>
      </w:r>
      <w:r>
        <w:rPr>
          <w:rFonts w:ascii="黑体" w:hAnsi="黑体" w:eastAsia="黑体" w:cs="黑体"/>
          <w:spacing w:val="-1"/>
          <w:sz w:val="21"/>
          <w:szCs w:val="21"/>
        </w:rPr>
        <w:t xml:space="preserve">  </w:t>
      </w:r>
      <w:r>
        <w:rPr>
          <w:rFonts w:ascii="宋体" w:hAnsi="宋体" w:eastAsia="宋体" w:cs="宋体"/>
          <w:spacing w:val="-1"/>
          <w:sz w:val="21"/>
          <w:szCs w:val="21"/>
        </w:rPr>
        <w:t>指炼焦过程中，煤炭经高温干馏后，在产出焦炭和其他焦化产品的同时产生的可燃性气</w:t>
      </w:r>
      <w:r>
        <w:rPr>
          <w:rFonts w:ascii="宋体" w:hAnsi="宋体" w:eastAsia="宋体" w:cs="宋体"/>
          <w:spacing w:val="10"/>
          <w:sz w:val="21"/>
          <w:szCs w:val="21"/>
        </w:rPr>
        <w:t xml:space="preserve"> </w:t>
      </w:r>
      <w:r>
        <w:rPr>
          <w:rFonts w:ascii="宋体" w:hAnsi="宋体" w:eastAsia="宋体" w:cs="宋体"/>
          <w:sz w:val="21"/>
          <w:szCs w:val="21"/>
        </w:rPr>
        <w:t>体，是炼焦产品的副产品。</w:t>
      </w:r>
      <w:r>
        <w:rPr>
          <w:rFonts w:ascii="宋体" w:hAnsi="宋体" w:eastAsia="宋体" w:cs="宋体"/>
          <w:spacing w:val="45"/>
          <w:sz w:val="21"/>
          <w:szCs w:val="21"/>
        </w:rPr>
        <w:t xml:space="preserve"> </w:t>
      </w:r>
      <w:r>
        <w:rPr>
          <w:rFonts w:ascii="宋体" w:hAnsi="宋体" w:eastAsia="宋体" w:cs="宋体"/>
          <w:sz w:val="21"/>
          <w:szCs w:val="21"/>
        </w:rPr>
        <w:t>一吨煤在炼焦过程中可产出730-780千克焦炭和30</w:t>
      </w:r>
      <w:r>
        <w:rPr>
          <w:rFonts w:ascii="宋体" w:hAnsi="宋体" w:eastAsia="宋体" w:cs="宋体"/>
          <w:spacing w:val="-1"/>
          <w:sz w:val="21"/>
          <w:szCs w:val="21"/>
        </w:rPr>
        <w:t>0-340立方米焦炉煤气以</w:t>
      </w:r>
      <w:r>
        <w:rPr>
          <w:rFonts w:ascii="宋体" w:hAnsi="宋体" w:eastAsia="宋体" w:cs="宋体"/>
          <w:sz w:val="21"/>
          <w:szCs w:val="21"/>
        </w:rPr>
        <w:t xml:space="preserve"> </w:t>
      </w:r>
      <w:r>
        <w:rPr>
          <w:rFonts w:ascii="宋体" w:hAnsi="宋体" w:eastAsia="宋体" w:cs="宋体"/>
          <w:spacing w:val="1"/>
          <w:sz w:val="21"/>
          <w:szCs w:val="21"/>
        </w:rPr>
        <w:t>及35-42千克焦油。焦炉煤气热值高、燃烧快、火焰短、生成废气比重小；主要成分为甲烷、</w:t>
      </w:r>
      <w:r>
        <w:rPr>
          <w:rFonts w:ascii="宋体" w:hAnsi="宋体" w:eastAsia="宋体" w:cs="宋体"/>
          <w:sz w:val="21"/>
          <w:szCs w:val="21"/>
        </w:rPr>
        <w:t xml:space="preserve">氢和一氧 </w:t>
      </w:r>
      <w:r>
        <w:rPr>
          <w:rFonts w:ascii="宋体" w:hAnsi="宋体" w:eastAsia="宋体" w:cs="宋体"/>
          <w:spacing w:val="-3"/>
          <w:sz w:val="21"/>
          <w:szCs w:val="21"/>
        </w:rPr>
        <w:t>化碳等，可用作燃料和化工原料。</w:t>
      </w:r>
    </w:p>
    <w:p w14:paraId="373C065E">
      <w:pPr>
        <w:spacing w:before="106" w:line="298" w:lineRule="auto"/>
        <w:ind w:right="46" w:firstLine="423"/>
        <w:rPr>
          <w:rFonts w:ascii="宋体" w:hAnsi="宋体" w:eastAsia="宋体" w:cs="宋体"/>
          <w:sz w:val="21"/>
          <w:szCs w:val="21"/>
        </w:rPr>
      </w:pPr>
      <w:r>
        <w:rPr>
          <w:rFonts w:ascii="黑体" w:hAnsi="黑体" w:eastAsia="黑体" w:cs="黑体"/>
          <w:b/>
          <w:bCs/>
          <w:spacing w:val="-1"/>
          <w:sz w:val="21"/>
          <w:szCs w:val="21"/>
        </w:rPr>
        <w:t>高炉煤气</w:t>
      </w:r>
      <w:r>
        <w:rPr>
          <w:rFonts w:ascii="黑体" w:hAnsi="黑体" w:eastAsia="黑体" w:cs="黑体"/>
          <w:spacing w:val="96"/>
          <w:sz w:val="21"/>
          <w:szCs w:val="21"/>
        </w:rPr>
        <w:t xml:space="preserve"> </w:t>
      </w:r>
      <w:r>
        <w:rPr>
          <w:rFonts w:ascii="宋体" w:hAnsi="宋体" w:eastAsia="宋体" w:cs="宋体"/>
          <w:spacing w:val="-1"/>
          <w:sz w:val="21"/>
          <w:szCs w:val="21"/>
        </w:rPr>
        <w:t>指炼铁过程中从高炉炉顶逸出的可燃性气体，是炼铁过程</w:t>
      </w:r>
      <w:r>
        <w:rPr>
          <w:rFonts w:ascii="宋体" w:hAnsi="宋体" w:eastAsia="宋体" w:cs="宋体"/>
          <w:spacing w:val="-2"/>
          <w:sz w:val="21"/>
          <w:szCs w:val="21"/>
        </w:rPr>
        <w:t>的副产品；其理论燃烧温度约</w:t>
      </w:r>
      <w:r>
        <w:rPr>
          <w:rFonts w:ascii="宋体" w:hAnsi="宋体" w:eastAsia="宋体" w:cs="宋体"/>
          <w:sz w:val="21"/>
          <w:szCs w:val="21"/>
        </w:rPr>
        <w:t xml:space="preserve"> </w:t>
      </w:r>
      <w:r>
        <w:rPr>
          <w:rFonts w:ascii="宋体" w:hAnsi="宋体" w:eastAsia="宋体" w:cs="宋体"/>
          <w:spacing w:val="9"/>
          <w:sz w:val="21"/>
          <w:szCs w:val="21"/>
        </w:rPr>
        <w:t>为1400-1500℃,含有大量粉尘(约60-80克/立方米),所以需要除尘处理，并在可能的情况下将其和</w:t>
      </w:r>
      <w:r>
        <w:rPr>
          <w:rFonts w:ascii="宋体" w:hAnsi="宋体" w:eastAsia="宋体" w:cs="宋体"/>
          <w:spacing w:val="3"/>
          <w:sz w:val="21"/>
          <w:szCs w:val="21"/>
        </w:rPr>
        <w:t xml:space="preserve"> 空气预热以提高燃烧温度。据统计，高炉每消耗1吨焦炭约可产出3800-4000立方米高</w:t>
      </w:r>
      <w:r>
        <w:rPr>
          <w:rFonts w:ascii="宋体" w:hAnsi="宋体" w:eastAsia="宋体" w:cs="宋体"/>
          <w:spacing w:val="2"/>
          <w:sz w:val="21"/>
          <w:szCs w:val="21"/>
        </w:rPr>
        <w:t>炉煤气(约有60%</w:t>
      </w:r>
      <w:r>
        <w:rPr>
          <w:rFonts w:ascii="宋体" w:hAnsi="宋体" w:eastAsia="宋体" w:cs="宋体"/>
          <w:sz w:val="21"/>
          <w:szCs w:val="21"/>
        </w:rPr>
        <w:t xml:space="preserve"> </w:t>
      </w:r>
      <w:r>
        <w:rPr>
          <w:rFonts w:ascii="宋体" w:hAnsi="宋体" w:eastAsia="宋体" w:cs="宋体"/>
          <w:spacing w:val="1"/>
          <w:sz w:val="21"/>
          <w:szCs w:val="21"/>
        </w:rPr>
        <w:t>的燃料转变为高炉煤气)。在冶金联合企业，它主要用于焦炉，以及与焦炉煤气混合用作发电或</w:t>
      </w:r>
      <w:r>
        <w:rPr>
          <w:rFonts w:ascii="宋体" w:hAnsi="宋体" w:eastAsia="宋体" w:cs="宋体"/>
          <w:sz w:val="21"/>
          <w:szCs w:val="21"/>
        </w:rPr>
        <w:t xml:space="preserve">其他燃 </w:t>
      </w:r>
      <w:r>
        <w:rPr>
          <w:rFonts w:ascii="宋体" w:hAnsi="宋体" w:eastAsia="宋体" w:cs="宋体"/>
          <w:spacing w:val="-10"/>
          <w:sz w:val="21"/>
          <w:szCs w:val="21"/>
        </w:rPr>
        <w:t>料。</w:t>
      </w:r>
    </w:p>
    <w:p w14:paraId="6450A0C5">
      <w:pPr>
        <w:spacing w:before="105" w:line="222" w:lineRule="auto"/>
        <w:ind w:right="35"/>
        <w:jc w:val="right"/>
        <w:rPr>
          <w:rFonts w:ascii="宋体" w:hAnsi="宋体" w:eastAsia="宋体" w:cs="宋体"/>
          <w:sz w:val="21"/>
          <w:szCs w:val="21"/>
        </w:rPr>
      </w:pPr>
      <w:r>
        <w:rPr>
          <w:rFonts w:ascii="黑体" w:hAnsi="黑体" w:eastAsia="黑体" w:cs="黑体"/>
          <w:b/>
          <w:bCs/>
          <w:color w:val="0202FF"/>
          <w:spacing w:val="-1"/>
          <w:sz w:val="21"/>
          <w:szCs w:val="21"/>
        </w:rPr>
        <w:t>转炉煤气</w:t>
      </w:r>
      <w:r>
        <w:rPr>
          <w:rFonts w:ascii="黑体" w:hAnsi="黑体" w:eastAsia="黑体" w:cs="黑体"/>
          <w:color w:val="0202FF"/>
          <w:spacing w:val="-1"/>
          <w:sz w:val="21"/>
          <w:szCs w:val="21"/>
        </w:rPr>
        <w:t xml:space="preserve">  </w:t>
      </w:r>
      <w:r>
        <w:rPr>
          <w:rFonts w:ascii="宋体" w:hAnsi="宋体" w:eastAsia="宋体" w:cs="宋体"/>
          <w:color w:val="0202FF"/>
          <w:spacing w:val="-1"/>
          <w:sz w:val="21"/>
          <w:szCs w:val="21"/>
        </w:rPr>
        <w:t>指转炉炼钢过程中，铁水中的碳在高温下和吹入的氧生成一氧化</w:t>
      </w:r>
      <w:r>
        <w:rPr>
          <w:rFonts w:ascii="宋体" w:hAnsi="宋体" w:eastAsia="宋体" w:cs="宋体"/>
          <w:color w:val="0202FF"/>
          <w:spacing w:val="-2"/>
          <w:sz w:val="21"/>
          <w:szCs w:val="21"/>
        </w:rPr>
        <w:t>碳和少量二氧化碳的混</w:t>
      </w:r>
    </w:p>
    <w:p w14:paraId="3E7D11DA">
      <w:pPr>
        <w:spacing w:before="113" w:line="221" w:lineRule="auto"/>
        <w:rPr>
          <w:rFonts w:ascii="宋体" w:hAnsi="宋体" w:eastAsia="宋体" w:cs="宋体"/>
          <w:sz w:val="21"/>
          <w:szCs w:val="21"/>
        </w:rPr>
      </w:pPr>
      <w:r>
        <w:rPr>
          <w:rFonts w:ascii="宋体" w:hAnsi="宋体" w:eastAsia="宋体" w:cs="宋体"/>
          <w:color w:val="0202FF"/>
          <w:spacing w:val="-13"/>
          <w:sz w:val="21"/>
          <w:szCs w:val="21"/>
        </w:rPr>
        <w:t>合气体。</w:t>
      </w:r>
    </w:p>
    <w:p w14:paraId="374BAA4A">
      <w:pPr>
        <w:spacing w:before="102" w:line="271" w:lineRule="auto"/>
        <w:ind w:right="46" w:firstLine="423"/>
        <w:rPr>
          <w:rFonts w:ascii="宋体" w:hAnsi="宋体" w:eastAsia="宋体" w:cs="宋体"/>
          <w:sz w:val="21"/>
          <w:szCs w:val="21"/>
        </w:rPr>
      </w:pPr>
      <w:r>
        <w:rPr>
          <w:rFonts w:ascii="黑体" w:hAnsi="黑体" w:eastAsia="黑体" w:cs="黑体"/>
          <w:b/>
          <w:bCs/>
          <w:spacing w:val="-1"/>
          <w:sz w:val="21"/>
          <w:szCs w:val="21"/>
        </w:rPr>
        <w:t>发生炉煤气</w:t>
      </w:r>
      <w:r>
        <w:rPr>
          <w:rFonts w:ascii="黑体" w:hAnsi="黑体" w:eastAsia="黑体" w:cs="黑体"/>
          <w:spacing w:val="92"/>
          <w:sz w:val="21"/>
          <w:szCs w:val="21"/>
        </w:rPr>
        <w:t xml:space="preserve"> </w:t>
      </w:r>
      <w:r>
        <w:rPr>
          <w:rFonts w:ascii="宋体" w:hAnsi="宋体" w:eastAsia="宋体" w:cs="宋体"/>
          <w:spacing w:val="-1"/>
          <w:sz w:val="21"/>
          <w:szCs w:val="21"/>
        </w:rPr>
        <w:t>指燃料在煤气发生炉中气化得到的可燃性气体。依据所用</w:t>
      </w:r>
      <w:r>
        <w:rPr>
          <w:rFonts w:ascii="宋体" w:hAnsi="宋体" w:eastAsia="宋体" w:cs="宋体"/>
          <w:spacing w:val="-2"/>
          <w:sz w:val="21"/>
          <w:szCs w:val="21"/>
        </w:rPr>
        <w:t>气化剂，发生炉煤气分为以</w:t>
      </w:r>
      <w:r>
        <w:rPr>
          <w:rFonts w:ascii="宋体" w:hAnsi="宋体" w:eastAsia="宋体" w:cs="宋体"/>
          <w:sz w:val="21"/>
          <w:szCs w:val="21"/>
        </w:rPr>
        <w:t xml:space="preserve"> </w:t>
      </w:r>
      <w:r>
        <w:rPr>
          <w:rFonts w:ascii="宋体" w:hAnsi="宋体" w:eastAsia="宋体" w:cs="宋体"/>
          <w:spacing w:val="-9"/>
          <w:sz w:val="21"/>
          <w:szCs w:val="21"/>
        </w:rPr>
        <w:t>下四种。</w:t>
      </w:r>
    </w:p>
    <w:p w14:paraId="53D47A31">
      <w:pPr>
        <w:spacing w:before="108" w:line="274" w:lineRule="auto"/>
        <w:ind w:right="53" w:firstLine="420"/>
        <w:rPr>
          <w:rFonts w:ascii="宋体" w:hAnsi="宋体" w:eastAsia="宋体" w:cs="宋体"/>
          <w:sz w:val="21"/>
          <w:szCs w:val="21"/>
        </w:rPr>
      </w:pPr>
      <w:r>
        <w:rPr>
          <w:rFonts w:ascii="宋体" w:hAnsi="宋体" w:eastAsia="宋体" w:cs="宋体"/>
          <w:spacing w:val="-1"/>
          <w:sz w:val="21"/>
          <w:szCs w:val="21"/>
        </w:rPr>
        <w:t>1.空气煤气：亦称低热值煤气，气化剂为空气；发热量很低，</w:t>
      </w:r>
      <w:r>
        <w:rPr>
          <w:rFonts w:ascii="宋体" w:hAnsi="宋体" w:eastAsia="宋体" w:cs="宋体"/>
          <w:spacing w:val="-2"/>
          <w:sz w:val="21"/>
          <w:szCs w:val="21"/>
        </w:rPr>
        <w:t>用途不大，目前基本已不采用这种工</w:t>
      </w:r>
      <w:r>
        <w:rPr>
          <w:rFonts w:ascii="宋体" w:hAnsi="宋体" w:eastAsia="宋体" w:cs="宋体"/>
          <w:sz w:val="21"/>
          <w:szCs w:val="21"/>
        </w:rPr>
        <w:t xml:space="preserve"> </w:t>
      </w:r>
      <w:r>
        <w:rPr>
          <w:rFonts w:ascii="宋体" w:hAnsi="宋体" w:eastAsia="宋体" w:cs="宋体"/>
          <w:spacing w:val="-11"/>
          <w:sz w:val="21"/>
          <w:szCs w:val="21"/>
        </w:rPr>
        <w:t>艺。</w:t>
      </w:r>
    </w:p>
    <w:p w14:paraId="067FF5B5">
      <w:pPr>
        <w:spacing w:before="107" w:line="269" w:lineRule="auto"/>
        <w:ind w:right="48" w:firstLine="420"/>
        <w:rPr>
          <w:rFonts w:ascii="宋体" w:hAnsi="宋体" w:eastAsia="宋体" w:cs="宋体"/>
          <w:sz w:val="21"/>
          <w:szCs w:val="21"/>
        </w:rPr>
      </w:pPr>
      <w:r>
        <w:rPr>
          <w:rFonts w:ascii="宋体" w:hAnsi="宋体" w:eastAsia="宋体" w:cs="宋体"/>
          <w:spacing w:val="-1"/>
          <w:sz w:val="21"/>
          <w:szCs w:val="21"/>
        </w:rPr>
        <w:t>2.混合煤气：气化剂为空气和适量蒸汽的混合物；多用于冶金、机械、建</w:t>
      </w:r>
      <w:r>
        <w:rPr>
          <w:rFonts w:ascii="宋体" w:hAnsi="宋体" w:eastAsia="宋体" w:cs="宋体"/>
          <w:spacing w:val="-2"/>
          <w:sz w:val="21"/>
          <w:szCs w:val="21"/>
        </w:rPr>
        <w:t>筑材料等工业的熔炉和加</w:t>
      </w:r>
      <w:r>
        <w:rPr>
          <w:rFonts w:ascii="宋体" w:hAnsi="宋体" w:eastAsia="宋体" w:cs="宋体"/>
          <w:sz w:val="21"/>
          <w:szCs w:val="21"/>
        </w:rPr>
        <w:t xml:space="preserve"> </w:t>
      </w:r>
      <w:r>
        <w:rPr>
          <w:rFonts w:ascii="宋体" w:hAnsi="宋体" w:eastAsia="宋体" w:cs="宋体"/>
          <w:spacing w:val="-10"/>
          <w:sz w:val="21"/>
          <w:szCs w:val="21"/>
        </w:rPr>
        <w:t>热炉。</w:t>
      </w:r>
    </w:p>
    <w:p w14:paraId="56CD266F">
      <w:pPr>
        <w:spacing w:before="108" w:line="269" w:lineRule="auto"/>
        <w:ind w:right="47" w:firstLine="420"/>
        <w:rPr>
          <w:rFonts w:ascii="宋体" w:hAnsi="宋体" w:eastAsia="宋体" w:cs="宋体"/>
          <w:sz w:val="21"/>
          <w:szCs w:val="21"/>
        </w:rPr>
      </w:pPr>
      <w:r>
        <w:rPr>
          <w:rFonts w:ascii="宋体" w:hAnsi="宋体" w:eastAsia="宋体" w:cs="宋体"/>
          <w:spacing w:val="-1"/>
          <w:sz w:val="21"/>
          <w:szCs w:val="21"/>
        </w:rPr>
        <w:t>3.水煤气：气化剂为蒸汽；除用作燃料外，还可用作合成人造液体燃料的原</w:t>
      </w:r>
      <w:r>
        <w:rPr>
          <w:rFonts w:ascii="宋体" w:hAnsi="宋体" w:eastAsia="宋体" w:cs="宋体"/>
          <w:spacing w:val="-2"/>
          <w:sz w:val="21"/>
          <w:szCs w:val="21"/>
        </w:rPr>
        <w:t>料和有机合成工业的原</w:t>
      </w:r>
      <w:r>
        <w:rPr>
          <w:rFonts w:ascii="宋体" w:hAnsi="宋体" w:eastAsia="宋体" w:cs="宋体"/>
          <w:sz w:val="21"/>
          <w:szCs w:val="21"/>
        </w:rPr>
        <w:t xml:space="preserve"> </w:t>
      </w:r>
      <w:r>
        <w:rPr>
          <w:rFonts w:ascii="宋体" w:hAnsi="宋体" w:eastAsia="宋体" w:cs="宋体"/>
          <w:spacing w:val="-10"/>
          <w:sz w:val="21"/>
          <w:szCs w:val="21"/>
        </w:rPr>
        <w:t>料。</w:t>
      </w:r>
    </w:p>
    <w:p w14:paraId="191D9AFC">
      <w:pPr>
        <w:spacing w:before="109" w:line="219" w:lineRule="auto"/>
        <w:ind w:left="420"/>
        <w:rPr>
          <w:rFonts w:ascii="宋体" w:hAnsi="宋体" w:eastAsia="宋体" w:cs="宋体"/>
          <w:sz w:val="21"/>
          <w:szCs w:val="21"/>
        </w:rPr>
      </w:pPr>
      <w:r>
        <w:rPr>
          <w:rFonts w:ascii="宋体" w:hAnsi="宋体" w:eastAsia="宋体" w:cs="宋体"/>
          <w:spacing w:val="-2"/>
          <w:sz w:val="21"/>
          <w:szCs w:val="21"/>
        </w:rPr>
        <w:t>4.半水煤气：水煤气与空气煤气的混合气；多用作合成氨的原</w:t>
      </w:r>
      <w:r>
        <w:rPr>
          <w:rFonts w:ascii="宋体" w:hAnsi="宋体" w:eastAsia="宋体" w:cs="宋体"/>
          <w:spacing w:val="-3"/>
          <w:sz w:val="21"/>
          <w:szCs w:val="21"/>
        </w:rPr>
        <w:t>料。</w:t>
      </w:r>
    </w:p>
    <w:p w14:paraId="4D37F10D">
      <w:pPr>
        <w:spacing w:before="106" w:line="222" w:lineRule="auto"/>
        <w:ind w:left="422"/>
        <w:rPr>
          <w:rFonts w:ascii="宋体" w:hAnsi="宋体" w:eastAsia="宋体" w:cs="宋体"/>
          <w:sz w:val="21"/>
          <w:szCs w:val="21"/>
        </w:rPr>
      </w:pPr>
      <w:r>
        <w:rPr>
          <w:rFonts w:ascii="黑体" w:hAnsi="黑体" w:eastAsia="黑体" w:cs="黑体"/>
          <w:b/>
          <w:bCs/>
          <w:spacing w:val="-3"/>
          <w:sz w:val="21"/>
          <w:szCs w:val="21"/>
        </w:rPr>
        <w:t>油煤气</w:t>
      </w:r>
      <w:r>
        <w:rPr>
          <w:rFonts w:ascii="黑体" w:hAnsi="黑体" w:eastAsia="黑体" w:cs="黑体"/>
          <w:spacing w:val="-3"/>
          <w:sz w:val="21"/>
          <w:szCs w:val="21"/>
        </w:rPr>
        <w:t xml:space="preserve">  </w:t>
      </w:r>
      <w:r>
        <w:rPr>
          <w:rFonts w:ascii="宋体" w:hAnsi="宋体" w:eastAsia="宋体" w:cs="宋体"/>
          <w:spacing w:val="-3"/>
          <w:sz w:val="21"/>
          <w:szCs w:val="21"/>
        </w:rPr>
        <w:t>指以重油或其他石油产品为原料转换而成的煤气。</w:t>
      </w:r>
    </w:p>
    <w:p w14:paraId="615124DF">
      <w:pPr>
        <w:spacing w:before="108" w:line="222" w:lineRule="auto"/>
        <w:ind w:left="423"/>
        <w:rPr>
          <w:rFonts w:ascii="宋体" w:hAnsi="宋体" w:eastAsia="宋体" w:cs="宋体"/>
          <w:sz w:val="21"/>
          <w:szCs w:val="21"/>
        </w:rPr>
      </w:pPr>
      <w:r>
        <w:rPr>
          <w:rFonts w:ascii="黑体" w:hAnsi="黑体" w:eastAsia="黑体" w:cs="黑体"/>
          <w:b/>
          <w:bCs/>
          <w:spacing w:val="-2"/>
          <w:sz w:val="21"/>
          <w:szCs w:val="21"/>
        </w:rPr>
        <w:t>煤制天然气</w:t>
      </w:r>
      <w:r>
        <w:rPr>
          <w:rFonts w:ascii="黑体" w:hAnsi="黑体" w:eastAsia="黑体" w:cs="黑体"/>
          <w:spacing w:val="100"/>
          <w:sz w:val="21"/>
          <w:szCs w:val="21"/>
        </w:rPr>
        <w:t xml:space="preserve"> </w:t>
      </w:r>
      <w:r>
        <w:rPr>
          <w:rFonts w:ascii="宋体" w:hAnsi="宋体" w:eastAsia="宋体" w:cs="宋体"/>
          <w:spacing w:val="-2"/>
          <w:sz w:val="21"/>
          <w:szCs w:val="21"/>
        </w:rPr>
        <w:t>指以煤为原料经过加压气化后，脱硫提纯制得的含有</w:t>
      </w:r>
      <w:r>
        <w:rPr>
          <w:rFonts w:ascii="宋体" w:hAnsi="宋体" w:eastAsia="宋体" w:cs="宋体"/>
          <w:spacing w:val="-3"/>
          <w:sz w:val="21"/>
          <w:szCs w:val="21"/>
        </w:rPr>
        <w:t>可燃组分的气体。</w:t>
      </w:r>
    </w:p>
    <w:p w14:paraId="1A958B30">
      <w:pPr>
        <w:spacing w:before="117" w:line="279" w:lineRule="auto"/>
        <w:ind w:firstLine="423"/>
        <w:rPr>
          <w:rFonts w:ascii="宋体" w:hAnsi="宋体" w:eastAsia="宋体" w:cs="宋体"/>
          <w:sz w:val="21"/>
          <w:szCs w:val="21"/>
        </w:rPr>
      </w:pPr>
      <w:r>
        <w:rPr>
          <w:rFonts w:ascii="黑体" w:hAnsi="黑体" w:eastAsia="黑体" w:cs="黑体"/>
          <w:b/>
          <w:bCs/>
          <w:spacing w:val="-1"/>
          <w:sz w:val="21"/>
          <w:szCs w:val="21"/>
        </w:rPr>
        <w:t>煤制油</w:t>
      </w:r>
      <w:r>
        <w:rPr>
          <w:rFonts w:ascii="黑体" w:hAnsi="黑体" w:eastAsia="黑体" w:cs="黑体"/>
          <w:spacing w:val="95"/>
          <w:sz w:val="21"/>
          <w:szCs w:val="21"/>
        </w:rPr>
        <w:t xml:space="preserve"> </w:t>
      </w:r>
      <w:r>
        <w:rPr>
          <w:rFonts w:ascii="宋体" w:hAnsi="宋体" w:eastAsia="宋体" w:cs="宋体"/>
          <w:spacing w:val="-1"/>
          <w:sz w:val="21"/>
          <w:szCs w:val="21"/>
        </w:rPr>
        <w:t>指以煤炭为原料，通过化学加工过程生产的油品和石油化工产品，包含煤直接液化和煤间</w:t>
      </w:r>
      <w:r>
        <w:rPr>
          <w:rFonts w:ascii="宋体" w:hAnsi="宋体" w:eastAsia="宋体" w:cs="宋体"/>
          <w:sz w:val="21"/>
          <w:szCs w:val="21"/>
        </w:rPr>
        <w:t xml:space="preserve"> </w:t>
      </w:r>
      <w:r>
        <w:rPr>
          <w:rFonts w:ascii="宋体" w:hAnsi="宋体" w:eastAsia="宋体" w:cs="宋体"/>
          <w:spacing w:val="-5"/>
          <w:sz w:val="21"/>
          <w:szCs w:val="21"/>
        </w:rPr>
        <w:t>接液化两种技术路线。煤的直接液化将煤在高温高压条件下，通过催化加氢直接液化合成液态烃类燃料，</w:t>
      </w:r>
      <w:r>
        <w:rPr>
          <w:rFonts w:ascii="宋体" w:hAnsi="宋体" w:eastAsia="宋体" w:cs="宋体"/>
          <w:spacing w:val="14"/>
          <w:sz w:val="21"/>
          <w:szCs w:val="21"/>
        </w:rPr>
        <w:t xml:space="preserve"> </w:t>
      </w:r>
      <w:r>
        <w:rPr>
          <w:rFonts w:ascii="宋体" w:hAnsi="宋体" w:eastAsia="宋体" w:cs="宋体"/>
          <w:spacing w:val="-1"/>
          <w:sz w:val="21"/>
          <w:szCs w:val="21"/>
        </w:rPr>
        <w:t>并脱除硫、氮、氧等原子。煤的间接液化首先把煤气化为合成气，再通过费托合成转化为烃类燃料。</w:t>
      </w:r>
    </w:p>
    <w:p w14:paraId="69C30CB7">
      <w:pPr>
        <w:spacing w:before="98" w:line="279" w:lineRule="auto"/>
        <w:ind w:right="45" w:firstLine="423"/>
        <w:rPr>
          <w:rFonts w:ascii="宋体" w:hAnsi="宋体" w:eastAsia="宋体" w:cs="宋体"/>
          <w:sz w:val="21"/>
          <w:szCs w:val="21"/>
        </w:rPr>
      </w:pPr>
      <w:r>
        <w:rPr>
          <w:rFonts w:ascii="黑体" w:hAnsi="黑体" w:eastAsia="黑体" w:cs="黑体"/>
          <w:b/>
          <w:bCs/>
          <w:spacing w:val="-1"/>
          <w:sz w:val="21"/>
          <w:szCs w:val="21"/>
        </w:rPr>
        <w:t>煤制石脑油</w:t>
      </w:r>
      <w:r>
        <w:rPr>
          <w:rFonts w:ascii="黑体" w:hAnsi="黑体" w:eastAsia="黑体" w:cs="黑体"/>
          <w:spacing w:val="99"/>
          <w:sz w:val="21"/>
          <w:szCs w:val="21"/>
        </w:rPr>
        <w:t xml:space="preserve"> </w:t>
      </w:r>
      <w:r>
        <w:rPr>
          <w:rFonts w:ascii="宋体" w:hAnsi="宋体" w:eastAsia="宋体" w:cs="宋体"/>
          <w:spacing w:val="-1"/>
          <w:sz w:val="21"/>
          <w:szCs w:val="21"/>
        </w:rPr>
        <w:t>指以煤炭为原料，通过直接液化或间接液化</w:t>
      </w:r>
      <w:r>
        <w:rPr>
          <w:rFonts w:ascii="宋体" w:hAnsi="宋体" w:eastAsia="宋体" w:cs="宋体"/>
          <w:spacing w:val="-2"/>
          <w:sz w:val="21"/>
          <w:szCs w:val="21"/>
        </w:rPr>
        <w:t>得到的产品之一，或者是由煤焦油通过化</w:t>
      </w:r>
      <w:r>
        <w:rPr>
          <w:rFonts w:ascii="宋体" w:hAnsi="宋体" w:eastAsia="宋体" w:cs="宋体"/>
          <w:sz w:val="21"/>
          <w:szCs w:val="21"/>
        </w:rPr>
        <w:t xml:space="preserve"> </w:t>
      </w:r>
      <w:r>
        <w:rPr>
          <w:rFonts w:ascii="宋体" w:hAnsi="宋体" w:eastAsia="宋体" w:cs="宋体"/>
          <w:spacing w:val="-1"/>
          <w:sz w:val="21"/>
          <w:szCs w:val="21"/>
        </w:rPr>
        <w:t>学加工得。主要由芳烃、烷烃等组分组成。煤制石脑油与</w:t>
      </w:r>
      <w:r>
        <w:rPr>
          <w:rFonts w:ascii="宋体" w:hAnsi="宋体" w:eastAsia="宋体" w:cs="宋体"/>
          <w:spacing w:val="-2"/>
          <w:sz w:val="21"/>
          <w:szCs w:val="21"/>
        </w:rPr>
        <w:t>石油基石脑油有一定区别，纯苯、甲苯及二甲</w:t>
      </w:r>
      <w:r>
        <w:rPr>
          <w:rFonts w:ascii="宋体" w:hAnsi="宋体" w:eastAsia="宋体" w:cs="宋体"/>
          <w:sz w:val="21"/>
          <w:szCs w:val="21"/>
        </w:rPr>
        <w:t xml:space="preserve"> </w:t>
      </w:r>
      <w:r>
        <w:rPr>
          <w:rFonts w:ascii="宋体" w:hAnsi="宋体" w:eastAsia="宋体" w:cs="宋体"/>
          <w:spacing w:val="-3"/>
          <w:sz w:val="21"/>
          <w:szCs w:val="21"/>
        </w:rPr>
        <w:t>苯含量较高，且含硫量较高。</w:t>
      </w:r>
    </w:p>
    <w:p w14:paraId="521ED6F4">
      <w:pPr>
        <w:spacing w:before="137" w:line="270" w:lineRule="auto"/>
        <w:ind w:right="56" w:firstLine="423"/>
        <w:rPr>
          <w:rFonts w:ascii="宋体" w:hAnsi="宋体" w:eastAsia="宋体" w:cs="宋体"/>
          <w:sz w:val="21"/>
          <w:szCs w:val="21"/>
        </w:rPr>
      </w:pPr>
      <w:r>
        <w:rPr>
          <w:rFonts w:ascii="黑体" w:hAnsi="黑体" w:eastAsia="黑体" w:cs="黑体"/>
          <w:b/>
          <w:bCs/>
          <w:spacing w:val="-1"/>
          <w:sz w:val="21"/>
          <w:szCs w:val="21"/>
        </w:rPr>
        <w:t>煤制汽油</w:t>
      </w:r>
      <w:r>
        <w:rPr>
          <w:rFonts w:ascii="黑体" w:hAnsi="黑体" w:eastAsia="黑体" w:cs="黑体"/>
          <w:spacing w:val="89"/>
          <w:sz w:val="21"/>
          <w:szCs w:val="21"/>
        </w:rPr>
        <w:t xml:space="preserve"> </w:t>
      </w:r>
      <w:r>
        <w:rPr>
          <w:rFonts w:ascii="宋体" w:hAnsi="宋体" w:eastAsia="宋体" w:cs="宋体"/>
          <w:spacing w:val="-1"/>
          <w:sz w:val="21"/>
          <w:szCs w:val="21"/>
        </w:rPr>
        <w:t>指以煤炭为原料，通过直接液化或间接液化及催</w:t>
      </w:r>
      <w:r>
        <w:rPr>
          <w:rFonts w:ascii="宋体" w:hAnsi="宋体" w:eastAsia="宋体" w:cs="宋体"/>
          <w:spacing w:val="-2"/>
          <w:sz w:val="21"/>
          <w:szCs w:val="21"/>
        </w:rPr>
        <w:t>化重整等化学加工过程或是由煤焦油通</w:t>
      </w:r>
      <w:r>
        <w:rPr>
          <w:rFonts w:ascii="宋体" w:hAnsi="宋体" w:eastAsia="宋体" w:cs="宋体"/>
          <w:sz w:val="21"/>
          <w:szCs w:val="21"/>
        </w:rPr>
        <w:t xml:space="preserve"> </w:t>
      </w:r>
      <w:r>
        <w:rPr>
          <w:rFonts w:ascii="宋体" w:hAnsi="宋体" w:eastAsia="宋体" w:cs="宋体"/>
          <w:spacing w:val="-4"/>
          <w:sz w:val="21"/>
          <w:szCs w:val="21"/>
        </w:rPr>
        <w:t>过化学加工得到的汽油。</w:t>
      </w:r>
    </w:p>
    <w:p w14:paraId="3B61481C">
      <w:pPr>
        <w:spacing w:before="106" w:line="270" w:lineRule="auto"/>
        <w:ind w:right="56" w:firstLine="423"/>
        <w:rPr>
          <w:rFonts w:ascii="宋体" w:hAnsi="宋体" w:eastAsia="宋体" w:cs="宋体"/>
          <w:sz w:val="21"/>
          <w:szCs w:val="21"/>
        </w:rPr>
      </w:pPr>
      <w:r>
        <w:rPr>
          <w:rFonts w:ascii="黑体" w:hAnsi="黑体" w:eastAsia="黑体" w:cs="黑体"/>
          <w:b/>
          <w:bCs/>
          <w:spacing w:val="-1"/>
          <w:sz w:val="21"/>
          <w:szCs w:val="21"/>
        </w:rPr>
        <w:t>煤制柴油</w:t>
      </w:r>
      <w:r>
        <w:rPr>
          <w:rFonts w:ascii="黑体" w:hAnsi="黑体" w:eastAsia="黑体" w:cs="黑体"/>
          <w:spacing w:val="89"/>
          <w:sz w:val="21"/>
          <w:szCs w:val="21"/>
        </w:rPr>
        <w:t xml:space="preserve"> </w:t>
      </w:r>
      <w:r>
        <w:rPr>
          <w:rFonts w:ascii="宋体" w:hAnsi="宋体" w:eastAsia="宋体" w:cs="宋体"/>
          <w:spacing w:val="-1"/>
          <w:sz w:val="21"/>
          <w:szCs w:val="21"/>
        </w:rPr>
        <w:t>指以煤炭为原料，通过直接液化或间接液化及催</w:t>
      </w:r>
      <w:r>
        <w:rPr>
          <w:rFonts w:ascii="宋体" w:hAnsi="宋体" w:eastAsia="宋体" w:cs="宋体"/>
          <w:spacing w:val="-2"/>
          <w:sz w:val="21"/>
          <w:szCs w:val="21"/>
        </w:rPr>
        <w:t>化重整等化学加工过程或是由煤焦油通</w:t>
      </w:r>
      <w:r>
        <w:rPr>
          <w:rFonts w:ascii="宋体" w:hAnsi="宋体" w:eastAsia="宋体" w:cs="宋体"/>
          <w:sz w:val="21"/>
          <w:szCs w:val="21"/>
        </w:rPr>
        <w:t xml:space="preserve"> </w:t>
      </w:r>
      <w:r>
        <w:rPr>
          <w:rFonts w:ascii="宋体" w:hAnsi="宋体" w:eastAsia="宋体" w:cs="宋体"/>
          <w:spacing w:val="-4"/>
          <w:sz w:val="21"/>
          <w:szCs w:val="21"/>
        </w:rPr>
        <w:t>过化学加工得到的柴油。</w:t>
      </w:r>
    </w:p>
    <w:p w14:paraId="5C5873C2">
      <w:pPr>
        <w:spacing w:before="115" w:line="220" w:lineRule="auto"/>
        <w:ind w:right="35"/>
        <w:jc w:val="right"/>
        <w:rPr>
          <w:rFonts w:ascii="宋体" w:hAnsi="宋体" w:eastAsia="宋体" w:cs="宋体"/>
          <w:sz w:val="21"/>
          <w:szCs w:val="21"/>
        </w:rPr>
      </w:pPr>
      <w:r>
        <w:rPr>
          <w:rFonts w:ascii="黑体" w:hAnsi="黑体" w:eastAsia="黑体" w:cs="黑体"/>
          <w:b/>
          <w:bCs/>
          <w:spacing w:val="-1"/>
          <w:sz w:val="21"/>
          <w:szCs w:val="21"/>
        </w:rPr>
        <w:t>煤制航空燃料</w:t>
      </w:r>
      <w:r>
        <w:rPr>
          <w:rFonts w:ascii="黑体" w:hAnsi="黑体" w:eastAsia="黑体" w:cs="黑体"/>
          <w:spacing w:val="100"/>
          <w:sz w:val="21"/>
          <w:szCs w:val="21"/>
        </w:rPr>
        <w:t xml:space="preserve"> </w:t>
      </w:r>
      <w:r>
        <w:rPr>
          <w:rFonts w:ascii="宋体" w:hAnsi="宋体" w:eastAsia="宋体" w:cs="宋体"/>
          <w:spacing w:val="-1"/>
          <w:sz w:val="21"/>
          <w:szCs w:val="21"/>
        </w:rPr>
        <w:t>指以煤炭为原料，通过直接液化或间接液化及催化重整等</w:t>
      </w:r>
      <w:r>
        <w:rPr>
          <w:rFonts w:ascii="宋体" w:hAnsi="宋体" w:eastAsia="宋体" w:cs="宋体"/>
          <w:spacing w:val="-2"/>
          <w:sz w:val="21"/>
          <w:szCs w:val="21"/>
        </w:rPr>
        <w:t>化学加工过程得到的航空</w:t>
      </w:r>
    </w:p>
    <w:p w14:paraId="76C32C23">
      <w:pPr>
        <w:spacing w:line="220" w:lineRule="auto"/>
        <w:rPr>
          <w:rFonts w:ascii="宋体" w:hAnsi="宋体" w:eastAsia="宋体" w:cs="宋体"/>
          <w:sz w:val="21"/>
          <w:szCs w:val="21"/>
        </w:rPr>
        <w:sectPr>
          <w:headerReference r:id="rId56" w:type="default"/>
          <w:pgSz w:w="11910" w:h="16840"/>
          <w:pgMar w:top="1048" w:right="1224" w:bottom="400" w:left="1239" w:header="838" w:footer="0" w:gutter="0"/>
          <w:cols w:space="720" w:num="1"/>
        </w:sectPr>
      </w:pPr>
    </w:p>
    <w:p w14:paraId="310DB6F4">
      <w:pPr>
        <w:pStyle w:val="2"/>
        <w:spacing w:line="360" w:lineRule="auto"/>
      </w:pPr>
      <w:r>
        <w:pict>
          <v:rect id="_x0000_s1043" o:spid="_x0000_s1043" o:spt="1" style="position:absolute;left:0pt;margin-left:61.8pt;margin-top:52.4pt;height:0.55pt;width:18.9pt;mso-position-horizontal-relative:page;mso-position-vertical-relative:page;z-index:251753472;mso-width-relative:page;mso-height-relative:page;" fillcolor="#000000" filled="t" stroked="f" coordsize="21600,21600" o:allowincell="f">
            <v:path/>
            <v:fill on="t" focussize="0,0"/>
            <v:stroke on="f"/>
            <v:imagedata o:title=""/>
            <o:lock v:ext="edit"/>
          </v:rect>
        </w:pict>
      </w:r>
    </w:p>
    <w:p w14:paraId="42A45C44">
      <w:pPr>
        <w:spacing w:before="68" w:line="219" w:lineRule="auto"/>
        <w:ind w:left="3"/>
        <w:rPr>
          <w:rFonts w:ascii="宋体" w:hAnsi="宋体" w:eastAsia="宋体" w:cs="宋体"/>
          <w:sz w:val="21"/>
          <w:szCs w:val="21"/>
        </w:rPr>
      </w:pPr>
      <w:r>
        <w:rPr>
          <w:rFonts w:ascii="宋体" w:hAnsi="宋体" w:eastAsia="宋体" w:cs="宋体"/>
          <w:spacing w:val="-5"/>
          <w:sz w:val="21"/>
          <w:szCs w:val="21"/>
        </w:rPr>
        <w:t>煤油等航空燃料。</w:t>
      </w:r>
    </w:p>
    <w:p w14:paraId="7D642DC0">
      <w:pPr>
        <w:spacing w:before="106" w:line="222" w:lineRule="auto"/>
        <w:ind w:left="426"/>
        <w:rPr>
          <w:rFonts w:ascii="宋体" w:hAnsi="宋体" w:eastAsia="宋体" w:cs="宋体"/>
          <w:sz w:val="21"/>
          <w:szCs w:val="21"/>
        </w:rPr>
      </w:pPr>
      <w:r>
        <w:rPr>
          <w:rFonts w:ascii="黑体" w:hAnsi="黑体" w:eastAsia="黑体" w:cs="黑体"/>
          <w:b/>
          <w:bCs/>
          <w:spacing w:val="-3"/>
          <w:sz w:val="21"/>
          <w:szCs w:val="21"/>
        </w:rPr>
        <w:t>煤制石蜡</w:t>
      </w:r>
      <w:r>
        <w:rPr>
          <w:rFonts w:ascii="黑体" w:hAnsi="黑体" w:eastAsia="黑体" w:cs="黑体"/>
          <w:spacing w:val="-3"/>
          <w:sz w:val="21"/>
          <w:szCs w:val="21"/>
        </w:rPr>
        <w:t xml:space="preserve">  </w:t>
      </w:r>
      <w:r>
        <w:rPr>
          <w:rFonts w:ascii="宋体" w:hAnsi="宋体" w:eastAsia="宋体" w:cs="宋体"/>
          <w:spacing w:val="-3"/>
          <w:sz w:val="21"/>
          <w:szCs w:val="21"/>
        </w:rPr>
        <w:t>指煤通过间接液化等化学加工过程得到的石蜡。</w:t>
      </w:r>
    </w:p>
    <w:p w14:paraId="7FCDA257">
      <w:pPr>
        <w:spacing w:before="117" w:line="222" w:lineRule="auto"/>
        <w:ind w:left="426"/>
        <w:rPr>
          <w:rFonts w:ascii="宋体" w:hAnsi="宋体" w:eastAsia="宋体" w:cs="宋体"/>
          <w:sz w:val="21"/>
          <w:szCs w:val="21"/>
        </w:rPr>
      </w:pPr>
      <w:r>
        <w:rPr>
          <w:rFonts w:ascii="黑体" w:hAnsi="黑体" w:eastAsia="黑体" w:cs="黑体"/>
          <w:b/>
          <w:bCs/>
          <w:spacing w:val="-2"/>
          <w:sz w:val="21"/>
          <w:szCs w:val="21"/>
        </w:rPr>
        <w:t>其他煤制油产品</w:t>
      </w:r>
      <w:r>
        <w:rPr>
          <w:rFonts w:ascii="黑体" w:hAnsi="黑体" w:eastAsia="黑体" w:cs="黑体"/>
          <w:spacing w:val="97"/>
          <w:sz w:val="21"/>
          <w:szCs w:val="21"/>
        </w:rPr>
        <w:t xml:space="preserve"> </w:t>
      </w:r>
      <w:r>
        <w:rPr>
          <w:rFonts w:ascii="宋体" w:hAnsi="宋体" w:eastAsia="宋体" w:cs="宋体"/>
          <w:spacing w:val="-2"/>
          <w:sz w:val="21"/>
          <w:szCs w:val="21"/>
        </w:rPr>
        <w:t>不属于上述油品的其他煤制油产品。</w:t>
      </w:r>
    </w:p>
    <w:p w14:paraId="6F08FC4A">
      <w:pPr>
        <w:spacing w:before="109" w:line="279" w:lineRule="auto"/>
        <w:ind w:left="3" w:right="75" w:firstLine="422"/>
        <w:rPr>
          <w:rFonts w:ascii="宋体" w:hAnsi="宋体" w:eastAsia="宋体" w:cs="宋体"/>
          <w:sz w:val="21"/>
          <w:szCs w:val="21"/>
        </w:rPr>
      </w:pPr>
      <w:r>
        <w:rPr>
          <w:rFonts w:ascii="黑体" w:hAnsi="黑体" w:eastAsia="黑体" w:cs="黑体"/>
          <w:b/>
          <w:bCs/>
          <w:spacing w:val="-1"/>
          <w:sz w:val="21"/>
          <w:szCs w:val="21"/>
        </w:rPr>
        <w:t>天然气</w:t>
      </w:r>
      <w:r>
        <w:rPr>
          <w:rFonts w:ascii="黑体" w:hAnsi="黑体" w:eastAsia="黑体" w:cs="黑体"/>
          <w:spacing w:val="100"/>
          <w:sz w:val="21"/>
          <w:szCs w:val="21"/>
        </w:rPr>
        <w:t xml:space="preserve"> </w:t>
      </w:r>
      <w:r>
        <w:rPr>
          <w:rFonts w:ascii="宋体" w:hAnsi="宋体" w:eastAsia="宋体" w:cs="宋体"/>
          <w:spacing w:val="-1"/>
          <w:sz w:val="21"/>
          <w:szCs w:val="21"/>
        </w:rPr>
        <w:t>指以气态碳氢化合物为主的各种气体的混合物，由有机物质经生物化学作用分</w:t>
      </w:r>
      <w:r>
        <w:rPr>
          <w:rFonts w:ascii="宋体" w:hAnsi="宋体" w:eastAsia="宋体" w:cs="宋体"/>
          <w:spacing w:val="-2"/>
          <w:sz w:val="21"/>
          <w:szCs w:val="21"/>
        </w:rPr>
        <w:t>解而成，或</w:t>
      </w:r>
      <w:r>
        <w:rPr>
          <w:rFonts w:ascii="宋体" w:hAnsi="宋体" w:eastAsia="宋体" w:cs="宋体"/>
          <w:sz w:val="21"/>
          <w:szCs w:val="21"/>
        </w:rPr>
        <w:t xml:space="preserve"> </w:t>
      </w:r>
      <w:r>
        <w:rPr>
          <w:rFonts w:ascii="宋体" w:hAnsi="宋体" w:eastAsia="宋体" w:cs="宋体"/>
          <w:spacing w:val="3"/>
          <w:sz w:val="21"/>
          <w:szCs w:val="21"/>
        </w:rPr>
        <w:t>与石油共存于岩石的裂缝和空洞中，或以溶解状态存在于地下水中；主要成分为甲烷(约占85%-95</w:t>
      </w:r>
      <w:r>
        <w:rPr>
          <w:rFonts w:ascii="宋体" w:hAnsi="宋体" w:eastAsia="宋体" w:cs="宋体"/>
          <w:spacing w:val="2"/>
          <w:sz w:val="21"/>
          <w:szCs w:val="21"/>
        </w:rPr>
        <w:t>%),</w:t>
      </w:r>
      <w:r>
        <w:rPr>
          <w:rFonts w:ascii="宋体" w:hAnsi="宋体" w:eastAsia="宋体" w:cs="宋体"/>
          <w:sz w:val="21"/>
          <w:szCs w:val="21"/>
        </w:rPr>
        <w:t xml:space="preserve"> </w:t>
      </w:r>
      <w:r>
        <w:rPr>
          <w:rFonts w:ascii="宋体" w:hAnsi="宋体" w:eastAsia="宋体" w:cs="宋体"/>
          <w:spacing w:val="-1"/>
          <w:sz w:val="21"/>
          <w:szCs w:val="21"/>
        </w:rPr>
        <w:t>还有乙烷、丙烷、丁烷等，是一种优质燃料和化工原料。天然气分为常规天然气和非常规天然气。</w:t>
      </w:r>
    </w:p>
    <w:p w14:paraId="0D98943E">
      <w:pPr>
        <w:spacing w:before="126" w:line="222" w:lineRule="auto"/>
        <w:ind w:left="426"/>
        <w:rPr>
          <w:rFonts w:ascii="宋体" w:hAnsi="宋体" w:eastAsia="宋体" w:cs="宋体"/>
          <w:sz w:val="21"/>
          <w:szCs w:val="21"/>
        </w:rPr>
      </w:pPr>
      <w:r>
        <w:rPr>
          <w:rFonts w:ascii="黑体" w:hAnsi="黑体" w:eastAsia="黑体" w:cs="黑体"/>
          <w:b/>
          <w:bCs/>
          <w:spacing w:val="5"/>
          <w:sz w:val="21"/>
          <w:szCs w:val="21"/>
        </w:rPr>
        <w:t>常规天然气</w:t>
      </w:r>
      <w:r>
        <w:rPr>
          <w:rFonts w:ascii="黑体" w:hAnsi="黑体" w:eastAsia="黑体" w:cs="黑体"/>
          <w:spacing w:val="79"/>
          <w:sz w:val="21"/>
          <w:szCs w:val="21"/>
        </w:rPr>
        <w:t xml:space="preserve"> </w:t>
      </w:r>
      <w:r>
        <w:rPr>
          <w:rFonts w:ascii="宋体" w:hAnsi="宋体" w:eastAsia="宋体" w:cs="宋体"/>
          <w:spacing w:val="5"/>
          <w:sz w:val="21"/>
          <w:szCs w:val="21"/>
        </w:rPr>
        <w:t>包括气田天然气、油田天然气(分为油</w:t>
      </w:r>
      <w:r>
        <w:rPr>
          <w:rFonts w:ascii="宋体" w:hAnsi="宋体" w:eastAsia="宋体" w:cs="宋体"/>
          <w:spacing w:val="4"/>
          <w:sz w:val="21"/>
          <w:szCs w:val="21"/>
        </w:rPr>
        <w:t>田气层气、油田伴生溶解气)。</w:t>
      </w:r>
    </w:p>
    <w:p w14:paraId="2827019C">
      <w:pPr>
        <w:spacing w:before="117" w:line="222" w:lineRule="auto"/>
        <w:ind w:left="426"/>
        <w:rPr>
          <w:rFonts w:ascii="宋体" w:hAnsi="宋体" w:eastAsia="宋体" w:cs="宋体"/>
          <w:sz w:val="21"/>
          <w:szCs w:val="21"/>
        </w:rPr>
      </w:pPr>
      <w:r>
        <w:rPr>
          <w:rFonts w:ascii="黑体" w:hAnsi="黑体" w:eastAsia="黑体" w:cs="黑体"/>
          <w:b/>
          <w:bCs/>
          <w:spacing w:val="-3"/>
          <w:sz w:val="21"/>
          <w:szCs w:val="21"/>
        </w:rPr>
        <w:t>非常规天然气</w:t>
      </w:r>
      <w:r>
        <w:rPr>
          <w:rFonts w:ascii="黑体" w:hAnsi="黑体" w:eastAsia="黑体" w:cs="黑体"/>
          <w:spacing w:val="90"/>
          <w:sz w:val="21"/>
          <w:szCs w:val="21"/>
        </w:rPr>
        <w:t xml:space="preserve"> </w:t>
      </w:r>
      <w:r>
        <w:rPr>
          <w:rFonts w:ascii="宋体" w:hAnsi="宋体" w:eastAsia="宋体" w:cs="宋体"/>
          <w:spacing w:val="-3"/>
          <w:sz w:val="21"/>
          <w:szCs w:val="21"/>
        </w:rPr>
        <w:t>包括煤层气、页岩气、致密砂岩气等。</w:t>
      </w:r>
    </w:p>
    <w:p w14:paraId="21B14348">
      <w:pPr>
        <w:spacing w:before="102" w:line="263" w:lineRule="auto"/>
        <w:ind w:left="3" w:right="58" w:firstLine="420"/>
        <w:rPr>
          <w:rFonts w:ascii="宋体" w:hAnsi="宋体" w:eastAsia="宋体" w:cs="宋体"/>
          <w:sz w:val="21"/>
          <w:szCs w:val="21"/>
        </w:rPr>
      </w:pPr>
      <w:r>
        <w:rPr>
          <w:rFonts w:ascii="宋体" w:hAnsi="宋体" w:eastAsia="宋体" w:cs="宋体"/>
          <w:spacing w:val="7"/>
          <w:sz w:val="21"/>
          <w:szCs w:val="21"/>
        </w:rPr>
        <w:t>天然气体积随温度和压力的变化而变化，统计</w:t>
      </w:r>
      <w:r>
        <w:rPr>
          <w:rFonts w:ascii="宋体" w:hAnsi="宋体" w:eastAsia="宋体" w:cs="宋体"/>
          <w:spacing w:val="6"/>
          <w:sz w:val="21"/>
          <w:szCs w:val="21"/>
        </w:rPr>
        <w:t>时按标准状态下(压力为760毫米汞柱，温度20℃)</w:t>
      </w:r>
      <w:r>
        <w:rPr>
          <w:rFonts w:ascii="宋体" w:hAnsi="宋体" w:eastAsia="宋体" w:cs="宋体"/>
          <w:sz w:val="21"/>
          <w:szCs w:val="21"/>
        </w:rPr>
        <w:t xml:space="preserve"> </w:t>
      </w:r>
      <w:r>
        <w:rPr>
          <w:rFonts w:ascii="宋体" w:hAnsi="宋体" w:eastAsia="宋体" w:cs="宋体"/>
          <w:spacing w:val="-8"/>
          <w:sz w:val="21"/>
          <w:szCs w:val="21"/>
        </w:rPr>
        <w:t>的体积计算。</w:t>
      </w:r>
    </w:p>
    <w:p w14:paraId="6E519AA0">
      <w:pPr>
        <w:spacing w:before="121" w:line="219" w:lineRule="auto"/>
        <w:ind w:left="423"/>
        <w:rPr>
          <w:rFonts w:ascii="宋体" w:hAnsi="宋体" w:eastAsia="宋体" w:cs="宋体"/>
          <w:sz w:val="21"/>
          <w:szCs w:val="21"/>
        </w:rPr>
      </w:pPr>
      <w:r>
        <w:rPr>
          <w:rFonts w:ascii="宋体" w:hAnsi="宋体" w:eastAsia="宋体" w:cs="宋体"/>
          <w:spacing w:val="-2"/>
          <w:sz w:val="21"/>
          <w:szCs w:val="21"/>
        </w:rPr>
        <w:t>天然气产量是指进入集输管网和就地利用的全部气量。</w:t>
      </w:r>
    </w:p>
    <w:p w14:paraId="7E59D36E">
      <w:pPr>
        <w:spacing w:before="101" w:line="219" w:lineRule="auto"/>
        <w:ind w:left="423"/>
        <w:rPr>
          <w:rFonts w:ascii="宋体" w:hAnsi="宋体" w:eastAsia="宋体" w:cs="宋体"/>
          <w:sz w:val="21"/>
          <w:szCs w:val="21"/>
        </w:rPr>
      </w:pPr>
      <w:r>
        <w:rPr>
          <w:rFonts w:ascii="宋体" w:hAnsi="宋体" w:eastAsia="宋体" w:cs="宋体"/>
          <w:spacing w:val="-6"/>
          <w:sz w:val="21"/>
          <w:szCs w:val="21"/>
        </w:rPr>
        <w:t>天然气产量的计算原则：</w:t>
      </w:r>
    </w:p>
    <w:p w14:paraId="3DC0332C">
      <w:pPr>
        <w:spacing w:before="101" w:line="370" w:lineRule="exact"/>
        <w:ind w:left="423"/>
        <w:rPr>
          <w:rFonts w:ascii="宋体" w:hAnsi="宋体" w:eastAsia="宋体" w:cs="宋体"/>
          <w:sz w:val="21"/>
          <w:szCs w:val="21"/>
        </w:rPr>
      </w:pPr>
      <w:r>
        <w:rPr>
          <w:rFonts w:ascii="宋体" w:hAnsi="宋体" w:eastAsia="宋体" w:cs="宋体"/>
          <w:spacing w:val="-2"/>
          <w:position w:val="12"/>
          <w:sz w:val="21"/>
          <w:szCs w:val="21"/>
        </w:rPr>
        <w:t>1.气田天然气产量是指从井口产出经过油、气、水分离，进入集输管</w:t>
      </w:r>
      <w:r>
        <w:rPr>
          <w:rFonts w:ascii="宋体" w:hAnsi="宋体" w:eastAsia="宋体" w:cs="宋体"/>
          <w:spacing w:val="-3"/>
          <w:position w:val="12"/>
          <w:sz w:val="21"/>
          <w:szCs w:val="21"/>
        </w:rPr>
        <w:t>网和就地利用第一次计量的全</w:t>
      </w:r>
    </w:p>
    <w:p w14:paraId="6B98AD6D">
      <w:pPr>
        <w:spacing w:line="219" w:lineRule="auto"/>
        <w:ind w:left="3"/>
        <w:rPr>
          <w:rFonts w:ascii="宋体" w:hAnsi="宋体" w:eastAsia="宋体" w:cs="宋体"/>
          <w:sz w:val="21"/>
          <w:szCs w:val="21"/>
        </w:rPr>
      </w:pPr>
      <w:r>
        <w:rPr>
          <w:rFonts w:ascii="宋体" w:hAnsi="宋体" w:eastAsia="宋体" w:cs="宋体"/>
          <w:spacing w:val="-8"/>
          <w:sz w:val="21"/>
          <w:szCs w:val="21"/>
        </w:rPr>
        <w:t>部气量。</w:t>
      </w:r>
    </w:p>
    <w:p w14:paraId="76AF959D">
      <w:pPr>
        <w:spacing w:before="101" w:line="370" w:lineRule="exact"/>
        <w:ind w:left="423"/>
        <w:rPr>
          <w:rFonts w:ascii="宋体" w:hAnsi="宋体" w:eastAsia="宋体" w:cs="宋体"/>
          <w:sz w:val="21"/>
          <w:szCs w:val="21"/>
        </w:rPr>
      </w:pPr>
      <w:r>
        <w:rPr>
          <w:rFonts w:ascii="宋体" w:hAnsi="宋体" w:eastAsia="宋体" w:cs="宋体"/>
          <w:spacing w:val="-1"/>
          <w:position w:val="12"/>
          <w:sz w:val="21"/>
          <w:szCs w:val="21"/>
        </w:rPr>
        <w:t>2.油田天然气产量是指从油井产出，在油、气、水三相分离分输点，第一次通过仪表连续计量进入</w:t>
      </w:r>
    </w:p>
    <w:p w14:paraId="1AB7656E">
      <w:pPr>
        <w:spacing w:line="219" w:lineRule="auto"/>
        <w:ind w:left="3"/>
        <w:rPr>
          <w:rFonts w:ascii="宋体" w:hAnsi="宋体" w:eastAsia="宋体" w:cs="宋体"/>
          <w:sz w:val="21"/>
          <w:szCs w:val="21"/>
        </w:rPr>
      </w:pPr>
      <w:r>
        <w:rPr>
          <w:rFonts w:ascii="宋体" w:hAnsi="宋体" w:eastAsia="宋体" w:cs="宋体"/>
          <w:spacing w:val="-4"/>
          <w:sz w:val="21"/>
          <w:szCs w:val="21"/>
        </w:rPr>
        <w:t>管网和就地利用的全部气量。</w:t>
      </w:r>
    </w:p>
    <w:p w14:paraId="04454F25">
      <w:pPr>
        <w:spacing w:before="100" w:line="370" w:lineRule="exact"/>
        <w:ind w:left="423"/>
        <w:rPr>
          <w:rFonts w:ascii="宋体" w:hAnsi="宋体" w:eastAsia="宋体" w:cs="宋体"/>
          <w:sz w:val="21"/>
          <w:szCs w:val="21"/>
        </w:rPr>
      </w:pPr>
      <w:r>
        <w:rPr>
          <w:rFonts w:ascii="宋体" w:hAnsi="宋体" w:eastAsia="宋体" w:cs="宋体"/>
          <w:spacing w:val="-1"/>
          <w:position w:val="11"/>
          <w:sz w:val="21"/>
          <w:szCs w:val="21"/>
        </w:rPr>
        <w:t>3.对不具备条件未经油、气、水分离的就地自用气量和边远</w:t>
      </w:r>
      <w:r>
        <w:rPr>
          <w:rFonts w:ascii="宋体" w:hAnsi="宋体" w:eastAsia="宋体" w:cs="宋体"/>
          <w:spacing w:val="-2"/>
          <w:position w:val="11"/>
          <w:sz w:val="21"/>
          <w:szCs w:val="21"/>
        </w:rPr>
        <w:t>井产气就地利用气量，仍可按测定消耗</w:t>
      </w:r>
    </w:p>
    <w:p w14:paraId="28A2413E">
      <w:pPr>
        <w:spacing w:before="1" w:line="219" w:lineRule="auto"/>
        <w:ind w:left="3"/>
        <w:rPr>
          <w:rFonts w:ascii="宋体" w:hAnsi="宋体" w:eastAsia="宋体" w:cs="宋体"/>
          <w:sz w:val="21"/>
          <w:szCs w:val="21"/>
        </w:rPr>
      </w:pPr>
      <w:r>
        <w:rPr>
          <w:rFonts w:ascii="宋体" w:hAnsi="宋体" w:eastAsia="宋体" w:cs="宋体"/>
          <w:spacing w:val="-4"/>
          <w:sz w:val="21"/>
          <w:szCs w:val="21"/>
        </w:rPr>
        <w:t>定额的办法计算产气量。</w:t>
      </w:r>
    </w:p>
    <w:p w14:paraId="622B0D7C">
      <w:pPr>
        <w:spacing w:before="121" w:line="219" w:lineRule="auto"/>
        <w:ind w:left="423"/>
        <w:rPr>
          <w:rFonts w:ascii="宋体" w:hAnsi="宋体" w:eastAsia="宋体" w:cs="宋体"/>
          <w:sz w:val="21"/>
          <w:szCs w:val="21"/>
        </w:rPr>
      </w:pPr>
      <w:r>
        <w:rPr>
          <w:rFonts w:ascii="宋体" w:hAnsi="宋体" w:eastAsia="宋体" w:cs="宋体"/>
          <w:spacing w:val="-2"/>
          <w:sz w:val="21"/>
          <w:szCs w:val="21"/>
        </w:rPr>
        <w:t>4.经过油气水三相分离后的油井气中，可能含有一些凝聚物，应根据测定情况在气量中予以扣除。</w:t>
      </w:r>
    </w:p>
    <w:p w14:paraId="2496942C">
      <w:pPr>
        <w:spacing w:before="110" w:line="219" w:lineRule="auto"/>
        <w:ind w:left="423"/>
        <w:rPr>
          <w:rFonts w:ascii="宋体" w:hAnsi="宋体" w:eastAsia="宋体" w:cs="宋体"/>
          <w:sz w:val="21"/>
          <w:szCs w:val="21"/>
        </w:rPr>
      </w:pPr>
      <w:r>
        <w:rPr>
          <w:rFonts w:ascii="宋体" w:hAnsi="宋体" w:eastAsia="宋体" w:cs="宋体"/>
          <w:sz w:val="21"/>
          <w:szCs w:val="21"/>
        </w:rPr>
        <w:t>天然气产量计算公式：天然气产量=销售量+企业自用气量+损耗</w:t>
      </w:r>
      <w:r>
        <w:rPr>
          <w:rFonts w:ascii="宋体" w:hAnsi="宋体" w:eastAsia="宋体" w:cs="宋体"/>
          <w:spacing w:val="-1"/>
          <w:sz w:val="21"/>
          <w:szCs w:val="21"/>
        </w:rPr>
        <w:t>量及输差+期末库存-期初库存</w:t>
      </w:r>
    </w:p>
    <w:p w14:paraId="6D286B64">
      <w:pPr>
        <w:spacing w:before="110" w:line="270" w:lineRule="auto"/>
        <w:ind w:left="3" w:right="75" w:firstLine="420"/>
        <w:rPr>
          <w:rFonts w:ascii="宋体" w:hAnsi="宋体" w:eastAsia="宋体" w:cs="宋体"/>
          <w:sz w:val="21"/>
          <w:szCs w:val="21"/>
        </w:rPr>
      </w:pPr>
      <w:r>
        <w:rPr>
          <w:rFonts w:ascii="宋体" w:hAnsi="宋体" w:eastAsia="宋体" w:cs="宋体"/>
          <w:spacing w:val="-1"/>
          <w:sz w:val="21"/>
          <w:szCs w:val="21"/>
        </w:rPr>
        <w:t>天然气销售量是指供给本企业以外用户，以及供本企业内部炼油厂、化工厂等部门用气量和其他综</w:t>
      </w:r>
      <w:r>
        <w:rPr>
          <w:rFonts w:ascii="宋体" w:hAnsi="宋体" w:eastAsia="宋体" w:cs="宋体"/>
          <w:spacing w:val="1"/>
          <w:sz w:val="21"/>
          <w:szCs w:val="21"/>
        </w:rPr>
        <w:t xml:space="preserve"> </w:t>
      </w:r>
      <w:r>
        <w:rPr>
          <w:rFonts w:ascii="宋体" w:hAnsi="宋体" w:eastAsia="宋体" w:cs="宋体"/>
          <w:spacing w:val="-5"/>
          <w:sz w:val="21"/>
          <w:szCs w:val="21"/>
        </w:rPr>
        <w:t>合利用的气量。</w:t>
      </w:r>
    </w:p>
    <w:p w14:paraId="58548D98">
      <w:pPr>
        <w:spacing w:before="106" w:line="269" w:lineRule="auto"/>
        <w:ind w:left="3" w:right="95" w:firstLine="420"/>
        <w:rPr>
          <w:rFonts w:ascii="宋体" w:hAnsi="宋体" w:eastAsia="宋体" w:cs="宋体"/>
          <w:sz w:val="21"/>
          <w:szCs w:val="21"/>
        </w:rPr>
      </w:pPr>
      <w:r>
        <w:rPr>
          <w:rFonts w:ascii="宋体" w:hAnsi="宋体" w:eastAsia="宋体" w:cs="宋体"/>
          <w:spacing w:val="4"/>
          <w:sz w:val="21"/>
          <w:szCs w:val="21"/>
        </w:rPr>
        <w:t>天然气销售量按供气用途分为供大化肥用、供中小</w:t>
      </w:r>
      <w:r>
        <w:rPr>
          <w:rFonts w:ascii="宋体" w:hAnsi="宋体" w:eastAsia="宋体" w:cs="宋体"/>
          <w:spacing w:val="3"/>
          <w:sz w:val="21"/>
          <w:szCs w:val="21"/>
        </w:rPr>
        <w:t>化肥用、其他工业用、商业用、城市民用、其</w:t>
      </w:r>
      <w:r>
        <w:rPr>
          <w:rFonts w:ascii="宋体" w:hAnsi="宋体" w:eastAsia="宋体" w:cs="宋体"/>
          <w:sz w:val="21"/>
          <w:szCs w:val="21"/>
        </w:rPr>
        <w:t xml:space="preserve"> </w:t>
      </w:r>
      <w:r>
        <w:rPr>
          <w:rFonts w:ascii="宋体" w:hAnsi="宋体" w:eastAsia="宋体" w:cs="宋体"/>
          <w:spacing w:val="-9"/>
          <w:sz w:val="21"/>
          <w:szCs w:val="21"/>
        </w:rPr>
        <w:t>他用。</w:t>
      </w:r>
    </w:p>
    <w:p w14:paraId="5D6389CD">
      <w:pPr>
        <w:spacing w:before="109" w:line="268" w:lineRule="auto"/>
        <w:ind w:left="3" w:right="30" w:firstLine="420"/>
        <w:rPr>
          <w:rFonts w:ascii="宋体" w:hAnsi="宋体" w:eastAsia="宋体" w:cs="宋体"/>
          <w:sz w:val="21"/>
          <w:szCs w:val="21"/>
        </w:rPr>
      </w:pPr>
      <w:r>
        <w:rPr>
          <w:rFonts w:ascii="宋体" w:hAnsi="宋体" w:eastAsia="宋体" w:cs="宋体"/>
          <w:spacing w:val="-5"/>
          <w:sz w:val="21"/>
          <w:szCs w:val="21"/>
        </w:rPr>
        <w:t>销售量中供本企业用气量，主要是指供给本企业内炼油、化工、碳黑、硫磺、化肥、制盐等用气量，</w:t>
      </w:r>
      <w:r>
        <w:rPr>
          <w:rFonts w:ascii="宋体" w:hAnsi="宋体" w:eastAsia="宋体" w:cs="宋体"/>
          <w:spacing w:val="13"/>
          <w:sz w:val="21"/>
          <w:szCs w:val="21"/>
        </w:rPr>
        <w:t xml:space="preserve"> </w:t>
      </w:r>
      <w:r>
        <w:rPr>
          <w:rFonts w:ascii="宋体" w:hAnsi="宋体" w:eastAsia="宋体" w:cs="宋体"/>
          <w:spacing w:val="-3"/>
          <w:sz w:val="21"/>
          <w:szCs w:val="21"/>
        </w:rPr>
        <w:t>这部分气量计入其他工业用气量中。</w:t>
      </w:r>
    </w:p>
    <w:p w14:paraId="7021FC97">
      <w:pPr>
        <w:spacing w:before="111" w:line="219" w:lineRule="auto"/>
        <w:ind w:left="423"/>
        <w:rPr>
          <w:rFonts w:ascii="宋体" w:hAnsi="宋体" w:eastAsia="宋体" w:cs="宋体"/>
          <w:sz w:val="21"/>
          <w:szCs w:val="21"/>
        </w:rPr>
      </w:pPr>
      <w:r>
        <w:rPr>
          <w:rFonts w:ascii="宋体" w:hAnsi="宋体" w:eastAsia="宋体" w:cs="宋体"/>
          <w:spacing w:val="-1"/>
          <w:sz w:val="21"/>
          <w:szCs w:val="21"/>
        </w:rPr>
        <w:t>企业自用气量是指企业内部自用的全部天然气量。它包括生产用气和其他</w:t>
      </w:r>
      <w:r>
        <w:rPr>
          <w:rFonts w:ascii="宋体" w:hAnsi="宋体" w:eastAsia="宋体" w:cs="宋体"/>
          <w:spacing w:val="-2"/>
          <w:sz w:val="21"/>
          <w:szCs w:val="21"/>
        </w:rPr>
        <w:t>自用气量。</w:t>
      </w:r>
    </w:p>
    <w:p w14:paraId="71120E8E">
      <w:pPr>
        <w:spacing w:before="110" w:line="219" w:lineRule="auto"/>
        <w:ind w:left="423"/>
        <w:rPr>
          <w:rFonts w:ascii="宋体" w:hAnsi="宋体" w:eastAsia="宋体" w:cs="宋体"/>
          <w:sz w:val="21"/>
          <w:szCs w:val="21"/>
        </w:rPr>
      </w:pPr>
      <w:r>
        <w:rPr>
          <w:rFonts w:ascii="宋体" w:hAnsi="宋体" w:eastAsia="宋体" w:cs="宋体"/>
          <w:spacing w:val="-6"/>
          <w:sz w:val="21"/>
          <w:szCs w:val="21"/>
        </w:rPr>
        <w:t>1.生产自用气量，是指围绕油气生产所用的气量。</w:t>
      </w:r>
    </w:p>
    <w:p w14:paraId="5CDA2F10">
      <w:pPr>
        <w:spacing w:before="111" w:line="219" w:lineRule="auto"/>
        <w:ind w:left="423"/>
        <w:rPr>
          <w:rFonts w:ascii="宋体" w:hAnsi="宋体" w:eastAsia="宋体" w:cs="宋体"/>
          <w:sz w:val="21"/>
          <w:szCs w:val="21"/>
        </w:rPr>
      </w:pPr>
      <w:r>
        <w:rPr>
          <w:rFonts w:ascii="宋体" w:hAnsi="宋体" w:eastAsia="宋体" w:cs="宋体"/>
          <w:spacing w:val="-3"/>
          <w:sz w:val="21"/>
          <w:szCs w:val="21"/>
        </w:rPr>
        <w:t>2.其他自用气量，是指油田所属的文教、卫生、生活福利等部门的用气量。</w:t>
      </w:r>
    </w:p>
    <w:p w14:paraId="54DDB12C">
      <w:pPr>
        <w:spacing w:before="111" w:line="219" w:lineRule="auto"/>
        <w:ind w:left="423"/>
        <w:rPr>
          <w:rFonts w:ascii="宋体" w:hAnsi="宋体" w:eastAsia="宋体" w:cs="宋体"/>
          <w:sz w:val="21"/>
          <w:szCs w:val="21"/>
        </w:rPr>
      </w:pPr>
      <w:r>
        <w:rPr>
          <w:rFonts w:ascii="宋体" w:hAnsi="宋体" w:eastAsia="宋体" w:cs="宋体"/>
          <w:spacing w:val="-2"/>
          <w:sz w:val="21"/>
          <w:szCs w:val="21"/>
        </w:rPr>
        <w:t>天然气损耗量及输差是指天然气输送过程中的损耗及输差。</w:t>
      </w:r>
    </w:p>
    <w:p w14:paraId="6BC2E78D">
      <w:pPr>
        <w:spacing w:before="96" w:line="375" w:lineRule="exact"/>
        <w:ind w:left="426"/>
        <w:rPr>
          <w:rFonts w:ascii="宋体" w:hAnsi="宋体" w:eastAsia="宋体" w:cs="宋体"/>
          <w:sz w:val="21"/>
          <w:szCs w:val="21"/>
        </w:rPr>
      </w:pPr>
      <w:r>
        <w:rPr>
          <w:rFonts w:ascii="黑体" w:hAnsi="黑体" w:eastAsia="黑体" w:cs="黑体"/>
          <w:b/>
          <w:bCs/>
          <w:spacing w:val="-1"/>
          <w:position w:val="12"/>
          <w:sz w:val="21"/>
          <w:szCs w:val="21"/>
        </w:rPr>
        <w:t>煤层气</w:t>
      </w:r>
      <w:r>
        <w:rPr>
          <w:rFonts w:ascii="黑体" w:hAnsi="黑体" w:eastAsia="黑体" w:cs="黑体"/>
          <w:spacing w:val="-1"/>
          <w:position w:val="12"/>
          <w:sz w:val="21"/>
          <w:szCs w:val="21"/>
        </w:rPr>
        <w:t xml:space="preserve">  </w:t>
      </w:r>
      <w:r>
        <w:rPr>
          <w:rFonts w:ascii="宋体" w:hAnsi="宋体" w:eastAsia="宋体" w:cs="宋体"/>
          <w:spacing w:val="-1"/>
          <w:position w:val="12"/>
          <w:sz w:val="21"/>
          <w:szCs w:val="21"/>
        </w:rPr>
        <w:t>指储存在煤层中以甲烷为主要成分、以吸附在煤基质颗粒表面为主、部分游离于煤孔隙中</w:t>
      </w:r>
    </w:p>
    <w:p w14:paraId="06FE899C">
      <w:pPr>
        <w:spacing w:line="219" w:lineRule="auto"/>
        <w:ind w:left="3"/>
        <w:rPr>
          <w:rFonts w:ascii="宋体" w:hAnsi="宋体" w:eastAsia="宋体" w:cs="宋体"/>
          <w:sz w:val="21"/>
          <w:szCs w:val="21"/>
        </w:rPr>
      </w:pPr>
      <w:r>
        <w:rPr>
          <w:rFonts w:ascii="宋体" w:hAnsi="宋体" w:eastAsia="宋体" w:cs="宋体"/>
          <w:spacing w:val="-1"/>
          <w:sz w:val="21"/>
          <w:szCs w:val="21"/>
        </w:rPr>
        <w:t>或溶解于煤层水中的烃类气体，是煤的伴生矿产资源</w:t>
      </w:r>
      <w:r>
        <w:rPr>
          <w:rFonts w:ascii="宋体" w:hAnsi="宋体" w:eastAsia="宋体" w:cs="宋体"/>
          <w:spacing w:val="-2"/>
          <w:sz w:val="21"/>
          <w:szCs w:val="21"/>
        </w:rPr>
        <w:t>，属非常规天然气。</w:t>
      </w:r>
    </w:p>
    <w:p w14:paraId="0EB6F7C0">
      <w:pPr>
        <w:spacing w:before="108" w:line="269" w:lineRule="auto"/>
        <w:ind w:left="3" w:right="94" w:firstLine="423"/>
        <w:rPr>
          <w:rFonts w:ascii="宋体" w:hAnsi="宋体" w:eastAsia="宋体" w:cs="宋体"/>
          <w:sz w:val="21"/>
          <w:szCs w:val="21"/>
        </w:rPr>
      </w:pPr>
      <w:r>
        <w:rPr>
          <w:rFonts w:ascii="黑体" w:hAnsi="黑体" w:eastAsia="黑体" w:cs="黑体"/>
          <w:b/>
          <w:bCs/>
          <w:spacing w:val="4"/>
          <w:sz w:val="21"/>
          <w:szCs w:val="21"/>
        </w:rPr>
        <w:t>页岩气</w:t>
      </w:r>
      <w:r>
        <w:rPr>
          <w:rFonts w:ascii="黑体" w:hAnsi="黑体" w:eastAsia="黑体" w:cs="黑体"/>
          <w:spacing w:val="95"/>
          <w:sz w:val="21"/>
          <w:szCs w:val="21"/>
        </w:rPr>
        <w:t xml:space="preserve"> </w:t>
      </w:r>
      <w:r>
        <w:rPr>
          <w:rFonts w:ascii="宋体" w:hAnsi="宋体" w:eastAsia="宋体" w:cs="宋体"/>
          <w:spacing w:val="4"/>
          <w:sz w:val="21"/>
          <w:szCs w:val="21"/>
        </w:rPr>
        <w:t>指赋存于富有机质泥页岩及其夹层中，以吸附或游离</w:t>
      </w:r>
      <w:r>
        <w:rPr>
          <w:rFonts w:ascii="宋体" w:hAnsi="宋体" w:eastAsia="宋体" w:cs="宋体"/>
          <w:spacing w:val="3"/>
          <w:sz w:val="21"/>
          <w:szCs w:val="21"/>
        </w:rPr>
        <w:t>状态为主要存在方式的非常规天然</w:t>
      </w:r>
      <w:r>
        <w:rPr>
          <w:rFonts w:ascii="宋体" w:hAnsi="宋体" w:eastAsia="宋体" w:cs="宋体"/>
          <w:sz w:val="21"/>
          <w:szCs w:val="21"/>
        </w:rPr>
        <w:t xml:space="preserve"> </w:t>
      </w:r>
      <w:r>
        <w:rPr>
          <w:rFonts w:ascii="宋体" w:hAnsi="宋体" w:eastAsia="宋体" w:cs="宋体"/>
          <w:spacing w:val="-2"/>
          <w:sz w:val="21"/>
          <w:szCs w:val="21"/>
        </w:rPr>
        <w:t>气，成分以甲烷为主，是一种清洁、高效能源。</w:t>
      </w:r>
    </w:p>
    <w:p w14:paraId="548E6C42">
      <w:pPr>
        <w:spacing w:before="98" w:line="285" w:lineRule="auto"/>
        <w:ind w:left="3" w:right="93" w:firstLine="423"/>
        <w:rPr>
          <w:rFonts w:ascii="宋体" w:hAnsi="宋体" w:eastAsia="宋体" w:cs="宋体"/>
          <w:sz w:val="21"/>
          <w:szCs w:val="21"/>
        </w:rPr>
      </w:pPr>
      <w:r>
        <w:rPr>
          <w:rFonts w:ascii="黑体" w:hAnsi="黑体" w:eastAsia="黑体" w:cs="黑体"/>
          <w:b/>
          <w:bCs/>
          <w:spacing w:val="-4"/>
          <w:sz w:val="21"/>
          <w:szCs w:val="21"/>
        </w:rPr>
        <w:t>致密砂岩气</w:t>
      </w:r>
      <w:r>
        <w:rPr>
          <w:rFonts w:ascii="黑体" w:hAnsi="黑体" w:eastAsia="黑体" w:cs="黑体"/>
          <w:spacing w:val="91"/>
          <w:sz w:val="21"/>
          <w:szCs w:val="21"/>
        </w:rPr>
        <w:t xml:space="preserve"> </w:t>
      </w:r>
      <w:r>
        <w:rPr>
          <w:rFonts w:ascii="黑体" w:hAnsi="黑体" w:eastAsia="黑体" w:cs="黑体"/>
          <w:spacing w:val="-4"/>
          <w:sz w:val="21"/>
          <w:szCs w:val="21"/>
        </w:rPr>
        <w:t>指覆压基质渗透率小于或等于0.1×10</w:t>
      </w:r>
      <w:r>
        <w:rPr>
          <w:rFonts w:ascii="宋体" w:hAnsi="宋体" w:eastAsia="宋体" w:cs="宋体"/>
          <w:spacing w:val="-4"/>
          <w:sz w:val="21"/>
          <w:szCs w:val="21"/>
        </w:rPr>
        <w:t>³</w:t>
      </w:r>
      <w:r>
        <w:rPr>
          <w:rFonts w:ascii="宋体" w:hAnsi="宋体" w:eastAsia="宋体" w:cs="宋体"/>
          <w:spacing w:val="-40"/>
          <w:sz w:val="21"/>
          <w:szCs w:val="21"/>
        </w:rPr>
        <w:t xml:space="preserve"> </w:t>
      </w:r>
      <w:r>
        <w:rPr>
          <w:rFonts w:ascii="黑体" w:hAnsi="黑体" w:eastAsia="黑体" w:cs="黑体"/>
          <w:spacing w:val="-4"/>
          <w:sz w:val="21"/>
          <w:szCs w:val="21"/>
        </w:rPr>
        <w:t>μ</w:t>
      </w:r>
      <w:r>
        <w:rPr>
          <w:rFonts w:ascii="Times New Roman" w:hAnsi="Times New Roman" w:eastAsia="Times New Roman" w:cs="Times New Roman"/>
          <w:spacing w:val="-4"/>
          <w:sz w:val="21"/>
          <w:szCs w:val="21"/>
        </w:rPr>
        <w:t xml:space="preserve">m² </w:t>
      </w:r>
      <w:r>
        <w:rPr>
          <w:rFonts w:ascii="宋体" w:hAnsi="宋体" w:eastAsia="宋体" w:cs="宋体"/>
          <w:spacing w:val="-4"/>
          <w:sz w:val="21"/>
          <w:szCs w:val="21"/>
        </w:rPr>
        <w:t>的砂岩气层，单井一般无</w:t>
      </w:r>
      <w:r>
        <w:rPr>
          <w:rFonts w:ascii="宋体" w:hAnsi="宋体" w:eastAsia="宋体" w:cs="宋体"/>
          <w:spacing w:val="-5"/>
          <w:sz w:val="21"/>
          <w:szCs w:val="21"/>
        </w:rPr>
        <w:t>自然产能或自然</w:t>
      </w:r>
      <w:r>
        <w:rPr>
          <w:rFonts w:ascii="宋体" w:hAnsi="宋体" w:eastAsia="宋体" w:cs="宋体"/>
          <w:sz w:val="21"/>
          <w:szCs w:val="21"/>
        </w:rPr>
        <w:t xml:space="preserve"> </w:t>
      </w:r>
      <w:r>
        <w:rPr>
          <w:rFonts w:ascii="宋体" w:hAnsi="宋体" w:eastAsia="宋体" w:cs="宋体"/>
          <w:spacing w:val="-1"/>
          <w:sz w:val="21"/>
          <w:szCs w:val="21"/>
        </w:rPr>
        <w:t>产能低于工业气流下限，但在一定经济条件和技术措施下可获得工业</w:t>
      </w:r>
      <w:r>
        <w:rPr>
          <w:rFonts w:ascii="宋体" w:hAnsi="宋体" w:eastAsia="宋体" w:cs="宋体"/>
          <w:spacing w:val="-2"/>
          <w:sz w:val="21"/>
          <w:szCs w:val="21"/>
        </w:rPr>
        <w:t>天然气产量。通常情况下，这些措</w:t>
      </w:r>
      <w:r>
        <w:rPr>
          <w:rFonts w:ascii="宋体" w:hAnsi="宋体" w:eastAsia="宋体" w:cs="宋体"/>
          <w:sz w:val="21"/>
          <w:szCs w:val="21"/>
        </w:rPr>
        <w:t xml:space="preserve"> </w:t>
      </w:r>
      <w:r>
        <w:rPr>
          <w:rFonts w:ascii="宋体" w:hAnsi="宋体" w:eastAsia="宋体" w:cs="宋体"/>
          <w:spacing w:val="-3"/>
          <w:sz w:val="21"/>
          <w:szCs w:val="21"/>
        </w:rPr>
        <w:t>施包括压裂、水平井、多分支井等。</w:t>
      </w:r>
    </w:p>
    <w:p w14:paraId="7CA23A25">
      <w:pPr>
        <w:spacing w:before="106" w:line="374" w:lineRule="exact"/>
        <w:jc w:val="right"/>
        <w:rPr>
          <w:rFonts w:ascii="宋体" w:hAnsi="宋体" w:eastAsia="宋体" w:cs="宋体"/>
          <w:sz w:val="21"/>
          <w:szCs w:val="21"/>
        </w:rPr>
      </w:pPr>
      <w:r>
        <w:rPr>
          <w:rFonts w:ascii="黑体" w:hAnsi="黑体" w:eastAsia="黑体" w:cs="黑体"/>
          <w:b/>
          <w:bCs/>
          <w:spacing w:val="-4"/>
          <w:position w:val="12"/>
          <w:sz w:val="21"/>
          <w:szCs w:val="21"/>
        </w:rPr>
        <w:t>液化天然气</w:t>
      </w:r>
      <w:r>
        <w:rPr>
          <w:rFonts w:ascii="黑体" w:hAnsi="黑体" w:eastAsia="黑体" w:cs="黑体"/>
          <w:spacing w:val="-4"/>
          <w:position w:val="12"/>
          <w:sz w:val="21"/>
          <w:szCs w:val="21"/>
        </w:rPr>
        <w:t xml:space="preserve">  </w:t>
      </w:r>
      <w:r>
        <w:rPr>
          <w:rFonts w:ascii="宋体" w:hAnsi="宋体" w:eastAsia="宋体" w:cs="宋体"/>
          <w:spacing w:val="-4"/>
          <w:position w:val="12"/>
          <w:sz w:val="21"/>
          <w:szCs w:val="21"/>
        </w:rPr>
        <w:t>指液体状态的天然气，由气态天然气在一定温度和压力条件下</w:t>
      </w:r>
      <w:r>
        <w:rPr>
          <w:rFonts w:ascii="宋体" w:hAnsi="宋体" w:eastAsia="宋体" w:cs="宋体"/>
          <w:spacing w:val="-5"/>
          <w:position w:val="12"/>
          <w:sz w:val="21"/>
          <w:szCs w:val="21"/>
        </w:rPr>
        <w:t>液化而成，无毒、无色、</w:t>
      </w:r>
    </w:p>
    <w:p w14:paraId="79DFE0E0">
      <w:pPr>
        <w:spacing w:line="219" w:lineRule="auto"/>
        <w:ind w:left="3"/>
        <w:rPr>
          <w:rFonts w:ascii="宋体" w:hAnsi="宋体" w:eastAsia="宋体" w:cs="宋体"/>
          <w:sz w:val="21"/>
          <w:szCs w:val="21"/>
        </w:rPr>
      </w:pPr>
      <w:r>
        <w:rPr>
          <w:rFonts w:ascii="宋体" w:hAnsi="宋体" w:eastAsia="宋体" w:cs="宋体"/>
          <w:spacing w:val="-1"/>
          <w:sz w:val="21"/>
          <w:szCs w:val="21"/>
        </w:rPr>
        <w:t>无味，在-161℃下的密度约为425千克/立方米。天然气在常温、常压状态为气态，占有的</w:t>
      </w:r>
      <w:r>
        <w:rPr>
          <w:rFonts w:ascii="宋体" w:hAnsi="宋体" w:eastAsia="宋体" w:cs="宋体"/>
          <w:spacing w:val="-2"/>
          <w:sz w:val="21"/>
          <w:szCs w:val="21"/>
        </w:rPr>
        <w:t>体积大，不利</w:t>
      </w:r>
    </w:p>
    <w:p w14:paraId="5707812F">
      <w:pPr>
        <w:spacing w:line="219" w:lineRule="auto"/>
        <w:rPr>
          <w:rFonts w:ascii="宋体" w:hAnsi="宋体" w:eastAsia="宋体" w:cs="宋体"/>
          <w:sz w:val="21"/>
          <w:szCs w:val="21"/>
        </w:rPr>
        <w:sectPr>
          <w:headerReference r:id="rId57" w:type="default"/>
          <w:pgSz w:w="11910" w:h="16840"/>
          <w:pgMar w:top="1048" w:right="1184" w:bottom="400" w:left="1236" w:header="838" w:footer="0" w:gutter="0"/>
          <w:cols w:space="720" w:num="1"/>
        </w:sectPr>
      </w:pPr>
    </w:p>
    <w:p w14:paraId="3D3AEDE1">
      <w:pPr>
        <w:pStyle w:val="2"/>
        <w:spacing w:line="367" w:lineRule="auto"/>
      </w:pPr>
    </w:p>
    <w:p w14:paraId="48E1436B">
      <w:pPr>
        <w:spacing w:before="68" w:line="216" w:lineRule="auto"/>
        <w:rPr>
          <w:rFonts w:ascii="宋体" w:hAnsi="宋体" w:eastAsia="宋体" w:cs="宋体"/>
          <w:sz w:val="21"/>
          <w:szCs w:val="21"/>
        </w:rPr>
      </w:pPr>
      <w:r>
        <w:rPr>
          <w:rFonts w:ascii="宋体" w:hAnsi="宋体" w:eastAsia="宋体" w:cs="宋体"/>
          <w:spacing w:val="1"/>
          <w:sz w:val="21"/>
          <w:szCs w:val="21"/>
        </w:rPr>
        <w:t>于储存，液化后体积只有气态的1/600左右。天然气的主</w:t>
      </w:r>
      <w:r>
        <w:rPr>
          <w:rFonts w:ascii="宋体" w:hAnsi="宋体" w:eastAsia="宋体" w:cs="宋体"/>
          <w:sz w:val="21"/>
          <w:szCs w:val="21"/>
        </w:rPr>
        <w:t>要成分—甲烷的临界温度为-82℃,故在常温下</w:t>
      </w:r>
    </w:p>
    <w:p w14:paraId="59BAAA4D">
      <w:pPr>
        <w:spacing w:before="105" w:line="250" w:lineRule="auto"/>
        <w:ind w:left="120" w:right="28" w:hanging="120"/>
        <w:rPr>
          <w:rFonts w:ascii="宋体" w:hAnsi="宋体" w:eastAsia="宋体" w:cs="宋体"/>
          <w:sz w:val="21"/>
          <w:szCs w:val="21"/>
        </w:rPr>
      </w:pPr>
      <w:r>
        <w:rPr>
          <w:rFonts w:ascii="宋体" w:hAnsi="宋体" w:eastAsia="宋体" w:cs="宋体"/>
          <w:spacing w:val="-1"/>
          <w:sz w:val="21"/>
          <w:szCs w:val="21"/>
        </w:rPr>
        <w:t>不可能通过压缩而将其液化。而当将甲烷冷却到-161℃以下时，在常压下即转</w:t>
      </w:r>
      <w:r>
        <w:rPr>
          <w:rFonts w:ascii="宋体" w:hAnsi="宋体" w:eastAsia="宋体" w:cs="宋体"/>
          <w:spacing w:val="-2"/>
          <w:sz w:val="21"/>
          <w:szCs w:val="21"/>
        </w:rPr>
        <w:t>化为液体，即液化天然气</w:t>
      </w:r>
      <w:r>
        <w:rPr>
          <w:rFonts w:ascii="宋体" w:hAnsi="宋体" w:eastAsia="宋体" w:cs="宋体"/>
          <w:sz w:val="21"/>
          <w:szCs w:val="21"/>
        </w:rPr>
        <w:t xml:space="preserve"> </w:t>
      </w:r>
      <w:r>
        <w:rPr>
          <w:rFonts w:ascii="Times New Roman" w:hAnsi="Times New Roman" w:eastAsia="Times New Roman" w:cs="Times New Roman"/>
          <w:spacing w:val="-2"/>
          <w:sz w:val="21"/>
          <w:szCs w:val="21"/>
        </w:rPr>
        <w:t>(LNG)</w:t>
      </w:r>
      <w:r>
        <w:rPr>
          <w:rFonts w:ascii="宋体" w:hAnsi="宋体" w:eastAsia="宋体" w:cs="宋体"/>
          <w:spacing w:val="-2"/>
          <w:sz w:val="21"/>
          <w:szCs w:val="21"/>
        </w:rPr>
        <w:t>。</w:t>
      </w:r>
    </w:p>
    <w:p w14:paraId="486DCD8B">
      <w:pPr>
        <w:spacing w:before="139" w:line="273" w:lineRule="auto"/>
        <w:ind w:right="56" w:firstLine="433"/>
        <w:rPr>
          <w:rFonts w:ascii="宋体" w:hAnsi="宋体" w:eastAsia="宋体" w:cs="宋体"/>
          <w:sz w:val="21"/>
          <w:szCs w:val="21"/>
        </w:rPr>
      </w:pPr>
      <w:r>
        <w:rPr>
          <w:rFonts w:ascii="黑体" w:hAnsi="黑体" w:eastAsia="黑体" w:cs="黑体"/>
          <w:b/>
          <w:bCs/>
          <w:spacing w:val="8"/>
          <w:sz w:val="21"/>
          <w:szCs w:val="21"/>
        </w:rPr>
        <w:t>原油</w:t>
      </w:r>
      <w:r>
        <w:rPr>
          <w:rFonts w:ascii="黑体" w:hAnsi="黑体" w:eastAsia="黑体" w:cs="黑体"/>
          <w:spacing w:val="101"/>
          <w:sz w:val="21"/>
          <w:szCs w:val="21"/>
        </w:rPr>
        <w:t xml:space="preserve"> </w:t>
      </w:r>
      <w:r>
        <w:rPr>
          <w:rFonts w:ascii="宋体" w:hAnsi="宋体" w:eastAsia="宋体" w:cs="宋体"/>
          <w:spacing w:val="8"/>
          <w:sz w:val="21"/>
          <w:szCs w:val="21"/>
        </w:rPr>
        <w:t>指各种碳氢化合物的复杂混合物，通常呈暗褐色或者黑色液态，少数呈黄色、淡红色、</w:t>
      </w:r>
      <w:r>
        <w:rPr>
          <w:rFonts w:ascii="宋体" w:hAnsi="宋体" w:eastAsia="宋体" w:cs="宋体"/>
          <w:sz w:val="21"/>
          <w:szCs w:val="21"/>
        </w:rPr>
        <w:t xml:space="preserve"> </w:t>
      </w:r>
      <w:r>
        <w:rPr>
          <w:rFonts w:ascii="宋体" w:hAnsi="宋体" w:eastAsia="宋体" w:cs="宋体"/>
          <w:spacing w:val="-3"/>
          <w:sz w:val="21"/>
          <w:szCs w:val="21"/>
        </w:rPr>
        <w:t>淡褐色。</w:t>
      </w:r>
    </w:p>
    <w:p w14:paraId="6342D599">
      <w:pPr>
        <w:spacing w:before="112" w:line="219" w:lineRule="auto"/>
        <w:ind w:left="560"/>
        <w:rPr>
          <w:rFonts w:ascii="宋体" w:hAnsi="宋体" w:eastAsia="宋体" w:cs="宋体"/>
          <w:sz w:val="21"/>
          <w:szCs w:val="21"/>
        </w:rPr>
      </w:pPr>
      <w:r>
        <w:rPr>
          <w:rFonts w:ascii="宋体" w:hAnsi="宋体" w:eastAsia="宋体" w:cs="宋体"/>
          <w:spacing w:val="2"/>
          <w:sz w:val="21"/>
          <w:szCs w:val="21"/>
        </w:rPr>
        <w:t>(一)原油产量的计算原则：</w:t>
      </w:r>
    </w:p>
    <w:p w14:paraId="150EDE1A">
      <w:pPr>
        <w:spacing w:before="120" w:line="219" w:lineRule="auto"/>
        <w:ind w:left="430"/>
        <w:rPr>
          <w:rFonts w:ascii="宋体" w:hAnsi="宋体" w:eastAsia="宋体" w:cs="宋体"/>
          <w:sz w:val="21"/>
          <w:szCs w:val="21"/>
        </w:rPr>
      </w:pPr>
      <w:r>
        <w:rPr>
          <w:rFonts w:ascii="宋体" w:hAnsi="宋体" w:eastAsia="宋体" w:cs="宋体"/>
          <w:spacing w:val="3"/>
          <w:sz w:val="21"/>
          <w:szCs w:val="21"/>
        </w:rPr>
        <w:t>1.原油产量按净原油量(即：扣除含水、泥沙后的原油量)计算。</w:t>
      </w:r>
    </w:p>
    <w:p w14:paraId="4B66CE15">
      <w:pPr>
        <w:spacing w:before="90" w:line="376" w:lineRule="exact"/>
        <w:ind w:right="40"/>
        <w:jc w:val="right"/>
        <w:rPr>
          <w:rFonts w:ascii="宋体" w:hAnsi="宋体" w:eastAsia="宋体" w:cs="宋体"/>
          <w:sz w:val="21"/>
          <w:szCs w:val="21"/>
        </w:rPr>
      </w:pPr>
      <w:r>
        <w:rPr>
          <w:rFonts w:ascii="宋体" w:hAnsi="宋体" w:eastAsia="宋体" w:cs="宋体"/>
          <w:spacing w:val="-2"/>
          <w:position w:val="12"/>
          <w:sz w:val="21"/>
          <w:szCs w:val="21"/>
        </w:rPr>
        <w:t>2.为了合理开发利用国家地下石油资源，从采油井采出的原油必须进入集输系统，尽量减少进入土</w:t>
      </w:r>
    </w:p>
    <w:p w14:paraId="33AF612F">
      <w:pPr>
        <w:spacing w:line="223" w:lineRule="auto"/>
        <w:rPr>
          <w:rFonts w:ascii="宋体" w:hAnsi="宋体" w:eastAsia="宋体" w:cs="宋体"/>
          <w:sz w:val="21"/>
          <w:szCs w:val="21"/>
        </w:rPr>
      </w:pPr>
      <w:r>
        <w:rPr>
          <w:rFonts w:ascii="宋体" w:hAnsi="宋体" w:eastAsia="宋体" w:cs="宋体"/>
          <w:spacing w:val="-15"/>
          <w:sz w:val="21"/>
          <w:szCs w:val="21"/>
        </w:rPr>
        <w:t>油池。</w:t>
      </w:r>
    </w:p>
    <w:p w14:paraId="62E60C8F">
      <w:pPr>
        <w:spacing w:before="110" w:line="264" w:lineRule="auto"/>
        <w:ind w:right="12" w:firstLine="430"/>
        <w:rPr>
          <w:rFonts w:ascii="宋体" w:hAnsi="宋体" w:eastAsia="宋体" w:cs="宋体"/>
          <w:sz w:val="21"/>
          <w:szCs w:val="21"/>
        </w:rPr>
      </w:pPr>
      <w:r>
        <w:rPr>
          <w:rFonts w:ascii="宋体" w:hAnsi="宋体" w:eastAsia="宋体" w:cs="宋体"/>
          <w:spacing w:val="-1"/>
          <w:sz w:val="21"/>
          <w:szCs w:val="21"/>
        </w:rPr>
        <w:t>3.因事故、自然灾害及从探井、报废井、未交采油单位或未具备生产条件的井中</w:t>
      </w:r>
      <w:r>
        <w:rPr>
          <w:rFonts w:ascii="宋体" w:hAnsi="宋体" w:eastAsia="宋体" w:cs="宋体"/>
          <w:spacing w:val="-2"/>
          <w:sz w:val="21"/>
          <w:szCs w:val="21"/>
        </w:rPr>
        <w:t>产生的落地油，其</w:t>
      </w:r>
      <w:r>
        <w:rPr>
          <w:rFonts w:ascii="宋体" w:hAnsi="宋体" w:eastAsia="宋体" w:cs="宋体"/>
          <w:sz w:val="21"/>
          <w:szCs w:val="21"/>
        </w:rPr>
        <w:t xml:space="preserve"> </w:t>
      </w:r>
      <w:r>
        <w:rPr>
          <w:rFonts w:ascii="宋体" w:hAnsi="宋体" w:eastAsia="宋体" w:cs="宋体"/>
          <w:spacing w:val="-2"/>
          <w:sz w:val="21"/>
          <w:szCs w:val="21"/>
        </w:rPr>
        <w:t>产量应按已销售、已利用和已回收的油量计算原油产量。</w:t>
      </w:r>
    </w:p>
    <w:p w14:paraId="1F33392B">
      <w:pPr>
        <w:spacing w:before="121" w:line="219" w:lineRule="auto"/>
        <w:ind w:left="430"/>
        <w:rPr>
          <w:rFonts w:ascii="宋体" w:hAnsi="宋体" w:eastAsia="宋体" w:cs="宋体"/>
          <w:sz w:val="21"/>
          <w:szCs w:val="21"/>
        </w:rPr>
      </w:pPr>
      <w:r>
        <w:rPr>
          <w:rFonts w:ascii="宋体" w:hAnsi="宋体" w:eastAsia="宋体" w:cs="宋体"/>
          <w:spacing w:val="4"/>
          <w:sz w:val="21"/>
          <w:szCs w:val="21"/>
        </w:rPr>
        <w:t>4.原油产量中包括从油(气)井井口直接回收或</w:t>
      </w:r>
      <w:r>
        <w:rPr>
          <w:rFonts w:ascii="宋体" w:hAnsi="宋体" w:eastAsia="宋体" w:cs="宋体"/>
          <w:spacing w:val="3"/>
          <w:sz w:val="21"/>
          <w:szCs w:val="21"/>
        </w:rPr>
        <w:t>经处理装置回收的凝析油。</w:t>
      </w:r>
    </w:p>
    <w:p w14:paraId="624D2B50">
      <w:pPr>
        <w:spacing w:before="111" w:line="284" w:lineRule="auto"/>
        <w:ind w:right="15" w:firstLine="430"/>
        <w:rPr>
          <w:rFonts w:ascii="宋体" w:hAnsi="宋体" w:eastAsia="宋体" w:cs="宋体"/>
          <w:sz w:val="21"/>
          <w:szCs w:val="21"/>
        </w:rPr>
      </w:pPr>
      <w:r>
        <w:rPr>
          <w:rFonts w:ascii="宋体" w:hAnsi="宋体" w:eastAsia="宋体" w:cs="宋体"/>
          <w:spacing w:val="-2"/>
          <w:sz w:val="21"/>
          <w:szCs w:val="21"/>
        </w:rPr>
        <w:t>5.油田内部新管线投产后的管线存油，不能作为库存报产量，待管线报废时清除的原油才能计入报</w:t>
      </w:r>
      <w:r>
        <w:rPr>
          <w:rFonts w:ascii="宋体" w:hAnsi="宋体" w:eastAsia="宋体" w:cs="宋体"/>
          <w:spacing w:val="5"/>
          <w:sz w:val="21"/>
          <w:szCs w:val="21"/>
        </w:rPr>
        <w:t xml:space="preserve"> </w:t>
      </w:r>
      <w:r>
        <w:rPr>
          <w:rFonts w:ascii="宋体" w:hAnsi="宋体" w:eastAsia="宋体" w:cs="宋体"/>
          <w:spacing w:val="-1"/>
          <w:sz w:val="21"/>
          <w:szCs w:val="21"/>
        </w:rPr>
        <w:t>告期原油产量中。凡是以前已报过的管线存油，在管线报废后，清除的原油不能再计入本期原油产量。</w:t>
      </w:r>
      <w:r>
        <w:rPr>
          <w:rFonts w:ascii="宋体" w:hAnsi="宋体" w:eastAsia="宋体" w:cs="宋体"/>
          <w:sz w:val="21"/>
          <w:szCs w:val="21"/>
        </w:rPr>
        <w:t xml:space="preserve"> </w:t>
      </w:r>
      <w:r>
        <w:rPr>
          <w:rFonts w:ascii="宋体" w:hAnsi="宋体" w:eastAsia="宋体" w:cs="宋体"/>
          <w:spacing w:val="-1"/>
          <w:sz w:val="21"/>
          <w:szCs w:val="21"/>
        </w:rPr>
        <w:t>在进行原油平衡时，清除的原油作为增加期初库存处理，并在报表上注明此油</w:t>
      </w:r>
      <w:r>
        <w:rPr>
          <w:rFonts w:ascii="宋体" w:hAnsi="宋体" w:eastAsia="宋体" w:cs="宋体"/>
          <w:spacing w:val="-2"/>
          <w:sz w:val="21"/>
          <w:szCs w:val="21"/>
        </w:rPr>
        <w:t>量。</w:t>
      </w:r>
    </w:p>
    <w:p w14:paraId="54861614">
      <w:pPr>
        <w:spacing w:before="109" w:line="219" w:lineRule="auto"/>
        <w:ind w:left="430"/>
        <w:rPr>
          <w:rFonts w:ascii="宋体" w:hAnsi="宋体" w:eastAsia="宋体" w:cs="宋体"/>
          <w:sz w:val="21"/>
          <w:szCs w:val="21"/>
        </w:rPr>
      </w:pPr>
      <w:r>
        <w:rPr>
          <w:rFonts w:ascii="宋体" w:hAnsi="宋体" w:eastAsia="宋体" w:cs="宋体"/>
          <w:spacing w:val="-3"/>
          <w:sz w:val="21"/>
          <w:szCs w:val="21"/>
        </w:rPr>
        <w:t>6.计算原油产量，必须建立定期盘库制度，通过检尺或流量计准确地计量。</w:t>
      </w:r>
    </w:p>
    <w:p w14:paraId="051C4BEF">
      <w:pPr>
        <w:spacing w:before="92" w:line="268" w:lineRule="auto"/>
        <w:ind w:right="40" w:firstLine="430"/>
        <w:rPr>
          <w:rFonts w:ascii="宋体" w:hAnsi="宋体" w:eastAsia="宋体" w:cs="宋体"/>
          <w:sz w:val="21"/>
          <w:szCs w:val="21"/>
        </w:rPr>
      </w:pPr>
      <w:r>
        <w:rPr>
          <w:rFonts w:ascii="宋体" w:hAnsi="宋体" w:eastAsia="宋体" w:cs="宋体"/>
          <w:spacing w:val="-2"/>
          <w:sz w:val="21"/>
          <w:szCs w:val="21"/>
        </w:rPr>
        <w:t>7.计算原油产量的库存量，必须经化验，符合质量标准。不符合质量标准的原油库存量不能作为计</w:t>
      </w:r>
      <w:r>
        <w:rPr>
          <w:rFonts w:ascii="宋体" w:hAnsi="宋体" w:eastAsia="宋体" w:cs="宋体"/>
          <w:spacing w:val="8"/>
          <w:sz w:val="21"/>
          <w:szCs w:val="21"/>
        </w:rPr>
        <w:t xml:space="preserve"> </w:t>
      </w:r>
      <w:r>
        <w:rPr>
          <w:rFonts w:ascii="宋体" w:hAnsi="宋体" w:eastAsia="宋体" w:cs="宋体"/>
          <w:spacing w:val="-5"/>
          <w:sz w:val="21"/>
          <w:szCs w:val="21"/>
        </w:rPr>
        <w:t>产的盘库范围。</w:t>
      </w:r>
    </w:p>
    <w:p w14:paraId="5C02AE32">
      <w:pPr>
        <w:spacing w:before="111" w:line="219" w:lineRule="auto"/>
        <w:ind w:left="560"/>
        <w:rPr>
          <w:rFonts w:ascii="宋体" w:hAnsi="宋体" w:eastAsia="宋体" w:cs="宋体"/>
          <w:sz w:val="21"/>
          <w:szCs w:val="21"/>
        </w:rPr>
      </w:pPr>
      <w:r>
        <w:rPr>
          <w:rFonts w:ascii="宋体" w:hAnsi="宋体" w:eastAsia="宋体" w:cs="宋体"/>
          <w:spacing w:val="2"/>
          <w:sz w:val="21"/>
          <w:szCs w:val="21"/>
        </w:rPr>
        <w:t>(二)原油产量的计算方法：</w:t>
      </w:r>
    </w:p>
    <w:p w14:paraId="079F71A2">
      <w:pPr>
        <w:spacing w:before="131" w:line="219" w:lineRule="auto"/>
        <w:ind w:left="430"/>
        <w:rPr>
          <w:rFonts w:ascii="宋体" w:hAnsi="宋体" w:eastAsia="宋体" w:cs="宋体"/>
          <w:sz w:val="21"/>
          <w:szCs w:val="21"/>
        </w:rPr>
      </w:pPr>
      <w:r>
        <w:rPr>
          <w:rFonts w:ascii="宋体" w:hAnsi="宋体" w:eastAsia="宋体" w:cs="宋体"/>
          <w:spacing w:val="-4"/>
          <w:sz w:val="21"/>
          <w:szCs w:val="21"/>
        </w:rPr>
        <w:t>原油产量计算方法有两种：正算法和倒算法。</w:t>
      </w:r>
    </w:p>
    <w:p w14:paraId="2679D2C8">
      <w:pPr>
        <w:spacing w:before="109" w:line="219" w:lineRule="auto"/>
        <w:ind w:left="430"/>
        <w:rPr>
          <w:rFonts w:ascii="宋体" w:hAnsi="宋体" w:eastAsia="宋体" w:cs="宋体"/>
          <w:sz w:val="21"/>
          <w:szCs w:val="21"/>
        </w:rPr>
      </w:pPr>
      <w:r>
        <w:rPr>
          <w:rFonts w:ascii="宋体" w:hAnsi="宋体" w:eastAsia="宋体" w:cs="宋体"/>
          <w:spacing w:val="-6"/>
          <w:sz w:val="21"/>
          <w:szCs w:val="21"/>
        </w:rPr>
        <w:t>1. “正算法”是从生产角度出发，按生产工艺过程进行计算原油产量的方法。</w:t>
      </w:r>
    </w:p>
    <w:p w14:paraId="759E62A5">
      <w:pPr>
        <w:spacing w:before="112" w:line="268" w:lineRule="auto"/>
        <w:ind w:right="12" w:firstLine="430"/>
        <w:rPr>
          <w:rFonts w:ascii="宋体" w:hAnsi="宋体" w:eastAsia="宋体" w:cs="宋体"/>
          <w:sz w:val="21"/>
          <w:szCs w:val="21"/>
        </w:rPr>
      </w:pPr>
      <w:r>
        <w:rPr>
          <w:rFonts w:ascii="宋体" w:hAnsi="宋体" w:eastAsia="宋体" w:cs="宋体"/>
          <w:spacing w:val="-5"/>
          <w:sz w:val="21"/>
          <w:szCs w:val="21"/>
        </w:rPr>
        <w:t>2.“倒算法”就是从销售的角度根据销售量，</w:t>
      </w:r>
      <w:r>
        <w:rPr>
          <w:rFonts w:ascii="宋体" w:hAnsi="宋体" w:eastAsia="宋体" w:cs="宋体"/>
          <w:spacing w:val="65"/>
          <w:sz w:val="21"/>
          <w:szCs w:val="21"/>
        </w:rPr>
        <w:t xml:space="preserve"> </w:t>
      </w:r>
      <w:r>
        <w:rPr>
          <w:rFonts w:ascii="宋体" w:hAnsi="宋体" w:eastAsia="宋体" w:cs="宋体"/>
          <w:spacing w:val="-5"/>
          <w:sz w:val="21"/>
          <w:szCs w:val="21"/>
        </w:rPr>
        <w:t>自用量，及期末、期初库存差倒算出原油产量的</w:t>
      </w:r>
      <w:r>
        <w:rPr>
          <w:rFonts w:ascii="宋体" w:hAnsi="宋体" w:eastAsia="宋体" w:cs="宋体"/>
          <w:spacing w:val="-6"/>
          <w:sz w:val="21"/>
          <w:szCs w:val="21"/>
        </w:rPr>
        <w:t>计算</w:t>
      </w:r>
      <w:r>
        <w:rPr>
          <w:rFonts w:ascii="宋体" w:hAnsi="宋体" w:eastAsia="宋体" w:cs="宋体"/>
          <w:sz w:val="21"/>
          <w:szCs w:val="21"/>
        </w:rPr>
        <w:t xml:space="preserve"> </w:t>
      </w:r>
      <w:r>
        <w:rPr>
          <w:rFonts w:ascii="宋体" w:hAnsi="宋体" w:eastAsia="宋体" w:cs="宋体"/>
          <w:spacing w:val="-5"/>
          <w:sz w:val="21"/>
          <w:szCs w:val="21"/>
        </w:rPr>
        <w:t>方法。其计算公式如下：</w:t>
      </w:r>
    </w:p>
    <w:p w14:paraId="42ACE1AD">
      <w:pPr>
        <w:spacing w:before="111" w:line="219" w:lineRule="auto"/>
        <w:ind w:left="430"/>
        <w:rPr>
          <w:rFonts w:ascii="宋体" w:hAnsi="宋体" w:eastAsia="宋体" w:cs="宋体"/>
          <w:sz w:val="21"/>
          <w:szCs w:val="21"/>
        </w:rPr>
      </w:pPr>
      <w:r>
        <w:rPr>
          <w:rFonts w:ascii="宋体" w:hAnsi="宋体" w:eastAsia="宋体" w:cs="宋体"/>
          <w:spacing w:val="7"/>
          <w:sz w:val="21"/>
          <w:szCs w:val="21"/>
        </w:rPr>
        <w:t>原油产量=(期末库存量+销售量+企业自用量-期初库存量)/(1-损耗率)+国际合作份额油</w:t>
      </w:r>
    </w:p>
    <w:p w14:paraId="034331E6">
      <w:pPr>
        <w:spacing w:before="101" w:line="264" w:lineRule="auto"/>
        <w:ind w:right="33" w:firstLine="430"/>
        <w:rPr>
          <w:rFonts w:ascii="宋体" w:hAnsi="宋体" w:eastAsia="宋体" w:cs="宋体"/>
          <w:sz w:val="21"/>
          <w:szCs w:val="21"/>
        </w:rPr>
      </w:pPr>
      <w:r>
        <w:rPr>
          <w:rFonts w:ascii="宋体" w:hAnsi="宋体" w:eastAsia="宋体" w:cs="宋体"/>
          <w:spacing w:val="-2"/>
          <w:sz w:val="21"/>
          <w:szCs w:val="21"/>
        </w:rPr>
        <w:t>原油商品量，是指本期生产可供销售的产量。它反映企业为社会提供原油商品的总量，其计算公式</w:t>
      </w:r>
      <w:r>
        <w:rPr>
          <w:rFonts w:ascii="宋体" w:hAnsi="宋体" w:eastAsia="宋体" w:cs="宋体"/>
          <w:spacing w:val="13"/>
          <w:sz w:val="21"/>
          <w:szCs w:val="21"/>
        </w:rPr>
        <w:t xml:space="preserve"> </w:t>
      </w:r>
      <w:r>
        <w:rPr>
          <w:rFonts w:ascii="宋体" w:hAnsi="宋体" w:eastAsia="宋体" w:cs="宋体"/>
          <w:spacing w:val="-14"/>
          <w:sz w:val="21"/>
          <w:szCs w:val="21"/>
        </w:rPr>
        <w:t>如下：</w:t>
      </w:r>
    </w:p>
    <w:p w14:paraId="07F66319">
      <w:pPr>
        <w:spacing w:before="129" w:line="219" w:lineRule="auto"/>
        <w:ind w:left="430"/>
        <w:rPr>
          <w:rFonts w:ascii="宋体" w:hAnsi="宋体" w:eastAsia="宋体" w:cs="宋体"/>
          <w:sz w:val="21"/>
          <w:szCs w:val="21"/>
        </w:rPr>
      </w:pPr>
      <w:r>
        <w:rPr>
          <w:rFonts w:ascii="宋体" w:hAnsi="宋体" w:eastAsia="宋体" w:cs="宋体"/>
          <w:spacing w:val="-4"/>
          <w:sz w:val="21"/>
          <w:szCs w:val="21"/>
        </w:rPr>
        <w:t>原油商品量=原油产量-生产自用量-原油损耗量</w:t>
      </w:r>
    </w:p>
    <w:p w14:paraId="38FE82EF">
      <w:pPr>
        <w:spacing w:before="111" w:line="219" w:lineRule="auto"/>
        <w:ind w:left="430"/>
        <w:rPr>
          <w:rFonts w:ascii="宋体" w:hAnsi="宋体" w:eastAsia="宋体" w:cs="宋体"/>
          <w:sz w:val="21"/>
          <w:szCs w:val="21"/>
        </w:rPr>
      </w:pPr>
      <w:r>
        <w:rPr>
          <w:rFonts w:ascii="宋体" w:hAnsi="宋体" w:eastAsia="宋体" w:cs="宋体"/>
          <w:spacing w:val="-2"/>
          <w:sz w:val="21"/>
          <w:szCs w:val="21"/>
        </w:rPr>
        <w:t>企业原油自用量是指企业内部自用的全部原油量。包括生产自用量、矿区其他用量。</w:t>
      </w:r>
    </w:p>
    <w:p w14:paraId="2C8E1C08">
      <w:pPr>
        <w:spacing w:before="110" w:line="265" w:lineRule="auto"/>
        <w:ind w:right="32" w:firstLine="430"/>
        <w:rPr>
          <w:rFonts w:ascii="宋体" w:hAnsi="宋体" w:eastAsia="宋体" w:cs="宋体"/>
          <w:sz w:val="21"/>
          <w:szCs w:val="21"/>
        </w:rPr>
      </w:pPr>
      <w:r>
        <w:rPr>
          <w:rFonts w:ascii="宋体" w:hAnsi="宋体" w:eastAsia="宋体" w:cs="宋体"/>
          <w:spacing w:val="1"/>
          <w:sz w:val="21"/>
          <w:szCs w:val="21"/>
        </w:rPr>
        <w:t>1.生产自用量是指围绕油气生产所用的油量(指在原油生产企业生产、</w:t>
      </w:r>
      <w:r>
        <w:rPr>
          <w:rFonts w:ascii="宋体" w:hAnsi="宋体" w:eastAsia="宋体" w:cs="宋体"/>
          <w:sz w:val="21"/>
          <w:szCs w:val="21"/>
        </w:rPr>
        <w:t xml:space="preserve">集输、处理、储运过程中耗 </w:t>
      </w:r>
      <w:r>
        <w:rPr>
          <w:rFonts w:ascii="宋体" w:hAnsi="宋体" w:eastAsia="宋体" w:cs="宋体"/>
          <w:spacing w:val="10"/>
          <w:sz w:val="21"/>
          <w:szCs w:val="21"/>
        </w:rPr>
        <w:t>用的原油量)。</w:t>
      </w:r>
    </w:p>
    <w:p w14:paraId="7338BF5D">
      <w:pPr>
        <w:spacing w:before="118" w:line="219" w:lineRule="auto"/>
        <w:ind w:left="430"/>
        <w:rPr>
          <w:rFonts w:ascii="宋体" w:hAnsi="宋体" w:eastAsia="宋体" w:cs="宋体"/>
          <w:sz w:val="21"/>
          <w:szCs w:val="21"/>
        </w:rPr>
      </w:pPr>
      <w:r>
        <w:rPr>
          <w:rFonts w:ascii="宋体" w:hAnsi="宋体" w:eastAsia="宋体" w:cs="宋体"/>
          <w:spacing w:val="-3"/>
          <w:sz w:val="21"/>
          <w:szCs w:val="21"/>
        </w:rPr>
        <w:t>2.矿区其他用油量是指油气田所属的文教、卫生、生活福利等部门的用油量。</w:t>
      </w:r>
    </w:p>
    <w:p w14:paraId="5260DDE8">
      <w:pPr>
        <w:spacing w:before="111" w:line="284" w:lineRule="auto"/>
        <w:ind w:right="26" w:firstLine="430"/>
        <w:rPr>
          <w:rFonts w:ascii="宋体" w:hAnsi="宋体" w:eastAsia="宋体" w:cs="宋体"/>
          <w:sz w:val="21"/>
          <w:szCs w:val="21"/>
        </w:rPr>
      </w:pPr>
      <w:r>
        <w:rPr>
          <w:rFonts w:ascii="宋体" w:hAnsi="宋体" w:eastAsia="宋体" w:cs="宋体"/>
          <w:spacing w:val="-1"/>
          <w:sz w:val="21"/>
          <w:szCs w:val="21"/>
        </w:rPr>
        <w:t>原油损耗量是指原油在集输、储存、装卸、脱</w:t>
      </w:r>
      <w:r>
        <w:rPr>
          <w:rFonts w:ascii="宋体" w:hAnsi="宋体" w:eastAsia="宋体" w:cs="宋体"/>
          <w:spacing w:val="-2"/>
          <w:sz w:val="21"/>
          <w:szCs w:val="21"/>
        </w:rPr>
        <w:t>水、脱盐、脱气等过程中发生的自然损耗以及清罐、</w:t>
      </w:r>
      <w:r>
        <w:rPr>
          <w:rFonts w:ascii="宋体" w:hAnsi="宋体" w:eastAsia="宋体" w:cs="宋体"/>
          <w:sz w:val="21"/>
          <w:szCs w:val="21"/>
        </w:rPr>
        <w:t xml:space="preserve"> </w:t>
      </w:r>
      <w:r>
        <w:rPr>
          <w:rFonts w:ascii="宋体" w:hAnsi="宋体" w:eastAsia="宋体" w:cs="宋体"/>
          <w:spacing w:val="-1"/>
          <w:sz w:val="21"/>
          <w:szCs w:val="21"/>
        </w:rPr>
        <w:t>事故损失。损耗定额必须定期测定，报有关部门批准执行。实</w:t>
      </w:r>
      <w:r>
        <w:rPr>
          <w:rFonts w:ascii="宋体" w:hAnsi="宋体" w:eastAsia="宋体" w:cs="宋体"/>
          <w:spacing w:val="-2"/>
          <w:sz w:val="21"/>
          <w:szCs w:val="21"/>
        </w:rPr>
        <w:t>际损耗低于定额的按实际损耗计算，超过</w:t>
      </w:r>
      <w:r>
        <w:rPr>
          <w:rFonts w:ascii="宋体" w:hAnsi="宋体" w:eastAsia="宋体" w:cs="宋体"/>
          <w:sz w:val="21"/>
          <w:szCs w:val="21"/>
        </w:rPr>
        <w:t xml:space="preserve"> </w:t>
      </w:r>
      <w:r>
        <w:rPr>
          <w:rFonts w:ascii="宋体" w:hAnsi="宋体" w:eastAsia="宋体" w:cs="宋体"/>
          <w:spacing w:val="-1"/>
          <w:sz w:val="21"/>
          <w:szCs w:val="21"/>
        </w:rPr>
        <w:t>定额的按定额损耗计算。如因各阶段损耗难以确定或各时期变化不大时，可按测定的总损耗率计算。</w:t>
      </w:r>
    </w:p>
    <w:p w14:paraId="777CF09C">
      <w:pPr>
        <w:spacing w:before="111" w:line="263" w:lineRule="auto"/>
        <w:ind w:right="32" w:firstLine="430"/>
        <w:rPr>
          <w:rFonts w:ascii="宋体" w:hAnsi="宋体" w:eastAsia="宋体" w:cs="宋体"/>
          <w:sz w:val="21"/>
          <w:szCs w:val="21"/>
        </w:rPr>
      </w:pPr>
      <w:r>
        <w:rPr>
          <w:rFonts w:ascii="宋体" w:hAnsi="宋体" w:eastAsia="宋体" w:cs="宋体"/>
          <w:spacing w:val="-2"/>
          <w:sz w:val="21"/>
          <w:szCs w:val="21"/>
        </w:rPr>
        <w:t>清罐损耗量是指在油罐底部，因积有大量的泥、沙、杂质等，在清洗过程中发生的损耗，此项损耗</w:t>
      </w:r>
      <w:r>
        <w:rPr>
          <w:rFonts w:ascii="宋体" w:hAnsi="宋体" w:eastAsia="宋体" w:cs="宋体"/>
          <w:spacing w:val="14"/>
          <w:sz w:val="21"/>
          <w:szCs w:val="21"/>
        </w:rPr>
        <w:t xml:space="preserve"> </w:t>
      </w:r>
      <w:r>
        <w:rPr>
          <w:rFonts w:ascii="宋体" w:hAnsi="宋体" w:eastAsia="宋体" w:cs="宋体"/>
          <w:spacing w:val="-5"/>
          <w:sz w:val="21"/>
          <w:szCs w:val="21"/>
        </w:rPr>
        <w:t>可以按实际报损。</w:t>
      </w:r>
    </w:p>
    <w:p w14:paraId="6DF737CC">
      <w:pPr>
        <w:spacing w:before="121" w:line="268" w:lineRule="auto"/>
        <w:ind w:right="16" w:firstLine="430"/>
        <w:rPr>
          <w:rFonts w:ascii="宋体" w:hAnsi="宋体" w:eastAsia="宋体" w:cs="宋体"/>
          <w:sz w:val="21"/>
          <w:szCs w:val="21"/>
        </w:rPr>
      </w:pPr>
      <w:r>
        <w:rPr>
          <w:rFonts w:ascii="宋体" w:hAnsi="宋体" w:eastAsia="宋体" w:cs="宋体"/>
          <w:spacing w:val="-1"/>
          <w:sz w:val="21"/>
          <w:szCs w:val="21"/>
        </w:rPr>
        <w:t>事故损耗量是指原油在储输过程中因事故发生的损失。如跑油、溢</w:t>
      </w:r>
      <w:r>
        <w:rPr>
          <w:rFonts w:ascii="宋体" w:hAnsi="宋体" w:eastAsia="宋体" w:cs="宋体"/>
          <w:spacing w:val="-2"/>
          <w:sz w:val="21"/>
          <w:szCs w:val="21"/>
        </w:rPr>
        <w:t>油、漏油、火灾等事故损失量，</w:t>
      </w:r>
      <w:r>
        <w:rPr>
          <w:rFonts w:ascii="宋体" w:hAnsi="宋体" w:eastAsia="宋体" w:cs="宋体"/>
          <w:sz w:val="21"/>
          <w:szCs w:val="21"/>
        </w:rPr>
        <w:t xml:space="preserve"> </w:t>
      </w:r>
      <w:r>
        <w:rPr>
          <w:rFonts w:ascii="宋体" w:hAnsi="宋体" w:eastAsia="宋体" w:cs="宋体"/>
          <w:spacing w:val="-2"/>
          <w:sz w:val="21"/>
          <w:szCs w:val="21"/>
        </w:rPr>
        <w:t>计算事故损失量时必须认真核实，将回收部分冲减损耗。</w:t>
      </w:r>
    </w:p>
    <w:p w14:paraId="33E1CAB3">
      <w:pPr>
        <w:spacing w:before="111" w:line="219" w:lineRule="auto"/>
        <w:ind w:right="19"/>
        <w:jc w:val="right"/>
        <w:rPr>
          <w:rFonts w:ascii="宋体" w:hAnsi="宋体" w:eastAsia="宋体" w:cs="宋体"/>
          <w:sz w:val="21"/>
          <w:szCs w:val="21"/>
        </w:rPr>
      </w:pPr>
      <w:r>
        <w:rPr>
          <w:rFonts w:ascii="宋体" w:hAnsi="宋体" w:eastAsia="宋体" w:cs="宋体"/>
          <w:spacing w:val="4"/>
          <w:sz w:val="21"/>
          <w:szCs w:val="21"/>
        </w:rPr>
        <w:t>原油库存量是指全油田集输系统经净化处理符合规</w:t>
      </w:r>
      <w:r>
        <w:rPr>
          <w:rFonts w:ascii="宋体" w:hAnsi="宋体" w:eastAsia="宋体" w:cs="宋体"/>
          <w:spacing w:val="3"/>
          <w:sz w:val="21"/>
          <w:szCs w:val="21"/>
        </w:rPr>
        <w:t>定质量标准的(或合同规定的技术条件)所有油</w:t>
      </w:r>
    </w:p>
    <w:p w14:paraId="623EC9C0">
      <w:pPr>
        <w:spacing w:line="219" w:lineRule="auto"/>
        <w:rPr>
          <w:rFonts w:ascii="宋体" w:hAnsi="宋体" w:eastAsia="宋体" w:cs="宋体"/>
          <w:sz w:val="21"/>
          <w:szCs w:val="21"/>
        </w:rPr>
        <w:sectPr>
          <w:headerReference r:id="rId58" w:type="default"/>
          <w:pgSz w:w="11910" w:h="16840"/>
          <w:pgMar w:top="1048" w:right="1258" w:bottom="400" w:left="1229" w:header="838" w:footer="0" w:gutter="0"/>
          <w:cols w:space="720" w:num="1"/>
        </w:sectPr>
      </w:pPr>
    </w:p>
    <w:p w14:paraId="30C6B0AC">
      <w:pPr>
        <w:pStyle w:val="2"/>
        <w:spacing w:line="298" w:lineRule="auto"/>
      </w:pPr>
    </w:p>
    <w:p w14:paraId="55C7A491">
      <w:pPr>
        <w:spacing w:before="68" w:line="219" w:lineRule="auto"/>
        <w:rPr>
          <w:rFonts w:ascii="宋体" w:hAnsi="宋体" w:eastAsia="宋体" w:cs="宋体"/>
          <w:sz w:val="21"/>
          <w:szCs w:val="21"/>
        </w:rPr>
      </w:pPr>
      <w:r>
        <w:rPr>
          <w:rFonts w:ascii="宋体" w:hAnsi="宋体" w:eastAsia="宋体" w:cs="宋体"/>
          <w:spacing w:val="-1"/>
          <w:sz w:val="21"/>
          <w:szCs w:val="21"/>
        </w:rPr>
        <w:t>罐的库存量之和。要建立定期的原油库存盘点制度，盘库要在规定的统一结算时点同时进行。</w:t>
      </w:r>
    </w:p>
    <w:p w14:paraId="7A7DBE20">
      <w:pPr>
        <w:spacing w:before="97" w:line="285" w:lineRule="auto"/>
        <w:ind w:right="93" w:firstLine="433"/>
        <w:rPr>
          <w:rFonts w:ascii="宋体" w:hAnsi="宋体" w:eastAsia="宋体" w:cs="宋体"/>
          <w:sz w:val="21"/>
          <w:szCs w:val="21"/>
        </w:rPr>
      </w:pPr>
      <w:r>
        <w:rPr>
          <w:rFonts w:ascii="黑体" w:hAnsi="黑体" w:eastAsia="黑体" w:cs="黑体"/>
          <w:b/>
          <w:bCs/>
          <w:spacing w:val="-1"/>
          <w:sz w:val="21"/>
          <w:szCs w:val="21"/>
        </w:rPr>
        <w:t>页岩油</w:t>
      </w:r>
      <w:r>
        <w:rPr>
          <w:rFonts w:ascii="黑体" w:hAnsi="黑体" w:eastAsia="黑体" w:cs="黑体"/>
          <w:spacing w:val="85"/>
          <w:sz w:val="21"/>
          <w:szCs w:val="21"/>
        </w:rPr>
        <w:t xml:space="preserve"> </w:t>
      </w:r>
      <w:r>
        <w:rPr>
          <w:rFonts w:ascii="宋体" w:hAnsi="宋体" w:eastAsia="宋体" w:cs="宋体"/>
          <w:spacing w:val="-1"/>
          <w:sz w:val="21"/>
          <w:szCs w:val="21"/>
        </w:rPr>
        <w:t>指以页岩为主的页岩层系中所含的石油资源。其</w:t>
      </w:r>
      <w:r>
        <w:rPr>
          <w:rFonts w:ascii="宋体" w:hAnsi="宋体" w:eastAsia="宋体" w:cs="宋体"/>
          <w:spacing w:val="-2"/>
          <w:sz w:val="21"/>
          <w:szCs w:val="21"/>
        </w:rPr>
        <w:t>中包括泥页岩孔隙和裂缝中的石油，以及</w:t>
      </w:r>
      <w:r>
        <w:rPr>
          <w:rFonts w:ascii="宋体" w:hAnsi="宋体" w:eastAsia="宋体" w:cs="宋体"/>
          <w:sz w:val="21"/>
          <w:szCs w:val="21"/>
        </w:rPr>
        <w:t xml:space="preserve"> </w:t>
      </w:r>
      <w:r>
        <w:rPr>
          <w:rFonts w:ascii="宋体" w:hAnsi="宋体" w:eastAsia="宋体" w:cs="宋体"/>
          <w:spacing w:val="-1"/>
          <w:sz w:val="21"/>
          <w:szCs w:val="21"/>
        </w:rPr>
        <w:t>泥页岩层系中的致密碳酸岩或碎屑岩邻层和夹层中的石油资源。</w:t>
      </w:r>
      <w:r>
        <w:rPr>
          <w:rFonts w:ascii="宋体" w:hAnsi="宋体" w:eastAsia="宋体" w:cs="宋体"/>
          <w:spacing w:val="-2"/>
          <w:sz w:val="21"/>
          <w:szCs w:val="21"/>
        </w:rPr>
        <w:t>通常有效的开发方式为水平井和分段压</w:t>
      </w:r>
      <w:r>
        <w:rPr>
          <w:rFonts w:ascii="宋体" w:hAnsi="宋体" w:eastAsia="宋体" w:cs="宋体"/>
          <w:sz w:val="21"/>
          <w:szCs w:val="21"/>
        </w:rPr>
        <w:t xml:space="preserve"> </w:t>
      </w:r>
      <w:r>
        <w:rPr>
          <w:rFonts w:ascii="宋体" w:hAnsi="宋体" w:eastAsia="宋体" w:cs="宋体"/>
          <w:spacing w:val="-8"/>
          <w:sz w:val="21"/>
          <w:szCs w:val="21"/>
        </w:rPr>
        <w:t>裂技术。</w:t>
      </w:r>
    </w:p>
    <w:p w14:paraId="2360CB5E">
      <w:pPr>
        <w:spacing w:before="107" w:line="285" w:lineRule="auto"/>
        <w:ind w:right="93" w:firstLine="433"/>
        <w:rPr>
          <w:rFonts w:ascii="宋体" w:hAnsi="宋体" w:eastAsia="宋体" w:cs="宋体"/>
          <w:sz w:val="21"/>
          <w:szCs w:val="21"/>
        </w:rPr>
      </w:pPr>
      <w:r>
        <w:rPr>
          <w:rFonts w:ascii="黑体" w:hAnsi="黑体" w:eastAsia="黑体" w:cs="黑体"/>
          <w:b/>
          <w:bCs/>
          <w:spacing w:val="3"/>
          <w:sz w:val="21"/>
          <w:szCs w:val="21"/>
        </w:rPr>
        <w:t>原油加工量</w:t>
      </w:r>
      <w:r>
        <w:rPr>
          <w:rFonts w:ascii="黑体" w:hAnsi="黑体" w:eastAsia="黑体" w:cs="黑体"/>
          <w:spacing w:val="3"/>
          <w:sz w:val="21"/>
          <w:szCs w:val="21"/>
        </w:rPr>
        <w:t xml:space="preserve">  </w:t>
      </w:r>
      <w:r>
        <w:rPr>
          <w:rFonts w:ascii="宋体" w:hAnsi="宋体" w:eastAsia="宋体" w:cs="宋体"/>
          <w:spacing w:val="3"/>
          <w:sz w:val="21"/>
          <w:szCs w:val="21"/>
        </w:rPr>
        <w:t>指直接进入蒸馏装置及二次加工装置加工的原油量。该指标是衡量炼化</w:t>
      </w:r>
      <w:r>
        <w:rPr>
          <w:rFonts w:ascii="宋体" w:hAnsi="宋体" w:eastAsia="宋体" w:cs="宋体"/>
          <w:spacing w:val="2"/>
          <w:sz w:val="21"/>
          <w:szCs w:val="21"/>
        </w:rPr>
        <w:t>企业生产规</w:t>
      </w:r>
      <w:r>
        <w:rPr>
          <w:rFonts w:ascii="宋体" w:hAnsi="宋体" w:eastAsia="宋体" w:cs="宋体"/>
          <w:sz w:val="21"/>
          <w:szCs w:val="21"/>
        </w:rPr>
        <w:t xml:space="preserve"> </w:t>
      </w:r>
      <w:r>
        <w:rPr>
          <w:rFonts w:ascii="宋体" w:hAnsi="宋体" w:eastAsia="宋体" w:cs="宋体"/>
          <w:spacing w:val="-1"/>
          <w:sz w:val="21"/>
          <w:szCs w:val="21"/>
        </w:rPr>
        <w:t>模、能力的一项基础指标，也是炼化企业计算各项技术经济指标的重</w:t>
      </w:r>
      <w:r>
        <w:rPr>
          <w:rFonts w:ascii="宋体" w:hAnsi="宋体" w:eastAsia="宋体" w:cs="宋体"/>
          <w:spacing w:val="-2"/>
          <w:sz w:val="21"/>
          <w:szCs w:val="21"/>
        </w:rPr>
        <w:t>要依据。因此，原油加工量作为一</w:t>
      </w:r>
      <w:r>
        <w:rPr>
          <w:rFonts w:ascii="宋体" w:hAnsi="宋体" w:eastAsia="宋体" w:cs="宋体"/>
          <w:sz w:val="21"/>
          <w:szCs w:val="21"/>
        </w:rPr>
        <w:t xml:space="preserve"> </w:t>
      </w:r>
      <w:r>
        <w:rPr>
          <w:rFonts w:ascii="宋体" w:hAnsi="宋体" w:eastAsia="宋体" w:cs="宋体"/>
          <w:spacing w:val="-5"/>
          <w:sz w:val="21"/>
          <w:szCs w:val="21"/>
        </w:rPr>
        <w:t>个特殊的指标在产品产量中统计。</w:t>
      </w:r>
    </w:p>
    <w:p w14:paraId="3DE617E1">
      <w:pPr>
        <w:spacing w:before="110" w:line="379" w:lineRule="exact"/>
        <w:ind w:left="430"/>
        <w:rPr>
          <w:rFonts w:ascii="宋体" w:hAnsi="宋体" w:eastAsia="宋体" w:cs="宋体"/>
          <w:sz w:val="21"/>
          <w:szCs w:val="21"/>
        </w:rPr>
      </w:pPr>
      <w:r>
        <w:rPr>
          <w:rFonts w:ascii="宋体" w:hAnsi="宋体" w:eastAsia="宋体" w:cs="宋体"/>
          <w:spacing w:val="-5"/>
          <w:position w:val="12"/>
          <w:sz w:val="21"/>
          <w:szCs w:val="21"/>
        </w:rPr>
        <w:t>计算原油加工量必须具有一定的计量手段，</w:t>
      </w:r>
      <w:r>
        <w:rPr>
          <w:rFonts w:ascii="宋体" w:hAnsi="宋体" w:eastAsia="宋体" w:cs="宋体"/>
          <w:spacing w:val="57"/>
          <w:position w:val="12"/>
          <w:sz w:val="21"/>
          <w:szCs w:val="21"/>
        </w:rPr>
        <w:t xml:space="preserve"> </w:t>
      </w:r>
      <w:r>
        <w:rPr>
          <w:rFonts w:ascii="宋体" w:hAnsi="宋体" w:eastAsia="宋体" w:cs="宋体"/>
          <w:spacing w:val="-5"/>
          <w:position w:val="12"/>
          <w:sz w:val="21"/>
          <w:szCs w:val="21"/>
        </w:rPr>
        <w:t>一般用流量计</w:t>
      </w:r>
      <w:r>
        <w:rPr>
          <w:rFonts w:ascii="宋体" w:hAnsi="宋体" w:eastAsia="宋体" w:cs="宋体"/>
          <w:spacing w:val="-6"/>
          <w:position w:val="12"/>
          <w:sz w:val="21"/>
          <w:szCs w:val="21"/>
        </w:rPr>
        <w:t>计量，在计量表误差较大的情况下，也可</w:t>
      </w:r>
    </w:p>
    <w:p w14:paraId="79142182">
      <w:pPr>
        <w:spacing w:before="1" w:line="218" w:lineRule="auto"/>
        <w:rPr>
          <w:rFonts w:ascii="宋体" w:hAnsi="宋体" w:eastAsia="宋体" w:cs="宋体"/>
          <w:sz w:val="21"/>
          <w:szCs w:val="21"/>
        </w:rPr>
      </w:pPr>
      <w:r>
        <w:rPr>
          <w:rFonts w:ascii="宋体" w:hAnsi="宋体" w:eastAsia="宋体" w:cs="宋体"/>
          <w:spacing w:val="-3"/>
          <w:sz w:val="21"/>
          <w:szCs w:val="21"/>
        </w:rPr>
        <w:t>以用罐检尺方法计量，但不允许用产出量倒算。</w:t>
      </w:r>
    </w:p>
    <w:p w14:paraId="2E0538B8">
      <w:pPr>
        <w:spacing w:before="85" w:line="298" w:lineRule="auto"/>
        <w:ind w:right="83" w:firstLine="433"/>
        <w:rPr>
          <w:rFonts w:ascii="宋体" w:hAnsi="宋体" w:eastAsia="宋体" w:cs="宋体"/>
          <w:sz w:val="21"/>
          <w:szCs w:val="21"/>
        </w:rPr>
      </w:pPr>
      <w:r>
        <w:rPr>
          <w:rFonts w:ascii="黑体" w:hAnsi="黑体" w:eastAsia="黑体" w:cs="黑体"/>
          <w:b/>
          <w:bCs/>
          <w:spacing w:val="4"/>
          <w:sz w:val="21"/>
          <w:szCs w:val="21"/>
        </w:rPr>
        <w:t>汽油</w:t>
      </w:r>
      <w:r>
        <w:rPr>
          <w:rFonts w:ascii="黑体" w:hAnsi="黑体" w:eastAsia="黑体" w:cs="黑体"/>
          <w:spacing w:val="89"/>
          <w:sz w:val="21"/>
          <w:szCs w:val="21"/>
        </w:rPr>
        <w:t xml:space="preserve"> </w:t>
      </w:r>
      <w:r>
        <w:rPr>
          <w:rFonts w:ascii="宋体" w:hAnsi="宋体" w:eastAsia="宋体" w:cs="宋体"/>
          <w:spacing w:val="4"/>
          <w:sz w:val="21"/>
          <w:szCs w:val="21"/>
        </w:rPr>
        <w:t>指直馏汽油和二次加工(如催化裂化、加氢裂化，</w:t>
      </w:r>
      <w:r>
        <w:rPr>
          <w:rFonts w:ascii="宋体" w:hAnsi="宋体" w:eastAsia="宋体" w:cs="宋体"/>
          <w:spacing w:val="3"/>
          <w:sz w:val="21"/>
          <w:szCs w:val="21"/>
        </w:rPr>
        <w:t>催化重整和经精制的热裂化、焦化等)汽</w:t>
      </w:r>
      <w:r>
        <w:rPr>
          <w:rFonts w:ascii="宋体" w:hAnsi="宋体" w:eastAsia="宋体" w:cs="宋体"/>
          <w:sz w:val="21"/>
          <w:szCs w:val="21"/>
        </w:rPr>
        <w:t xml:space="preserve"> </w:t>
      </w:r>
      <w:r>
        <w:rPr>
          <w:rFonts w:ascii="宋体" w:hAnsi="宋体" w:eastAsia="宋体" w:cs="宋体"/>
          <w:spacing w:val="1"/>
          <w:sz w:val="21"/>
          <w:szCs w:val="21"/>
        </w:rPr>
        <w:t>油，按不同比例调和，加入适量抗氧防胶剂及金属钝化剂，必要时加入适量的抗爆剂(如加入抗</w:t>
      </w:r>
      <w:r>
        <w:rPr>
          <w:rFonts w:ascii="宋体" w:hAnsi="宋体" w:eastAsia="宋体" w:cs="宋体"/>
          <w:sz w:val="21"/>
          <w:szCs w:val="21"/>
        </w:rPr>
        <w:t xml:space="preserve">爆剂还 </w:t>
      </w:r>
      <w:r>
        <w:rPr>
          <w:rFonts w:ascii="宋体" w:hAnsi="宋体" w:eastAsia="宋体" w:cs="宋体"/>
          <w:spacing w:val="1"/>
          <w:sz w:val="21"/>
          <w:szCs w:val="21"/>
        </w:rPr>
        <w:t>要加入着色剂)而制成。本品为易燃、易挥发液体，具有良好的抗爆性能和燃烧性能，其蒸发</w:t>
      </w:r>
      <w:r>
        <w:rPr>
          <w:rFonts w:ascii="宋体" w:hAnsi="宋体" w:eastAsia="宋体" w:cs="宋体"/>
          <w:sz w:val="21"/>
          <w:szCs w:val="21"/>
        </w:rPr>
        <w:t xml:space="preserve">性好，燃 </w:t>
      </w:r>
      <w:r>
        <w:rPr>
          <w:rFonts w:ascii="宋体" w:hAnsi="宋体" w:eastAsia="宋体" w:cs="宋体"/>
          <w:spacing w:val="-1"/>
          <w:sz w:val="21"/>
          <w:szCs w:val="21"/>
        </w:rPr>
        <w:t>烧完全，积炭少，对发动机部件及储油容器无腐蚀性，由于加有抗氧剂，产品具有较好的安定</w:t>
      </w:r>
      <w:r>
        <w:rPr>
          <w:rFonts w:ascii="宋体" w:hAnsi="宋体" w:eastAsia="宋体" w:cs="宋体"/>
          <w:spacing w:val="-2"/>
          <w:sz w:val="21"/>
          <w:szCs w:val="21"/>
        </w:rPr>
        <w:t>性，不易</w:t>
      </w:r>
      <w:r>
        <w:rPr>
          <w:rFonts w:ascii="宋体" w:hAnsi="宋体" w:eastAsia="宋体" w:cs="宋体"/>
          <w:sz w:val="21"/>
          <w:szCs w:val="21"/>
        </w:rPr>
        <w:t xml:space="preserve"> </w:t>
      </w:r>
      <w:r>
        <w:rPr>
          <w:rFonts w:ascii="宋体" w:hAnsi="宋体" w:eastAsia="宋体" w:cs="宋体"/>
          <w:spacing w:val="-7"/>
          <w:sz w:val="21"/>
          <w:szCs w:val="21"/>
        </w:rPr>
        <w:t>过早氧化。</w:t>
      </w:r>
    </w:p>
    <w:p w14:paraId="25F47EFE">
      <w:pPr>
        <w:spacing w:before="132" w:line="219" w:lineRule="auto"/>
        <w:ind w:left="430"/>
        <w:rPr>
          <w:rFonts w:ascii="宋体" w:hAnsi="宋体" w:eastAsia="宋体" w:cs="宋体"/>
          <w:sz w:val="21"/>
          <w:szCs w:val="21"/>
        </w:rPr>
      </w:pPr>
      <w:r>
        <w:rPr>
          <w:rFonts w:ascii="宋体" w:hAnsi="宋体" w:eastAsia="宋体" w:cs="宋体"/>
          <w:spacing w:val="-3"/>
          <w:sz w:val="21"/>
          <w:szCs w:val="21"/>
        </w:rPr>
        <w:t>包括航空汽油和车用汽油。</w:t>
      </w:r>
    </w:p>
    <w:p w14:paraId="4A6DC2C2">
      <w:pPr>
        <w:spacing w:before="100" w:line="297" w:lineRule="auto"/>
        <w:ind w:right="95" w:firstLine="433"/>
        <w:rPr>
          <w:rFonts w:ascii="宋体" w:hAnsi="宋体" w:eastAsia="宋体" w:cs="宋体"/>
          <w:sz w:val="21"/>
          <w:szCs w:val="21"/>
        </w:rPr>
      </w:pPr>
      <w:r>
        <w:rPr>
          <w:rFonts w:ascii="宋体" w:hAnsi="宋体" w:eastAsia="宋体" w:cs="宋体"/>
          <w:b/>
          <w:bCs/>
          <w:spacing w:val="-2"/>
          <w:sz w:val="21"/>
          <w:szCs w:val="21"/>
        </w:rPr>
        <w:t>1.航空汽油</w:t>
      </w:r>
      <w:r>
        <w:rPr>
          <w:rFonts w:ascii="宋体" w:hAnsi="宋体" w:eastAsia="宋体" w:cs="宋体"/>
          <w:spacing w:val="-2"/>
          <w:sz w:val="21"/>
          <w:szCs w:val="21"/>
        </w:rPr>
        <w:t xml:space="preserve">  指按国家规定的鉴定程序所通过的原料及生产工艺条件，由催化裂化、烷基化、催化</w:t>
      </w:r>
      <w:r>
        <w:rPr>
          <w:rFonts w:ascii="宋体" w:hAnsi="宋体" w:eastAsia="宋体" w:cs="宋体"/>
          <w:spacing w:val="1"/>
          <w:sz w:val="21"/>
          <w:szCs w:val="21"/>
        </w:rPr>
        <w:t xml:space="preserve"> </w:t>
      </w:r>
      <w:r>
        <w:rPr>
          <w:rFonts w:ascii="宋体" w:hAnsi="宋体" w:eastAsia="宋体" w:cs="宋体"/>
          <w:spacing w:val="3"/>
          <w:sz w:val="21"/>
          <w:szCs w:val="21"/>
        </w:rPr>
        <w:t>重整等装置所生产的汽油组分与其他高辛烷值组分(如工业异丙苯、抗爆剂、抗氧剂等)调</w:t>
      </w:r>
      <w:r>
        <w:rPr>
          <w:rFonts w:ascii="宋体" w:hAnsi="宋体" w:eastAsia="宋体" w:cs="宋体"/>
          <w:spacing w:val="2"/>
          <w:sz w:val="21"/>
          <w:szCs w:val="21"/>
        </w:rPr>
        <w:t>合而成，主</w:t>
      </w:r>
      <w:r>
        <w:rPr>
          <w:rFonts w:ascii="宋体" w:hAnsi="宋体" w:eastAsia="宋体" w:cs="宋体"/>
          <w:sz w:val="21"/>
          <w:szCs w:val="21"/>
        </w:rPr>
        <w:t xml:space="preserve"> </w:t>
      </w:r>
      <w:r>
        <w:rPr>
          <w:rFonts w:ascii="宋体" w:hAnsi="宋体" w:eastAsia="宋体" w:cs="宋体"/>
          <w:spacing w:val="-5"/>
          <w:sz w:val="21"/>
          <w:szCs w:val="21"/>
        </w:rPr>
        <w:t>要用于活塞式航空发动机燃料，其质量要求要比车用汽油高，</w:t>
      </w:r>
      <w:r>
        <w:rPr>
          <w:rFonts w:ascii="宋体" w:hAnsi="宋体" w:eastAsia="宋体" w:cs="宋体"/>
          <w:spacing w:val="58"/>
          <w:sz w:val="21"/>
          <w:szCs w:val="21"/>
        </w:rPr>
        <w:t xml:space="preserve"> </w:t>
      </w:r>
      <w:r>
        <w:rPr>
          <w:rFonts w:ascii="宋体" w:hAnsi="宋体" w:eastAsia="宋体" w:cs="宋体"/>
          <w:spacing w:val="-5"/>
          <w:sz w:val="21"/>
          <w:szCs w:val="21"/>
        </w:rPr>
        <w:t>一般加入染色剂以区分。航空汽油有辛烷</w:t>
      </w:r>
      <w:r>
        <w:rPr>
          <w:rFonts w:ascii="宋体" w:hAnsi="宋体" w:eastAsia="宋体" w:cs="宋体"/>
          <w:sz w:val="21"/>
          <w:szCs w:val="21"/>
        </w:rPr>
        <w:t xml:space="preserve"> </w:t>
      </w:r>
      <w:r>
        <w:rPr>
          <w:rFonts w:ascii="宋体" w:hAnsi="宋体" w:eastAsia="宋体" w:cs="宋体"/>
          <w:spacing w:val="-1"/>
          <w:sz w:val="21"/>
          <w:szCs w:val="21"/>
        </w:rPr>
        <w:t>值和品度值两个质量控制指标。随着喷气内燃机的发展，航空汽</w:t>
      </w:r>
      <w:r>
        <w:rPr>
          <w:rFonts w:ascii="宋体" w:hAnsi="宋体" w:eastAsia="宋体" w:cs="宋体"/>
          <w:spacing w:val="-2"/>
          <w:sz w:val="21"/>
          <w:szCs w:val="21"/>
        </w:rPr>
        <w:t>油的用量已减少很多，目前主要用于直</w:t>
      </w:r>
      <w:r>
        <w:rPr>
          <w:rFonts w:ascii="宋体" w:hAnsi="宋体" w:eastAsia="宋体" w:cs="宋体"/>
          <w:sz w:val="21"/>
          <w:szCs w:val="21"/>
        </w:rPr>
        <w:t xml:space="preserve"> </w:t>
      </w:r>
      <w:r>
        <w:rPr>
          <w:rFonts w:ascii="宋体" w:hAnsi="宋体" w:eastAsia="宋体" w:cs="宋体"/>
          <w:spacing w:val="-3"/>
          <w:sz w:val="21"/>
          <w:szCs w:val="21"/>
        </w:rPr>
        <w:t>升飞机和一些小型螺旋桨飞机以及喷气式飞机的启动等。</w:t>
      </w:r>
    </w:p>
    <w:p w14:paraId="14953B6A">
      <w:pPr>
        <w:spacing w:before="110" w:line="292" w:lineRule="auto"/>
        <w:ind w:right="71" w:firstLine="433"/>
        <w:rPr>
          <w:rFonts w:ascii="宋体" w:hAnsi="宋体" w:eastAsia="宋体" w:cs="宋体"/>
          <w:sz w:val="21"/>
          <w:szCs w:val="21"/>
        </w:rPr>
      </w:pPr>
      <w:r>
        <w:rPr>
          <w:rFonts w:ascii="宋体" w:hAnsi="宋体" w:eastAsia="宋体" w:cs="宋体"/>
          <w:b/>
          <w:bCs/>
          <w:spacing w:val="1"/>
          <w:sz w:val="21"/>
          <w:szCs w:val="21"/>
        </w:rPr>
        <w:t>2.车用汽油</w:t>
      </w:r>
      <w:r>
        <w:rPr>
          <w:rFonts w:ascii="宋体" w:hAnsi="宋体" w:eastAsia="宋体" w:cs="宋体"/>
          <w:spacing w:val="1"/>
          <w:sz w:val="21"/>
          <w:szCs w:val="21"/>
        </w:rPr>
        <w:t xml:space="preserve">  指由常减压装置蒸馏产出的直馏汽油组分、二次加工装置产出的汽油组分</w:t>
      </w:r>
      <w:r>
        <w:rPr>
          <w:rFonts w:ascii="宋体" w:hAnsi="宋体" w:eastAsia="宋体" w:cs="宋体"/>
          <w:sz w:val="21"/>
          <w:szCs w:val="21"/>
        </w:rPr>
        <w:t xml:space="preserve">(如催化汽 </w:t>
      </w:r>
      <w:r>
        <w:rPr>
          <w:rFonts w:ascii="宋体" w:hAnsi="宋体" w:eastAsia="宋体" w:cs="宋体"/>
          <w:spacing w:val="1"/>
          <w:sz w:val="21"/>
          <w:szCs w:val="21"/>
        </w:rPr>
        <w:t>油、加氢裂化汽油、催化重整汽油、加氢精制后的焦化汽油等)及高辛烷值汽油组分，按一定比</w:t>
      </w:r>
      <w:r>
        <w:rPr>
          <w:rFonts w:ascii="宋体" w:hAnsi="宋体" w:eastAsia="宋体" w:cs="宋体"/>
          <w:sz w:val="21"/>
          <w:szCs w:val="21"/>
        </w:rPr>
        <w:t xml:space="preserve">例调合 </w:t>
      </w:r>
      <w:r>
        <w:rPr>
          <w:rFonts w:ascii="宋体" w:hAnsi="宋体" w:eastAsia="宋体" w:cs="宋体"/>
          <w:spacing w:val="-1"/>
          <w:sz w:val="21"/>
          <w:szCs w:val="21"/>
        </w:rPr>
        <w:t>后加入适量抗氧防胶剂、金属钝化剂，必要时加入适量的抗爆剂和甲基叔丁基醚 (MTBE)</w:t>
      </w:r>
      <w:r>
        <w:rPr>
          <w:rFonts w:ascii="宋体" w:hAnsi="宋体" w:eastAsia="宋体" w:cs="宋体"/>
          <w:spacing w:val="55"/>
          <w:sz w:val="21"/>
          <w:szCs w:val="21"/>
        </w:rPr>
        <w:t xml:space="preserve">  </w:t>
      </w:r>
      <w:r>
        <w:rPr>
          <w:rFonts w:ascii="宋体" w:hAnsi="宋体" w:eastAsia="宋体" w:cs="宋体"/>
          <w:spacing w:val="-1"/>
          <w:sz w:val="21"/>
          <w:szCs w:val="21"/>
        </w:rPr>
        <w:t>等制成。代</w:t>
      </w:r>
      <w:r>
        <w:rPr>
          <w:rFonts w:ascii="宋体" w:hAnsi="宋体" w:eastAsia="宋体" w:cs="宋体"/>
          <w:spacing w:val="1"/>
          <w:sz w:val="21"/>
          <w:szCs w:val="21"/>
        </w:rPr>
        <w:t xml:space="preserve"> </w:t>
      </w:r>
      <w:r>
        <w:rPr>
          <w:rFonts w:ascii="宋体" w:hAnsi="宋体" w:eastAsia="宋体" w:cs="宋体"/>
          <w:spacing w:val="-1"/>
          <w:sz w:val="21"/>
          <w:szCs w:val="21"/>
        </w:rPr>
        <w:t>表汽油质量等级的一个重要指标是抗爆性，辛烷值是表示汽油抗爆性的重要指</w:t>
      </w:r>
      <w:r>
        <w:rPr>
          <w:rFonts w:ascii="宋体" w:hAnsi="宋体" w:eastAsia="宋体" w:cs="宋体"/>
          <w:spacing w:val="-2"/>
          <w:sz w:val="21"/>
          <w:szCs w:val="21"/>
        </w:rPr>
        <w:t>标。</w:t>
      </w:r>
    </w:p>
    <w:p w14:paraId="73E0577C">
      <w:pPr>
        <w:spacing w:before="129" w:line="222" w:lineRule="auto"/>
        <w:ind w:left="433"/>
        <w:rPr>
          <w:rFonts w:ascii="宋体" w:hAnsi="宋体" w:eastAsia="宋体" w:cs="宋体"/>
          <w:sz w:val="21"/>
          <w:szCs w:val="21"/>
        </w:rPr>
      </w:pPr>
      <w:r>
        <w:rPr>
          <w:rFonts w:ascii="黑体" w:hAnsi="黑体" w:eastAsia="黑体" w:cs="黑体"/>
          <w:b/>
          <w:bCs/>
          <w:spacing w:val="-4"/>
          <w:sz w:val="21"/>
          <w:szCs w:val="21"/>
        </w:rPr>
        <w:t>煤油</w:t>
      </w:r>
      <w:r>
        <w:rPr>
          <w:rFonts w:ascii="黑体" w:hAnsi="黑体" w:eastAsia="黑体" w:cs="黑体"/>
          <w:spacing w:val="87"/>
          <w:sz w:val="21"/>
          <w:szCs w:val="21"/>
        </w:rPr>
        <w:t xml:space="preserve"> </w:t>
      </w:r>
      <w:r>
        <w:rPr>
          <w:rFonts w:ascii="宋体" w:hAnsi="宋体" w:eastAsia="宋体" w:cs="宋体"/>
          <w:spacing w:val="-4"/>
          <w:sz w:val="21"/>
          <w:szCs w:val="21"/>
        </w:rPr>
        <w:t>包括灯用煤油、航空煤油。</w:t>
      </w:r>
    </w:p>
    <w:p w14:paraId="3315440F">
      <w:pPr>
        <w:spacing w:before="89" w:line="269" w:lineRule="auto"/>
        <w:ind w:right="150" w:firstLine="433"/>
        <w:rPr>
          <w:rFonts w:ascii="宋体" w:hAnsi="宋体" w:eastAsia="宋体" w:cs="宋体"/>
          <w:sz w:val="21"/>
          <w:szCs w:val="21"/>
        </w:rPr>
      </w:pPr>
      <w:r>
        <w:rPr>
          <w:rFonts w:ascii="宋体" w:hAnsi="宋体" w:eastAsia="宋体" w:cs="宋体"/>
          <w:b/>
          <w:bCs/>
          <w:spacing w:val="-3"/>
          <w:sz w:val="21"/>
          <w:szCs w:val="21"/>
        </w:rPr>
        <w:t>1.灯用煤油</w:t>
      </w:r>
      <w:r>
        <w:rPr>
          <w:rFonts w:ascii="宋体" w:hAnsi="宋体" w:eastAsia="宋体" w:cs="宋体"/>
          <w:spacing w:val="101"/>
          <w:sz w:val="21"/>
          <w:szCs w:val="21"/>
        </w:rPr>
        <w:t xml:space="preserve"> </w:t>
      </w:r>
      <w:r>
        <w:rPr>
          <w:rFonts w:ascii="宋体" w:hAnsi="宋体" w:eastAsia="宋体" w:cs="宋体"/>
          <w:spacing w:val="-3"/>
          <w:sz w:val="21"/>
          <w:szCs w:val="21"/>
        </w:rPr>
        <w:t>指由常减压装置蒸馏的直馏煤油或二次加工经加氢精制的不含</w:t>
      </w:r>
      <w:r>
        <w:rPr>
          <w:rFonts w:ascii="宋体" w:hAnsi="宋体" w:eastAsia="宋体" w:cs="宋体"/>
          <w:spacing w:val="-4"/>
          <w:sz w:val="21"/>
          <w:szCs w:val="21"/>
        </w:rPr>
        <w:t>裂化组分的适宜馏分，</w:t>
      </w:r>
      <w:r>
        <w:rPr>
          <w:rFonts w:ascii="宋体" w:hAnsi="宋体" w:eastAsia="宋体" w:cs="宋体"/>
          <w:sz w:val="21"/>
          <w:szCs w:val="21"/>
        </w:rPr>
        <w:t xml:space="preserve"> </w:t>
      </w:r>
      <w:r>
        <w:rPr>
          <w:rFonts w:ascii="宋体" w:hAnsi="宋体" w:eastAsia="宋体" w:cs="宋体"/>
          <w:spacing w:val="-4"/>
          <w:sz w:val="21"/>
          <w:szCs w:val="21"/>
        </w:rPr>
        <w:t>主要用于点灯照明和各种燃料器用油。</w:t>
      </w:r>
    </w:p>
    <w:p w14:paraId="3DC97B8C">
      <w:pPr>
        <w:spacing w:before="109" w:line="284" w:lineRule="auto"/>
        <w:ind w:firstLine="433"/>
        <w:rPr>
          <w:rFonts w:ascii="宋体" w:hAnsi="宋体" w:eastAsia="宋体" w:cs="宋体"/>
          <w:sz w:val="21"/>
          <w:szCs w:val="21"/>
        </w:rPr>
      </w:pPr>
      <w:r>
        <w:rPr>
          <w:rFonts w:ascii="宋体" w:hAnsi="宋体" w:eastAsia="宋体" w:cs="宋体"/>
          <w:b/>
          <w:bCs/>
          <w:spacing w:val="-2"/>
          <w:sz w:val="21"/>
          <w:szCs w:val="21"/>
        </w:rPr>
        <w:t>2.航空煤油</w:t>
      </w:r>
      <w:r>
        <w:rPr>
          <w:rFonts w:ascii="宋体" w:hAnsi="宋体" w:eastAsia="宋体" w:cs="宋体"/>
          <w:spacing w:val="-2"/>
          <w:sz w:val="21"/>
          <w:szCs w:val="21"/>
        </w:rPr>
        <w:t xml:space="preserve">  按国家规定的鉴定程序所通过的原料及生产工艺条件，由蒸馏装置</w:t>
      </w:r>
      <w:r>
        <w:rPr>
          <w:rFonts w:ascii="宋体" w:hAnsi="宋体" w:eastAsia="宋体" w:cs="宋体"/>
          <w:spacing w:val="-3"/>
          <w:sz w:val="21"/>
          <w:szCs w:val="21"/>
        </w:rPr>
        <w:t>的直馏煤油或经加</w:t>
      </w:r>
      <w:r>
        <w:rPr>
          <w:rFonts w:ascii="宋体" w:hAnsi="宋体" w:eastAsia="宋体" w:cs="宋体"/>
          <w:sz w:val="21"/>
          <w:szCs w:val="21"/>
        </w:rPr>
        <w:t xml:space="preserve">  </w:t>
      </w:r>
      <w:r>
        <w:rPr>
          <w:rFonts w:ascii="宋体" w:hAnsi="宋体" w:eastAsia="宋体" w:cs="宋体"/>
          <w:spacing w:val="-4"/>
          <w:sz w:val="21"/>
          <w:szCs w:val="21"/>
        </w:rPr>
        <w:t>氢裂化、加氢精制生产的组分，单独或复合加入必要的、有利于改进与提高航空煤油质量的添加剂制成。</w:t>
      </w:r>
      <w:r>
        <w:rPr>
          <w:rFonts w:ascii="宋体" w:hAnsi="宋体" w:eastAsia="宋体" w:cs="宋体"/>
          <w:spacing w:val="8"/>
          <w:sz w:val="21"/>
          <w:szCs w:val="21"/>
        </w:rPr>
        <w:t xml:space="preserve"> </w:t>
      </w:r>
      <w:r>
        <w:rPr>
          <w:rFonts w:ascii="宋体" w:hAnsi="宋体" w:eastAsia="宋体" w:cs="宋体"/>
          <w:spacing w:val="-1"/>
          <w:sz w:val="21"/>
          <w:szCs w:val="21"/>
        </w:rPr>
        <w:t>主要用于航空涡轮发动机作燃料，根据所适用的工作环境温度及发动机型号分为不同牌号。</w:t>
      </w:r>
    </w:p>
    <w:p w14:paraId="1E42B14F">
      <w:pPr>
        <w:spacing w:before="111" w:line="270" w:lineRule="auto"/>
        <w:ind w:right="75" w:firstLine="433"/>
        <w:rPr>
          <w:rFonts w:ascii="宋体" w:hAnsi="宋体" w:eastAsia="宋体" w:cs="宋体"/>
          <w:sz w:val="21"/>
          <w:szCs w:val="21"/>
        </w:rPr>
      </w:pPr>
      <w:r>
        <w:rPr>
          <w:rFonts w:ascii="黑体" w:hAnsi="黑体" w:eastAsia="黑体" w:cs="黑体"/>
          <w:b/>
          <w:bCs/>
          <w:spacing w:val="1"/>
          <w:sz w:val="21"/>
          <w:szCs w:val="21"/>
        </w:rPr>
        <w:t>柴油</w:t>
      </w:r>
      <w:r>
        <w:rPr>
          <w:rFonts w:ascii="黑体" w:hAnsi="黑体" w:eastAsia="黑体" w:cs="黑体"/>
          <w:spacing w:val="108"/>
          <w:sz w:val="21"/>
          <w:szCs w:val="21"/>
        </w:rPr>
        <w:t xml:space="preserve"> </w:t>
      </w:r>
      <w:r>
        <w:rPr>
          <w:rFonts w:ascii="宋体" w:hAnsi="宋体" w:eastAsia="宋体" w:cs="宋体"/>
          <w:spacing w:val="1"/>
          <w:sz w:val="21"/>
          <w:szCs w:val="21"/>
        </w:rPr>
        <w:t>指直馏柴油和经过精制的二次加工(如催化裂化、加氢裂化、热裂化、加氢精制的焦化的柴</w:t>
      </w:r>
      <w:r>
        <w:rPr>
          <w:rFonts w:ascii="宋体" w:hAnsi="宋体" w:eastAsia="宋体" w:cs="宋体"/>
          <w:sz w:val="21"/>
          <w:szCs w:val="21"/>
        </w:rPr>
        <w:t xml:space="preserve"> </w:t>
      </w:r>
      <w:r>
        <w:rPr>
          <w:rFonts w:ascii="宋体" w:hAnsi="宋体" w:eastAsia="宋体" w:cs="宋体"/>
          <w:spacing w:val="5"/>
          <w:sz w:val="21"/>
          <w:szCs w:val="21"/>
        </w:rPr>
        <w:t>油等),以不同比例调和而成的成品油。柴油分为轻柴</w:t>
      </w:r>
      <w:r>
        <w:rPr>
          <w:rFonts w:ascii="宋体" w:hAnsi="宋体" w:eastAsia="宋体" w:cs="宋体"/>
          <w:spacing w:val="4"/>
          <w:sz w:val="21"/>
          <w:szCs w:val="21"/>
        </w:rPr>
        <w:t>油、重柴油。</w:t>
      </w:r>
    </w:p>
    <w:p w14:paraId="3239C5F5">
      <w:pPr>
        <w:spacing w:before="104" w:line="293" w:lineRule="auto"/>
        <w:ind w:right="20" w:firstLine="433"/>
        <w:rPr>
          <w:rFonts w:ascii="宋体" w:hAnsi="宋体" w:eastAsia="宋体" w:cs="宋体"/>
          <w:sz w:val="21"/>
          <w:szCs w:val="21"/>
        </w:rPr>
      </w:pPr>
      <w:r>
        <w:rPr>
          <w:rFonts w:ascii="宋体" w:hAnsi="宋体" w:eastAsia="宋体" w:cs="宋体"/>
          <w:b/>
          <w:bCs/>
          <w:spacing w:val="-2"/>
          <w:sz w:val="21"/>
          <w:szCs w:val="21"/>
        </w:rPr>
        <w:t>1.轻柴油</w:t>
      </w:r>
      <w:r>
        <w:rPr>
          <w:rFonts w:ascii="宋体" w:hAnsi="宋体" w:eastAsia="宋体" w:cs="宋体"/>
          <w:spacing w:val="101"/>
          <w:sz w:val="21"/>
          <w:szCs w:val="21"/>
        </w:rPr>
        <w:t xml:space="preserve"> </w:t>
      </w:r>
      <w:r>
        <w:rPr>
          <w:rFonts w:ascii="宋体" w:hAnsi="宋体" w:eastAsia="宋体" w:cs="宋体"/>
          <w:spacing w:val="-2"/>
          <w:sz w:val="21"/>
          <w:szCs w:val="21"/>
        </w:rPr>
        <w:t>指由常减压装置蒸馏产出的直馏柴</w:t>
      </w:r>
      <w:r>
        <w:rPr>
          <w:rFonts w:ascii="宋体" w:hAnsi="宋体" w:eastAsia="宋体" w:cs="宋体"/>
          <w:spacing w:val="-3"/>
          <w:sz w:val="21"/>
          <w:szCs w:val="21"/>
        </w:rPr>
        <w:t>油或经过精制的二次加工柴油组分(如催化裂化柴油、</w:t>
      </w:r>
      <w:r>
        <w:rPr>
          <w:rFonts w:ascii="宋体" w:hAnsi="宋体" w:eastAsia="宋体" w:cs="宋体"/>
          <w:sz w:val="21"/>
          <w:szCs w:val="21"/>
        </w:rPr>
        <w:t xml:space="preserve"> </w:t>
      </w:r>
      <w:r>
        <w:rPr>
          <w:rFonts w:ascii="宋体" w:hAnsi="宋体" w:eastAsia="宋体" w:cs="宋体"/>
          <w:spacing w:val="6"/>
          <w:sz w:val="21"/>
          <w:szCs w:val="21"/>
        </w:rPr>
        <w:t>加氢裂化柴油、加氢精制后的焦化柴油等)按一定比例调合而成，供转速为每分钟</w:t>
      </w:r>
      <w:r>
        <w:rPr>
          <w:rFonts w:ascii="宋体" w:hAnsi="宋体" w:eastAsia="宋体" w:cs="宋体"/>
          <w:spacing w:val="5"/>
          <w:sz w:val="21"/>
          <w:szCs w:val="21"/>
        </w:rPr>
        <w:t>1000转以上的柴油</w:t>
      </w:r>
      <w:r>
        <w:rPr>
          <w:rFonts w:ascii="宋体" w:hAnsi="宋体" w:eastAsia="宋体" w:cs="宋体"/>
          <w:sz w:val="21"/>
          <w:szCs w:val="21"/>
        </w:rPr>
        <w:t xml:space="preserve"> </w:t>
      </w:r>
      <w:r>
        <w:rPr>
          <w:rFonts w:ascii="宋体" w:hAnsi="宋体" w:eastAsia="宋体" w:cs="宋体"/>
          <w:spacing w:val="-1"/>
          <w:sz w:val="21"/>
          <w:szCs w:val="21"/>
        </w:rPr>
        <w:t>机使用的柴油。按凝固点划分为以下牌号：10号、5号、0号、</w:t>
      </w:r>
      <w:r>
        <w:rPr>
          <w:rFonts w:ascii="宋体" w:hAnsi="宋体" w:eastAsia="宋体" w:cs="宋体"/>
          <w:spacing w:val="60"/>
          <w:sz w:val="21"/>
          <w:szCs w:val="21"/>
        </w:rPr>
        <w:t xml:space="preserve"> </w:t>
      </w:r>
      <w:r>
        <w:rPr>
          <w:rFonts w:ascii="宋体" w:hAnsi="宋体" w:eastAsia="宋体" w:cs="宋体"/>
          <w:spacing w:val="-1"/>
          <w:sz w:val="21"/>
          <w:szCs w:val="21"/>
        </w:rPr>
        <w:t>—10号、 -20号、 一30号、 一35号、</w:t>
      </w:r>
      <w:r>
        <w:rPr>
          <w:rFonts w:ascii="宋体" w:hAnsi="宋体" w:eastAsia="宋体" w:cs="宋体"/>
          <w:sz w:val="21"/>
          <w:szCs w:val="21"/>
        </w:rPr>
        <w:t xml:space="preserve">  </w:t>
      </w:r>
      <w:r>
        <w:rPr>
          <w:rFonts w:ascii="宋体" w:hAnsi="宋体" w:eastAsia="宋体" w:cs="宋体"/>
          <w:spacing w:val="2"/>
          <w:sz w:val="21"/>
          <w:szCs w:val="21"/>
        </w:rPr>
        <w:t>一50号等。</w:t>
      </w:r>
    </w:p>
    <w:p w14:paraId="1C7A34EA">
      <w:pPr>
        <w:spacing w:before="109" w:line="284" w:lineRule="auto"/>
        <w:ind w:right="89" w:firstLine="433"/>
        <w:rPr>
          <w:rFonts w:ascii="宋体" w:hAnsi="宋体" w:eastAsia="宋体" w:cs="宋体"/>
          <w:sz w:val="21"/>
          <w:szCs w:val="21"/>
        </w:rPr>
      </w:pPr>
      <w:r>
        <w:rPr>
          <w:rFonts w:ascii="宋体" w:hAnsi="宋体" w:eastAsia="宋体" w:cs="宋体"/>
          <w:b/>
          <w:bCs/>
          <w:sz w:val="21"/>
          <w:szCs w:val="21"/>
        </w:rPr>
        <w:t>2.重柴油</w:t>
      </w:r>
      <w:r>
        <w:rPr>
          <w:rFonts w:ascii="宋体" w:hAnsi="宋体" w:eastAsia="宋体" w:cs="宋体"/>
          <w:sz w:val="21"/>
          <w:szCs w:val="21"/>
        </w:rPr>
        <w:t xml:space="preserve">  指由常减压装置蒸馏产出的直馏重柴油，或经过精制的二次加工重质柴油组分(如催化</w:t>
      </w:r>
      <w:r>
        <w:rPr>
          <w:rFonts w:ascii="宋体" w:hAnsi="宋体" w:eastAsia="宋体" w:cs="宋体"/>
          <w:spacing w:val="18"/>
          <w:sz w:val="21"/>
          <w:szCs w:val="21"/>
        </w:rPr>
        <w:t xml:space="preserve"> </w:t>
      </w:r>
      <w:r>
        <w:rPr>
          <w:rFonts w:ascii="宋体" w:hAnsi="宋体" w:eastAsia="宋体" w:cs="宋体"/>
          <w:spacing w:val="4"/>
          <w:sz w:val="21"/>
          <w:szCs w:val="21"/>
        </w:rPr>
        <w:t>裂化柴油、加氢裂化柴油、经加氢精制的焦</w:t>
      </w:r>
      <w:r>
        <w:rPr>
          <w:rFonts w:ascii="宋体" w:hAnsi="宋体" w:eastAsia="宋体" w:cs="宋体"/>
          <w:spacing w:val="3"/>
          <w:sz w:val="21"/>
          <w:szCs w:val="21"/>
        </w:rPr>
        <w:t>化柴油等),或与适量轻质柴油组分按不同比例调合而成，</w:t>
      </w:r>
      <w:r>
        <w:rPr>
          <w:rFonts w:ascii="宋体" w:hAnsi="宋体" w:eastAsia="宋体" w:cs="宋体"/>
          <w:sz w:val="21"/>
          <w:szCs w:val="21"/>
        </w:rPr>
        <w:t xml:space="preserve"> </w:t>
      </w:r>
      <w:r>
        <w:rPr>
          <w:rFonts w:ascii="宋体" w:hAnsi="宋体" w:eastAsia="宋体" w:cs="宋体"/>
          <w:spacing w:val="5"/>
          <w:sz w:val="21"/>
          <w:szCs w:val="21"/>
        </w:rPr>
        <w:t>供转速为每分钟1000转以下的柴油机使用的柴油。包括以下牌号：10号、20号</w:t>
      </w:r>
      <w:r>
        <w:rPr>
          <w:rFonts w:ascii="宋体" w:hAnsi="宋体" w:eastAsia="宋体" w:cs="宋体"/>
          <w:spacing w:val="4"/>
          <w:sz w:val="21"/>
          <w:szCs w:val="21"/>
        </w:rPr>
        <w:t>、30号等。</w:t>
      </w:r>
    </w:p>
    <w:p w14:paraId="4903801B">
      <w:pPr>
        <w:spacing w:line="284" w:lineRule="auto"/>
        <w:rPr>
          <w:rFonts w:ascii="宋体" w:hAnsi="宋体" w:eastAsia="宋体" w:cs="宋体"/>
          <w:sz w:val="21"/>
          <w:szCs w:val="21"/>
        </w:rPr>
        <w:sectPr>
          <w:headerReference r:id="rId59" w:type="default"/>
          <w:pgSz w:w="11910" w:h="16840"/>
          <w:pgMar w:top="1109" w:right="1194" w:bottom="400" w:left="1229" w:header="838" w:footer="0" w:gutter="0"/>
          <w:cols w:space="720" w:num="1"/>
        </w:sectPr>
      </w:pPr>
    </w:p>
    <w:p w14:paraId="58A3B487">
      <w:pPr>
        <w:pStyle w:val="2"/>
        <w:spacing w:line="345" w:lineRule="auto"/>
      </w:pPr>
    </w:p>
    <w:p w14:paraId="60C9E5F5">
      <w:pPr>
        <w:spacing w:before="68" w:line="286" w:lineRule="auto"/>
        <w:ind w:right="46" w:firstLine="423"/>
        <w:rPr>
          <w:rFonts w:ascii="宋体" w:hAnsi="宋体" w:eastAsia="宋体" w:cs="宋体"/>
          <w:sz w:val="21"/>
          <w:szCs w:val="21"/>
        </w:rPr>
      </w:pPr>
      <w:r>
        <w:rPr>
          <w:rFonts w:ascii="黑体" w:hAnsi="黑体" w:eastAsia="黑体" w:cs="黑体"/>
          <w:b/>
          <w:bCs/>
          <w:spacing w:val="-1"/>
          <w:sz w:val="21"/>
          <w:szCs w:val="21"/>
        </w:rPr>
        <w:t>润滑油</w:t>
      </w:r>
      <w:r>
        <w:rPr>
          <w:rFonts w:ascii="黑体" w:hAnsi="黑体" w:eastAsia="黑体" w:cs="黑体"/>
          <w:spacing w:val="105"/>
          <w:sz w:val="21"/>
          <w:szCs w:val="21"/>
        </w:rPr>
        <w:t xml:space="preserve"> </w:t>
      </w:r>
      <w:r>
        <w:rPr>
          <w:rFonts w:ascii="宋体" w:hAnsi="宋体" w:eastAsia="宋体" w:cs="宋体"/>
          <w:spacing w:val="-1"/>
          <w:sz w:val="21"/>
          <w:szCs w:val="21"/>
        </w:rPr>
        <w:t>指以原油经常减压蒸馏装置和二次加工所得的馏分油为原料，经糠醛精制和溶剂脱蜡或压</w:t>
      </w:r>
      <w:r>
        <w:rPr>
          <w:rFonts w:ascii="宋体" w:hAnsi="宋体" w:eastAsia="宋体" w:cs="宋体"/>
          <w:sz w:val="21"/>
          <w:szCs w:val="21"/>
        </w:rPr>
        <w:t xml:space="preserve"> </w:t>
      </w:r>
      <w:r>
        <w:rPr>
          <w:rFonts w:ascii="宋体" w:hAnsi="宋体" w:eastAsia="宋体" w:cs="宋体"/>
          <w:spacing w:val="-1"/>
          <w:sz w:val="21"/>
          <w:szCs w:val="21"/>
        </w:rPr>
        <w:t>榨脱蜡，再经白土或加氢精制工艺所得的润滑油基础油，加入清净、分</w:t>
      </w:r>
      <w:r>
        <w:rPr>
          <w:rFonts w:ascii="宋体" w:hAnsi="宋体" w:eastAsia="宋体" w:cs="宋体"/>
          <w:spacing w:val="-2"/>
          <w:sz w:val="21"/>
          <w:szCs w:val="21"/>
        </w:rPr>
        <w:t>散、抗氧、抗腐、抗泡等添加剂</w:t>
      </w:r>
      <w:r>
        <w:rPr>
          <w:rFonts w:ascii="宋体" w:hAnsi="宋体" w:eastAsia="宋体" w:cs="宋体"/>
          <w:sz w:val="21"/>
          <w:szCs w:val="21"/>
        </w:rPr>
        <w:t xml:space="preserve"> </w:t>
      </w:r>
      <w:r>
        <w:rPr>
          <w:rFonts w:ascii="宋体" w:hAnsi="宋体" w:eastAsia="宋体" w:cs="宋体"/>
          <w:spacing w:val="-7"/>
          <w:sz w:val="21"/>
          <w:szCs w:val="21"/>
        </w:rPr>
        <w:t>调合而成。</w:t>
      </w:r>
    </w:p>
    <w:p w14:paraId="03D6C6A7">
      <w:pPr>
        <w:spacing w:before="95" w:line="297" w:lineRule="auto"/>
        <w:ind w:right="60" w:firstLine="420"/>
        <w:rPr>
          <w:rFonts w:ascii="宋体" w:hAnsi="宋体" w:eastAsia="宋体" w:cs="宋体"/>
          <w:sz w:val="21"/>
          <w:szCs w:val="21"/>
        </w:rPr>
      </w:pPr>
      <w:r>
        <w:rPr>
          <w:rFonts w:ascii="宋体" w:hAnsi="宋体" w:eastAsia="宋体" w:cs="宋体"/>
          <w:spacing w:val="-1"/>
          <w:sz w:val="21"/>
          <w:szCs w:val="21"/>
        </w:rPr>
        <w:t>润滑油品种、规格、牌号较多，广泛应用于机械设备上，不</w:t>
      </w:r>
      <w:r>
        <w:rPr>
          <w:rFonts w:ascii="宋体" w:hAnsi="宋体" w:eastAsia="宋体" w:cs="宋体"/>
          <w:spacing w:val="-2"/>
          <w:sz w:val="21"/>
          <w:szCs w:val="21"/>
        </w:rPr>
        <w:t>同的应用领域要求使用不同的品种，不</w:t>
      </w:r>
      <w:r>
        <w:rPr>
          <w:rFonts w:ascii="宋体" w:hAnsi="宋体" w:eastAsia="宋体" w:cs="宋体"/>
          <w:sz w:val="21"/>
          <w:szCs w:val="21"/>
        </w:rPr>
        <w:t xml:space="preserve"> </w:t>
      </w:r>
      <w:r>
        <w:rPr>
          <w:rFonts w:ascii="宋体" w:hAnsi="宋体" w:eastAsia="宋体" w:cs="宋体"/>
          <w:spacing w:val="3"/>
          <w:sz w:val="21"/>
          <w:szCs w:val="21"/>
        </w:rPr>
        <w:t>同的使用环境和条件又要求使用不同的牌号。我国采用国际标准化组织的分类标准，制定了国</w:t>
      </w:r>
      <w:r>
        <w:rPr>
          <w:rFonts w:ascii="宋体" w:hAnsi="宋体" w:eastAsia="宋体" w:cs="宋体"/>
          <w:spacing w:val="2"/>
          <w:sz w:val="21"/>
          <w:szCs w:val="21"/>
        </w:rPr>
        <w:t>家标准</w:t>
      </w:r>
      <w:r>
        <w:rPr>
          <w:rFonts w:ascii="宋体" w:hAnsi="宋体" w:eastAsia="宋体" w:cs="宋体"/>
          <w:sz w:val="21"/>
          <w:szCs w:val="21"/>
        </w:rPr>
        <w:t xml:space="preserve"> </w:t>
      </w:r>
      <w:r>
        <w:rPr>
          <w:rFonts w:ascii="宋体" w:hAnsi="宋体" w:eastAsia="宋体" w:cs="宋体"/>
          <w:spacing w:val="-1"/>
          <w:sz w:val="21"/>
          <w:szCs w:val="21"/>
        </w:rPr>
        <w:t>GB/T7631。  目前润滑油分为16类：全损耗系统用油、齿轮用油、压缩机用油、主轴轴承用油、导轨用</w:t>
      </w:r>
      <w:r>
        <w:rPr>
          <w:rFonts w:ascii="宋体" w:hAnsi="宋体" w:eastAsia="宋体" w:cs="宋体"/>
          <w:spacing w:val="5"/>
          <w:sz w:val="21"/>
          <w:szCs w:val="21"/>
        </w:rPr>
        <w:t xml:space="preserve"> </w:t>
      </w:r>
      <w:r>
        <w:rPr>
          <w:rFonts w:ascii="宋体" w:hAnsi="宋体" w:eastAsia="宋体" w:cs="宋体"/>
          <w:spacing w:val="-1"/>
          <w:sz w:val="21"/>
          <w:szCs w:val="21"/>
        </w:rPr>
        <w:t>油、液压系统用油、金属加工用油、电器绝缘用油、防护防蚀用油、汽轮</w:t>
      </w:r>
      <w:r>
        <w:rPr>
          <w:rFonts w:ascii="宋体" w:hAnsi="宋体" w:eastAsia="宋体" w:cs="宋体"/>
          <w:spacing w:val="-2"/>
          <w:sz w:val="21"/>
          <w:szCs w:val="21"/>
        </w:rPr>
        <w:t>机用油、热处理用油、蒸汽汽</w:t>
      </w:r>
      <w:r>
        <w:rPr>
          <w:rFonts w:ascii="宋体" w:hAnsi="宋体" w:eastAsia="宋体" w:cs="宋体"/>
          <w:sz w:val="21"/>
          <w:szCs w:val="21"/>
        </w:rPr>
        <w:t xml:space="preserve"> </w:t>
      </w:r>
      <w:r>
        <w:rPr>
          <w:rFonts w:ascii="宋体" w:hAnsi="宋体" w:eastAsia="宋体" w:cs="宋体"/>
          <w:spacing w:val="-3"/>
          <w:sz w:val="21"/>
          <w:szCs w:val="21"/>
        </w:rPr>
        <w:t>缸用油、橡胶填充用油、白油、专用润滑油、热传导液等。</w:t>
      </w:r>
    </w:p>
    <w:p w14:paraId="2FB567A1">
      <w:pPr>
        <w:spacing w:before="116" w:line="375" w:lineRule="exact"/>
        <w:ind w:right="43"/>
        <w:jc w:val="right"/>
        <w:rPr>
          <w:rFonts w:ascii="宋体" w:hAnsi="宋体" w:eastAsia="宋体" w:cs="宋体"/>
          <w:sz w:val="21"/>
          <w:szCs w:val="21"/>
        </w:rPr>
      </w:pPr>
      <w:r>
        <w:rPr>
          <w:rFonts w:ascii="黑体" w:hAnsi="黑体" w:eastAsia="黑体" w:cs="黑体"/>
          <w:b/>
          <w:bCs/>
          <w:spacing w:val="-1"/>
          <w:position w:val="12"/>
          <w:sz w:val="21"/>
          <w:szCs w:val="21"/>
        </w:rPr>
        <w:t>燃料油</w:t>
      </w:r>
      <w:r>
        <w:rPr>
          <w:rFonts w:ascii="黑体" w:hAnsi="黑体" w:eastAsia="黑体" w:cs="黑体"/>
          <w:spacing w:val="108"/>
          <w:position w:val="12"/>
          <w:sz w:val="21"/>
          <w:szCs w:val="21"/>
        </w:rPr>
        <w:t xml:space="preserve"> </w:t>
      </w:r>
      <w:r>
        <w:rPr>
          <w:rFonts w:ascii="宋体" w:hAnsi="宋体" w:eastAsia="宋体" w:cs="宋体"/>
          <w:spacing w:val="-1"/>
          <w:position w:val="12"/>
          <w:sz w:val="21"/>
          <w:szCs w:val="21"/>
        </w:rPr>
        <w:t>包括船用燃料油、重油或其他燃料油。燃料油分为商品燃料油和自用燃料油。商品燃料油</w:t>
      </w:r>
    </w:p>
    <w:p w14:paraId="67A14E0D">
      <w:pPr>
        <w:spacing w:line="218" w:lineRule="auto"/>
        <w:rPr>
          <w:rFonts w:ascii="宋体" w:hAnsi="宋体" w:eastAsia="宋体" w:cs="宋体"/>
          <w:sz w:val="21"/>
          <w:szCs w:val="21"/>
        </w:rPr>
      </w:pPr>
      <w:r>
        <w:rPr>
          <w:rFonts w:ascii="宋体" w:hAnsi="宋体" w:eastAsia="宋体" w:cs="宋体"/>
          <w:spacing w:val="-6"/>
          <w:sz w:val="21"/>
          <w:szCs w:val="21"/>
        </w:rPr>
        <w:t>指企业作为商品销售的燃料油；</w:t>
      </w:r>
      <w:r>
        <w:rPr>
          <w:rFonts w:ascii="宋体" w:hAnsi="宋体" w:eastAsia="宋体" w:cs="宋体"/>
          <w:spacing w:val="73"/>
          <w:sz w:val="21"/>
          <w:szCs w:val="21"/>
        </w:rPr>
        <w:t xml:space="preserve"> </w:t>
      </w:r>
      <w:r>
        <w:rPr>
          <w:rFonts w:ascii="宋体" w:hAnsi="宋体" w:eastAsia="宋体" w:cs="宋体"/>
          <w:spacing w:val="-6"/>
          <w:sz w:val="21"/>
          <w:szCs w:val="21"/>
        </w:rPr>
        <w:t>自用燃料油指本企业用作燃料和化肥、化工原料的自用油。</w:t>
      </w:r>
    </w:p>
    <w:p w14:paraId="526AE46B">
      <w:pPr>
        <w:spacing w:before="101" w:line="285" w:lineRule="auto"/>
        <w:ind w:right="74" w:firstLine="423"/>
        <w:rPr>
          <w:rFonts w:ascii="宋体" w:hAnsi="宋体" w:eastAsia="宋体" w:cs="宋体"/>
          <w:sz w:val="21"/>
          <w:szCs w:val="21"/>
        </w:rPr>
      </w:pPr>
      <w:r>
        <w:rPr>
          <w:rFonts w:ascii="宋体" w:hAnsi="宋体" w:eastAsia="宋体" w:cs="宋体"/>
          <w:b/>
          <w:bCs/>
          <w:spacing w:val="-2"/>
          <w:sz w:val="21"/>
          <w:szCs w:val="21"/>
        </w:rPr>
        <w:t>1.船用燃料油</w:t>
      </w:r>
      <w:r>
        <w:rPr>
          <w:rFonts w:ascii="宋体" w:hAnsi="宋体" w:eastAsia="宋体" w:cs="宋体"/>
          <w:spacing w:val="-2"/>
          <w:sz w:val="21"/>
          <w:szCs w:val="21"/>
        </w:rPr>
        <w:t xml:space="preserve">  由原油经蒸馏后的常压重油或减压渣油与适量的二次加工</w:t>
      </w:r>
      <w:r>
        <w:rPr>
          <w:rFonts w:ascii="宋体" w:hAnsi="宋体" w:eastAsia="宋体" w:cs="宋体"/>
          <w:spacing w:val="-3"/>
          <w:sz w:val="21"/>
          <w:szCs w:val="21"/>
        </w:rPr>
        <w:t>柴油组分按不同比例调合</w:t>
      </w:r>
      <w:r>
        <w:rPr>
          <w:rFonts w:ascii="宋体" w:hAnsi="宋体" w:eastAsia="宋体" w:cs="宋体"/>
          <w:sz w:val="21"/>
          <w:szCs w:val="21"/>
        </w:rPr>
        <w:t xml:space="preserve"> </w:t>
      </w:r>
      <w:r>
        <w:rPr>
          <w:rFonts w:ascii="宋体" w:hAnsi="宋体" w:eastAsia="宋体" w:cs="宋体"/>
          <w:spacing w:val="5"/>
          <w:sz w:val="21"/>
          <w:szCs w:val="21"/>
        </w:rPr>
        <w:t>而成。主要用于大型低速远洋船舶柴油机(转速低于每分钟150转)作燃料。包括：舰用燃料油、1000</w:t>
      </w:r>
      <w:r>
        <w:rPr>
          <w:rFonts w:ascii="宋体" w:hAnsi="宋体" w:eastAsia="宋体" w:cs="宋体"/>
          <w:spacing w:val="15"/>
          <w:sz w:val="21"/>
          <w:szCs w:val="21"/>
        </w:rPr>
        <w:t xml:space="preserve"> </w:t>
      </w:r>
      <w:r>
        <w:rPr>
          <w:rFonts w:ascii="宋体" w:hAnsi="宋体" w:eastAsia="宋体" w:cs="宋体"/>
          <w:spacing w:val="8"/>
          <w:sz w:val="21"/>
          <w:szCs w:val="21"/>
        </w:rPr>
        <w:t>秒船用燃料油、1500秒船用燃料油及0号、2号、5号、6号、</w:t>
      </w:r>
      <w:r>
        <w:rPr>
          <w:rFonts w:ascii="宋体" w:hAnsi="宋体" w:eastAsia="宋体" w:cs="宋体"/>
          <w:spacing w:val="7"/>
          <w:sz w:val="21"/>
          <w:szCs w:val="21"/>
        </w:rPr>
        <w:t>23号、其他船用燃料油。</w:t>
      </w:r>
    </w:p>
    <w:p w14:paraId="464633D9">
      <w:pPr>
        <w:spacing w:before="118" w:line="279" w:lineRule="auto"/>
        <w:ind w:right="86" w:firstLine="422"/>
        <w:rPr>
          <w:rFonts w:ascii="宋体" w:hAnsi="宋体" w:eastAsia="宋体" w:cs="宋体"/>
          <w:sz w:val="21"/>
          <w:szCs w:val="21"/>
        </w:rPr>
      </w:pPr>
      <w:r>
        <w:rPr>
          <w:rFonts w:ascii="宋体" w:hAnsi="宋体" w:eastAsia="宋体" w:cs="宋体"/>
          <w:b/>
          <w:bCs/>
          <w:spacing w:val="-2"/>
          <w:sz w:val="21"/>
          <w:szCs w:val="21"/>
        </w:rPr>
        <w:t>2.重油</w:t>
      </w:r>
      <w:r>
        <w:rPr>
          <w:rFonts w:ascii="宋体" w:hAnsi="宋体" w:eastAsia="宋体" w:cs="宋体"/>
          <w:spacing w:val="-2"/>
          <w:sz w:val="21"/>
          <w:szCs w:val="21"/>
        </w:rPr>
        <w:t xml:space="preserve">  指原油经常减压装置蒸馏后的减压渣油与二次加工组分油按不同比例调合而成。主要用于</w:t>
      </w:r>
      <w:r>
        <w:rPr>
          <w:rFonts w:ascii="宋体" w:hAnsi="宋体" w:eastAsia="宋体" w:cs="宋体"/>
          <w:spacing w:val="6"/>
          <w:sz w:val="21"/>
          <w:szCs w:val="21"/>
        </w:rPr>
        <w:t xml:space="preserve"> </w:t>
      </w:r>
      <w:r>
        <w:rPr>
          <w:rFonts w:ascii="宋体" w:hAnsi="宋体" w:eastAsia="宋体" w:cs="宋体"/>
          <w:sz w:val="21"/>
          <w:szCs w:val="21"/>
        </w:rPr>
        <w:t>各种锅炉或其他工业炉燃料，也可用于重油制氢、生产</w:t>
      </w:r>
      <w:r>
        <w:rPr>
          <w:rFonts w:ascii="宋体" w:hAnsi="宋体" w:eastAsia="宋体" w:cs="宋体"/>
          <w:spacing w:val="-1"/>
          <w:sz w:val="21"/>
          <w:szCs w:val="21"/>
        </w:rPr>
        <w:t>合成氨和炭黑的原料。</w:t>
      </w:r>
      <w:r>
        <w:rPr>
          <w:rFonts w:ascii="宋体" w:hAnsi="宋体" w:eastAsia="宋体" w:cs="宋体"/>
          <w:spacing w:val="45"/>
          <w:sz w:val="21"/>
          <w:szCs w:val="21"/>
        </w:rPr>
        <w:t xml:space="preserve"> </w:t>
      </w:r>
      <w:r>
        <w:rPr>
          <w:rFonts w:ascii="宋体" w:hAnsi="宋体" w:eastAsia="宋体" w:cs="宋体"/>
          <w:spacing w:val="-1"/>
          <w:sz w:val="21"/>
          <w:szCs w:val="21"/>
        </w:rPr>
        <w:t>一般分为以下牌号：10</w:t>
      </w:r>
      <w:r>
        <w:rPr>
          <w:rFonts w:ascii="宋体" w:hAnsi="宋体" w:eastAsia="宋体" w:cs="宋体"/>
          <w:sz w:val="21"/>
          <w:szCs w:val="21"/>
        </w:rPr>
        <w:t xml:space="preserve"> </w:t>
      </w:r>
      <w:r>
        <w:rPr>
          <w:rFonts w:ascii="宋体" w:hAnsi="宋体" w:eastAsia="宋体" w:cs="宋体"/>
          <w:spacing w:val="5"/>
          <w:sz w:val="21"/>
          <w:szCs w:val="21"/>
        </w:rPr>
        <w:t>号、20号、60号、100号、200号及其他重油。</w:t>
      </w:r>
    </w:p>
    <w:p w14:paraId="7C8C7F24">
      <w:pPr>
        <w:spacing w:before="114" w:line="293" w:lineRule="auto"/>
        <w:ind w:right="74" w:firstLine="422"/>
        <w:rPr>
          <w:rFonts w:ascii="宋体" w:hAnsi="宋体" w:eastAsia="宋体" w:cs="宋体"/>
          <w:sz w:val="21"/>
          <w:szCs w:val="21"/>
        </w:rPr>
      </w:pPr>
      <w:r>
        <w:rPr>
          <w:rFonts w:ascii="黑体" w:hAnsi="黑体" w:eastAsia="黑体" w:cs="黑体"/>
          <w:b/>
          <w:bCs/>
          <w:sz w:val="21"/>
          <w:szCs w:val="21"/>
        </w:rPr>
        <w:t>石脑油</w:t>
      </w:r>
      <w:r>
        <w:rPr>
          <w:rFonts w:ascii="黑体" w:hAnsi="黑体" w:eastAsia="黑体" w:cs="黑体"/>
          <w:sz w:val="21"/>
          <w:szCs w:val="21"/>
        </w:rPr>
        <w:t xml:space="preserve">  </w:t>
      </w:r>
      <w:r>
        <w:rPr>
          <w:rFonts w:ascii="宋体" w:hAnsi="宋体" w:eastAsia="宋体" w:cs="宋体"/>
          <w:sz w:val="21"/>
          <w:szCs w:val="21"/>
        </w:rPr>
        <w:t>属一部分石油轻馏分的泛称；用途不同，各种馏程亦不同。馏程自</w:t>
      </w:r>
      <w:r>
        <w:rPr>
          <w:rFonts w:ascii="宋体" w:hAnsi="宋体" w:eastAsia="宋体" w:cs="宋体"/>
          <w:spacing w:val="-1"/>
          <w:sz w:val="21"/>
          <w:szCs w:val="21"/>
        </w:rPr>
        <w:t>初馏点至220℃左右，</w:t>
      </w:r>
      <w:r>
        <w:rPr>
          <w:rFonts w:ascii="宋体" w:hAnsi="宋体" w:eastAsia="宋体" w:cs="宋体"/>
          <w:sz w:val="21"/>
          <w:szCs w:val="21"/>
        </w:rPr>
        <w:t xml:space="preserve"> </w:t>
      </w:r>
      <w:r>
        <w:rPr>
          <w:rFonts w:ascii="宋体" w:hAnsi="宋体" w:eastAsia="宋体" w:cs="宋体"/>
          <w:spacing w:val="-1"/>
          <w:sz w:val="21"/>
          <w:szCs w:val="21"/>
        </w:rPr>
        <w:t>主要用作重整和化工原料；70-145℃馏分，称轻石脑油，生产芳烃的重整原料；70-</w:t>
      </w:r>
      <w:r>
        <w:rPr>
          <w:rFonts w:ascii="宋体" w:hAnsi="宋体" w:eastAsia="宋体" w:cs="宋体"/>
          <w:spacing w:val="-2"/>
          <w:sz w:val="21"/>
          <w:szCs w:val="21"/>
        </w:rPr>
        <w:t>180℃馏分，称重石</w:t>
      </w:r>
      <w:r>
        <w:rPr>
          <w:rFonts w:ascii="宋体" w:hAnsi="宋体" w:eastAsia="宋体" w:cs="宋体"/>
          <w:sz w:val="21"/>
          <w:szCs w:val="21"/>
        </w:rPr>
        <w:t xml:space="preserve"> </w:t>
      </w:r>
      <w:r>
        <w:rPr>
          <w:rFonts w:ascii="宋体" w:hAnsi="宋体" w:eastAsia="宋体" w:cs="宋体"/>
          <w:spacing w:val="-1"/>
          <w:sz w:val="21"/>
          <w:szCs w:val="21"/>
        </w:rPr>
        <w:t>脑油，用作生产高辛烷值汽油。用作溶剂时，称作溶剂石脑油；来</w:t>
      </w:r>
      <w:r>
        <w:rPr>
          <w:rFonts w:ascii="宋体" w:hAnsi="宋体" w:eastAsia="宋体" w:cs="宋体"/>
          <w:spacing w:val="-2"/>
          <w:sz w:val="21"/>
          <w:szCs w:val="21"/>
        </w:rPr>
        <w:t>自煤焦油的芳香族溶剂油也称作重石</w:t>
      </w:r>
      <w:r>
        <w:rPr>
          <w:rFonts w:ascii="宋体" w:hAnsi="宋体" w:eastAsia="宋体" w:cs="宋体"/>
          <w:sz w:val="21"/>
          <w:szCs w:val="21"/>
        </w:rPr>
        <w:t xml:space="preserve"> </w:t>
      </w:r>
      <w:r>
        <w:rPr>
          <w:rFonts w:ascii="宋体" w:hAnsi="宋体" w:eastAsia="宋体" w:cs="宋体"/>
          <w:spacing w:val="-4"/>
          <w:sz w:val="21"/>
          <w:szCs w:val="21"/>
        </w:rPr>
        <w:t>脑油或溶剂石脑油。</w:t>
      </w:r>
    </w:p>
    <w:p w14:paraId="15074768">
      <w:pPr>
        <w:spacing w:before="107" w:line="303" w:lineRule="auto"/>
        <w:ind w:firstLine="423"/>
        <w:rPr>
          <w:rFonts w:ascii="宋体" w:hAnsi="宋体" w:eastAsia="宋体" w:cs="宋体"/>
          <w:sz w:val="21"/>
          <w:szCs w:val="21"/>
        </w:rPr>
      </w:pPr>
      <w:r>
        <w:rPr>
          <w:rFonts w:ascii="黑体" w:hAnsi="黑体" w:eastAsia="黑体" w:cs="黑体"/>
          <w:b/>
          <w:bCs/>
          <w:spacing w:val="-1"/>
          <w:sz w:val="21"/>
          <w:szCs w:val="21"/>
        </w:rPr>
        <w:t>溶剂油</w:t>
      </w:r>
      <w:r>
        <w:rPr>
          <w:rFonts w:ascii="黑体" w:hAnsi="黑体" w:eastAsia="黑体" w:cs="黑体"/>
          <w:spacing w:val="89"/>
          <w:sz w:val="21"/>
          <w:szCs w:val="21"/>
        </w:rPr>
        <w:t xml:space="preserve"> </w:t>
      </w:r>
      <w:r>
        <w:rPr>
          <w:rFonts w:ascii="宋体" w:hAnsi="宋体" w:eastAsia="宋体" w:cs="宋体"/>
          <w:spacing w:val="-1"/>
          <w:sz w:val="21"/>
          <w:szCs w:val="21"/>
        </w:rPr>
        <w:t>指以蒸馏装置的直馏汽油组分或催化重整</w:t>
      </w:r>
      <w:r>
        <w:rPr>
          <w:rFonts w:ascii="宋体" w:hAnsi="宋体" w:eastAsia="宋体" w:cs="宋体"/>
          <w:spacing w:val="-2"/>
          <w:sz w:val="21"/>
          <w:szCs w:val="21"/>
        </w:rPr>
        <w:t xml:space="preserve">的抽余油为原料，经精制、分馏而制成，按馏分 </w:t>
      </w:r>
      <w:r>
        <w:rPr>
          <w:rFonts w:ascii="宋体" w:hAnsi="宋体" w:eastAsia="宋体" w:cs="宋体"/>
          <w:spacing w:val="1"/>
          <w:sz w:val="21"/>
          <w:szCs w:val="21"/>
        </w:rPr>
        <w:t>不同分为以下不同牌号：6号抽提溶剂油，用于植物油萃取工艺中作抽提溶剂</w:t>
      </w:r>
      <w:r>
        <w:rPr>
          <w:rFonts w:ascii="宋体" w:hAnsi="宋体" w:eastAsia="宋体" w:cs="宋体"/>
          <w:sz w:val="21"/>
          <w:szCs w:val="21"/>
        </w:rPr>
        <w:t>，也可作合成橡胶工艺中 的溶剂、化学试剂、化学溶剂等；70号溶剂油，别名香花溶剂油</w:t>
      </w:r>
      <w:r>
        <w:rPr>
          <w:rFonts w:ascii="宋体" w:hAnsi="宋体" w:eastAsia="宋体" w:cs="宋体"/>
          <w:spacing w:val="-1"/>
          <w:sz w:val="21"/>
          <w:szCs w:val="21"/>
        </w:rPr>
        <w:t>，用于香花香料及油脂工业作抽提剂；</w:t>
      </w:r>
      <w:r>
        <w:rPr>
          <w:rFonts w:ascii="宋体" w:hAnsi="宋体" w:eastAsia="宋体" w:cs="宋体"/>
          <w:sz w:val="21"/>
          <w:szCs w:val="21"/>
        </w:rPr>
        <w:t xml:space="preserve"> </w:t>
      </w:r>
      <w:r>
        <w:rPr>
          <w:rFonts w:ascii="宋体" w:hAnsi="宋体" w:eastAsia="宋体" w:cs="宋体"/>
          <w:spacing w:val="3"/>
          <w:sz w:val="21"/>
          <w:szCs w:val="21"/>
        </w:rPr>
        <w:t>90号溶剂油，别名90号石油醚，用于化学试剂、</w:t>
      </w:r>
      <w:r>
        <w:rPr>
          <w:rFonts w:ascii="宋体" w:hAnsi="宋体" w:eastAsia="宋体" w:cs="宋体"/>
          <w:spacing w:val="2"/>
          <w:sz w:val="21"/>
          <w:szCs w:val="21"/>
        </w:rPr>
        <w:t>医药溶剂；120号橡胶溶剂油，用于橡胶工业作溶剂；</w:t>
      </w:r>
      <w:r>
        <w:rPr>
          <w:rFonts w:ascii="宋体" w:hAnsi="宋体" w:eastAsia="宋体" w:cs="宋体"/>
          <w:sz w:val="21"/>
          <w:szCs w:val="21"/>
        </w:rPr>
        <w:t xml:space="preserve"> </w:t>
      </w:r>
      <w:r>
        <w:rPr>
          <w:rFonts w:ascii="宋体" w:hAnsi="宋体" w:eastAsia="宋体" w:cs="宋体"/>
          <w:spacing w:val="2"/>
          <w:sz w:val="21"/>
          <w:szCs w:val="21"/>
        </w:rPr>
        <w:t>190号溶剂油，用于机械零件洗涤和工农业生产作溶剂；200号溶剂油，用作油漆工业溶剂和稀释剂；</w:t>
      </w:r>
      <w:r>
        <w:rPr>
          <w:rFonts w:ascii="宋体" w:hAnsi="宋体" w:eastAsia="宋体" w:cs="宋体"/>
          <w:spacing w:val="4"/>
          <w:sz w:val="21"/>
          <w:szCs w:val="21"/>
        </w:rPr>
        <w:t xml:space="preserve">  </w:t>
      </w:r>
      <w:r>
        <w:rPr>
          <w:rFonts w:ascii="宋体" w:hAnsi="宋体" w:eastAsia="宋体" w:cs="宋体"/>
          <w:spacing w:val="3"/>
          <w:sz w:val="21"/>
          <w:szCs w:val="21"/>
        </w:rPr>
        <w:t>260号溶剂油，为煤油型特种溶剂；300号彩色油墨溶剂油，用于制造高档油墨；航空洗涤油</w:t>
      </w:r>
      <w:r>
        <w:rPr>
          <w:rFonts w:ascii="宋体" w:hAnsi="宋体" w:eastAsia="宋体" w:cs="宋体"/>
          <w:spacing w:val="2"/>
          <w:sz w:val="21"/>
          <w:szCs w:val="21"/>
        </w:rPr>
        <w:t xml:space="preserve">，用于航 </w:t>
      </w:r>
      <w:r>
        <w:rPr>
          <w:rFonts w:ascii="宋体" w:hAnsi="宋体" w:eastAsia="宋体" w:cs="宋体"/>
          <w:spacing w:val="-2"/>
          <w:sz w:val="21"/>
          <w:szCs w:val="21"/>
        </w:rPr>
        <w:t>空机件等精密机件的洗涤，也用作航空涡轮发电机点火燃料。</w:t>
      </w:r>
    </w:p>
    <w:p w14:paraId="00CDF9E5">
      <w:pPr>
        <w:spacing w:before="108" w:line="269" w:lineRule="auto"/>
        <w:ind w:right="56" w:firstLine="422"/>
        <w:rPr>
          <w:rFonts w:ascii="宋体" w:hAnsi="宋体" w:eastAsia="宋体" w:cs="宋体"/>
          <w:sz w:val="21"/>
          <w:szCs w:val="21"/>
        </w:rPr>
      </w:pPr>
      <w:r>
        <w:rPr>
          <w:rFonts w:ascii="黑体" w:hAnsi="黑体" w:eastAsia="黑体" w:cs="黑体"/>
          <w:b/>
          <w:bCs/>
          <w:spacing w:val="-1"/>
          <w:sz w:val="21"/>
          <w:szCs w:val="21"/>
        </w:rPr>
        <w:t>石蜡</w:t>
      </w:r>
      <w:r>
        <w:rPr>
          <w:rFonts w:ascii="黑体" w:hAnsi="黑体" w:eastAsia="黑体" w:cs="黑体"/>
          <w:spacing w:val="101"/>
          <w:sz w:val="21"/>
          <w:szCs w:val="21"/>
        </w:rPr>
        <w:t xml:space="preserve"> </w:t>
      </w:r>
      <w:r>
        <w:rPr>
          <w:rFonts w:ascii="宋体" w:hAnsi="宋体" w:eastAsia="宋体" w:cs="宋体"/>
          <w:spacing w:val="-1"/>
          <w:sz w:val="21"/>
          <w:szCs w:val="21"/>
        </w:rPr>
        <w:t>指从石油、页岩油或其他沥青矿物油的某些馏出物中提取出来的烃类混合物，主要成</w:t>
      </w:r>
      <w:r>
        <w:rPr>
          <w:rFonts w:ascii="宋体" w:hAnsi="宋体" w:eastAsia="宋体" w:cs="宋体"/>
          <w:spacing w:val="-2"/>
          <w:sz w:val="21"/>
          <w:szCs w:val="21"/>
        </w:rPr>
        <w:t>分是固</w:t>
      </w:r>
      <w:r>
        <w:rPr>
          <w:rFonts w:ascii="宋体" w:hAnsi="宋体" w:eastAsia="宋体" w:cs="宋体"/>
          <w:sz w:val="21"/>
          <w:szCs w:val="21"/>
        </w:rPr>
        <w:t xml:space="preserve"> </w:t>
      </w:r>
      <w:r>
        <w:rPr>
          <w:rFonts w:ascii="宋体" w:hAnsi="宋体" w:eastAsia="宋体" w:cs="宋体"/>
          <w:spacing w:val="-2"/>
          <w:sz w:val="21"/>
          <w:szCs w:val="21"/>
        </w:rPr>
        <w:t>体烷烃，无臭无味，为白色或淡黄色半透明固体。</w:t>
      </w:r>
    </w:p>
    <w:p w14:paraId="778DCBC2">
      <w:pPr>
        <w:spacing w:before="109" w:line="285" w:lineRule="auto"/>
        <w:ind w:right="55" w:firstLine="422"/>
        <w:rPr>
          <w:rFonts w:ascii="宋体" w:hAnsi="宋体" w:eastAsia="宋体" w:cs="宋体"/>
          <w:sz w:val="21"/>
          <w:szCs w:val="21"/>
        </w:rPr>
      </w:pPr>
      <w:r>
        <w:rPr>
          <w:rFonts w:ascii="黑体" w:hAnsi="黑体" w:eastAsia="黑体" w:cs="黑体"/>
          <w:b/>
          <w:bCs/>
          <w:spacing w:val="-2"/>
          <w:sz w:val="21"/>
          <w:szCs w:val="21"/>
        </w:rPr>
        <w:t>石油焦</w:t>
      </w:r>
      <w:r>
        <w:rPr>
          <w:rFonts w:ascii="黑体" w:hAnsi="黑体" w:eastAsia="黑体" w:cs="黑体"/>
          <w:spacing w:val="-2"/>
          <w:sz w:val="21"/>
          <w:szCs w:val="21"/>
        </w:rPr>
        <w:t xml:space="preserve">  </w:t>
      </w:r>
      <w:r>
        <w:rPr>
          <w:rFonts w:ascii="宋体" w:hAnsi="宋体" w:eastAsia="宋体" w:cs="宋体"/>
          <w:spacing w:val="-2"/>
          <w:sz w:val="21"/>
          <w:szCs w:val="21"/>
        </w:rPr>
        <w:t>指以原油经常减压装置蒸馏所得的渣油或以重油为原料，经焦化装置生产。产品按用途分</w:t>
      </w:r>
      <w:r>
        <w:rPr>
          <w:rFonts w:ascii="宋体" w:hAnsi="宋体" w:eastAsia="宋体" w:cs="宋体"/>
          <w:spacing w:val="16"/>
          <w:sz w:val="21"/>
          <w:szCs w:val="21"/>
        </w:rPr>
        <w:t xml:space="preserve"> </w:t>
      </w:r>
      <w:r>
        <w:rPr>
          <w:rFonts w:ascii="宋体" w:hAnsi="宋体" w:eastAsia="宋体" w:cs="宋体"/>
          <w:spacing w:val="2"/>
          <w:sz w:val="21"/>
          <w:szCs w:val="21"/>
        </w:rPr>
        <w:t>为三个牌号，每个牌号按质量分为A、B</w:t>
      </w:r>
      <w:r>
        <w:rPr>
          <w:rFonts w:ascii="宋体" w:hAnsi="宋体" w:eastAsia="宋体" w:cs="宋体"/>
          <w:spacing w:val="57"/>
          <w:sz w:val="21"/>
          <w:szCs w:val="21"/>
        </w:rPr>
        <w:t xml:space="preserve"> </w:t>
      </w:r>
      <w:r>
        <w:rPr>
          <w:rFonts w:ascii="宋体" w:hAnsi="宋体" w:eastAsia="宋体" w:cs="宋体"/>
          <w:spacing w:val="2"/>
          <w:sz w:val="21"/>
          <w:szCs w:val="21"/>
        </w:rPr>
        <w:t>两类，牌号有1#A、1#B、2#A、2#</w:t>
      </w:r>
      <w:r>
        <w:rPr>
          <w:rFonts w:ascii="宋体" w:hAnsi="宋体" w:eastAsia="宋体" w:cs="宋体"/>
          <w:spacing w:val="1"/>
          <w:sz w:val="21"/>
          <w:szCs w:val="21"/>
        </w:rPr>
        <w:t>B、3#A、3#B</w:t>
      </w:r>
      <w:r>
        <w:rPr>
          <w:rFonts w:ascii="宋体" w:hAnsi="宋体" w:eastAsia="宋体" w:cs="宋体"/>
          <w:spacing w:val="46"/>
          <w:sz w:val="21"/>
          <w:szCs w:val="21"/>
        </w:rPr>
        <w:t xml:space="preserve">  </w:t>
      </w:r>
      <w:r>
        <w:rPr>
          <w:rFonts w:ascii="宋体" w:hAnsi="宋体" w:eastAsia="宋体" w:cs="宋体"/>
          <w:spacing w:val="1"/>
          <w:sz w:val="21"/>
          <w:szCs w:val="21"/>
        </w:rPr>
        <w:t>石油焦等。</w:t>
      </w:r>
      <w:r>
        <w:rPr>
          <w:rFonts w:ascii="宋体" w:hAnsi="宋体" w:eastAsia="宋体" w:cs="宋体"/>
          <w:sz w:val="21"/>
          <w:szCs w:val="21"/>
        </w:rPr>
        <w:t xml:space="preserve"> </w:t>
      </w:r>
      <w:r>
        <w:rPr>
          <w:rFonts w:ascii="宋体" w:hAnsi="宋体" w:eastAsia="宋体" w:cs="宋体"/>
          <w:spacing w:val="-1"/>
          <w:sz w:val="21"/>
          <w:szCs w:val="21"/>
        </w:rPr>
        <w:t>主要用于制造石墨电极、碳素、碳化硅、碳化钙等产品的原料，也可直接用于冶炼、铸煅工艺作燃料。</w:t>
      </w:r>
    </w:p>
    <w:p w14:paraId="7C57D835">
      <w:pPr>
        <w:spacing w:before="106" w:line="303" w:lineRule="auto"/>
        <w:ind w:right="30" w:firstLine="423"/>
        <w:rPr>
          <w:rFonts w:ascii="宋体" w:hAnsi="宋体" w:eastAsia="宋体" w:cs="宋体"/>
          <w:sz w:val="21"/>
          <w:szCs w:val="21"/>
        </w:rPr>
      </w:pPr>
      <w:r>
        <w:rPr>
          <w:rFonts w:ascii="黑体" w:hAnsi="黑体" w:eastAsia="黑体" w:cs="黑体"/>
          <w:b/>
          <w:bCs/>
          <w:spacing w:val="-1"/>
          <w:sz w:val="21"/>
          <w:szCs w:val="21"/>
        </w:rPr>
        <w:t>石油沥青</w:t>
      </w:r>
      <w:r>
        <w:rPr>
          <w:rFonts w:ascii="黑体" w:hAnsi="黑体" w:eastAsia="黑体" w:cs="黑体"/>
          <w:spacing w:val="89"/>
          <w:sz w:val="21"/>
          <w:szCs w:val="21"/>
        </w:rPr>
        <w:t xml:space="preserve"> </w:t>
      </w:r>
      <w:r>
        <w:rPr>
          <w:rFonts w:ascii="宋体" w:hAnsi="宋体" w:eastAsia="宋体" w:cs="宋体"/>
          <w:spacing w:val="-1"/>
          <w:sz w:val="21"/>
          <w:szCs w:val="21"/>
        </w:rPr>
        <w:t>指由原油经常减压装置蒸馏直接获得的渣油制品，也</w:t>
      </w:r>
      <w:r>
        <w:rPr>
          <w:rFonts w:ascii="宋体" w:hAnsi="宋体" w:eastAsia="宋体" w:cs="宋体"/>
          <w:spacing w:val="-2"/>
          <w:sz w:val="21"/>
          <w:szCs w:val="21"/>
        </w:rPr>
        <w:t>可以用减压渣油为原料经氧化，溶</w:t>
      </w:r>
      <w:r>
        <w:rPr>
          <w:rFonts w:ascii="宋体" w:hAnsi="宋体" w:eastAsia="宋体" w:cs="宋体"/>
          <w:sz w:val="21"/>
          <w:szCs w:val="21"/>
        </w:rPr>
        <w:t xml:space="preserve"> </w:t>
      </w:r>
      <w:r>
        <w:rPr>
          <w:rFonts w:ascii="宋体" w:hAnsi="宋体" w:eastAsia="宋体" w:cs="宋体"/>
          <w:spacing w:val="-1"/>
          <w:sz w:val="21"/>
          <w:szCs w:val="21"/>
        </w:rPr>
        <w:t>剂脱出的沥青再经适度氧化或调合而成。是来自原油中的最重的组分，是高</w:t>
      </w:r>
      <w:r>
        <w:rPr>
          <w:rFonts w:ascii="宋体" w:hAnsi="宋体" w:eastAsia="宋体" w:cs="宋体"/>
          <w:spacing w:val="-2"/>
          <w:sz w:val="21"/>
          <w:szCs w:val="21"/>
        </w:rPr>
        <w:t>度缩合的多环烃类混合物，</w:t>
      </w:r>
      <w:r>
        <w:rPr>
          <w:rFonts w:ascii="宋体" w:hAnsi="宋体" w:eastAsia="宋体" w:cs="宋体"/>
          <w:sz w:val="21"/>
          <w:szCs w:val="21"/>
        </w:rPr>
        <w:t xml:space="preserve"> </w:t>
      </w:r>
      <w:r>
        <w:rPr>
          <w:rFonts w:ascii="宋体" w:hAnsi="宋体" w:eastAsia="宋体" w:cs="宋体"/>
          <w:spacing w:val="-5"/>
          <w:sz w:val="21"/>
          <w:szCs w:val="21"/>
        </w:rPr>
        <w:t>具有良好的黏结性、绝缘性、不渗水性，并能抵抗许多化学药物的侵蚀，广泛用于道路工程、建筑工程、</w:t>
      </w:r>
      <w:r>
        <w:rPr>
          <w:rFonts w:ascii="宋体" w:hAnsi="宋体" w:eastAsia="宋体" w:cs="宋体"/>
          <w:spacing w:val="4"/>
          <w:sz w:val="21"/>
          <w:szCs w:val="21"/>
        </w:rPr>
        <w:t xml:space="preserve"> </w:t>
      </w:r>
      <w:r>
        <w:rPr>
          <w:rFonts w:ascii="宋体" w:hAnsi="宋体" w:eastAsia="宋体" w:cs="宋体"/>
          <w:spacing w:val="-1"/>
          <w:sz w:val="21"/>
          <w:szCs w:val="21"/>
        </w:rPr>
        <w:t>水利工程、防护涂料以及保持水土、改良土壤等领域。沥青性能主要是以软化点、针入度、延伸度来表</w:t>
      </w:r>
      <w:r>
        <w:rPr>
          <w:rFonts w:ascii="宋体" w:hAnsi="宋体" w:eastAsia="宋体" w:cs="宋体"/>
          <w:spacing w:val="3"/>
          <w:sz w:val="21"/>
          <w:szCs w:val="21"/>
        </w:rPr>
        <w:t xml:space="preserve"> </w:t>
      </w:r>
      <w:r>
        <w:rPr>
          <w:rFonts w:ascii="宋体" w:hAnsi="宋体" w:eastAsia="宋体" w:cs="宋体"/>
          <w:spacing w:val="-2"/>
          <w:sz w:val="21"/>
          <w:szCs w:val="21"/>
        </w:rPr>
        <w:t>示的。软化点表示沥青的耐热性能，软化点越高则耐热性能越好。针入度反映沥青的流变性能，为使道</w:t>
      </w:r>
      <w:r>
        <w:rPr>
          <w:rFonts w:ascii="宋体" w:hAnsi="宋体" w:eastAsia="宋体" w:cs="宋体"/>
          <w:spacing w:val="8"/>
          <w:sz w:val="21"/>
          <w:szCs w:val="21"/>
        </w:rPr>
        <w:t xml:space="preserve"> </w:t>
      </w:r>
      <w:r>
        <w:rPr>
          <w:rFonts w:ascii="宋体" w:hAnsi="宋体" w:eastAsia="宋体" w:cs="宋体"/>
          <w:spacing w:val="-1"/>
          <w:sz w:val="21"/>
          <w:szCs w:val="21"/>
        </w:rPr>
        <w:t>路沥青与砂石黏结紧密，需要高针入度的沥青；而作为防腐用的专用沥青，则需要低针入度的沥青，防</w:t>
      </w:r>
      <w:r>
        <w:rPr>
          <w:rFonts w:ascii="宋体" w:hAnsi="宋体" w:eastAsia="宋体" w:cs="宋体"/>
          <w:spacing w:val="5"/>
          <w:sz w:val="21"/>
          <w:szCs w:val="21"/>
        </w:rPr>
        <w:t xml:space="preserve"> </w:t>
      </w:r>
      <w:r>
        <w:rPr>
          <w:rFonts w:ascii="宋体" w:hAnsi="宋体" w:eastAsia="宋体" w:cs="宋体"/>
          <w:spacing w:val="-1"/>
          <w:sz w:val="21"/>
          <w:szCs w:val="21"/>
        </w:rPr>
        <w:t>止流失。延伸度表示沥青的抗张性和可塑性，道路沥青要求的延伸度最</w:t>
      </w:r>
      <w:r>
        <w:rPr>
          <w:rFonts w:ascii="宋体" w:hAnsi="宋体" w:eastAsia="宋体" w:cs="宋体"/>
          <w:spacing w:val="-2"/>
          <w:sz w:val="21"/>
          <w:szCs w:val="21"/>
        </w:rPr>
        <w:t>高，是为了保证在低温下路面不</w:t>
      </w:r>
    </w:p>
    <w:p w14:paraId="18B373FA">
      <w:pPr>
        <w:spacing w:line="303" w:lineRule="auto"/>
        <w:rPr>
          <w:rFonts w:ascii="宋体" w:hAnsi="宋体" w:eastAsia="宋体" w:cs="宋体"/>
          <w:sz w:val="21"/>
          <w:szCs w:val="21"/>
        </w:rPr>
        <w:sectPr>
          <w:headerReference r:id="rId60" w:type="default"/>
          <w:pgSz w:w="11910" w:h="16840"/>
          <w:pgMar w:top="1059" w:right="1204" w:bottom="400" w:left="1239" w:header="838" w:footer="0" w:gutter="0"/>
          <w:cols w:space="720" w:num="1"/>
        </w:sectPr>
      </w:pPr>
    </w:p>
    <w:p w14:paraId="3A1B9778">
      <w:pPr>
        <w:pStyle w:val="2"/>
        <w:spacing w:line="349" w:lineRule="auto"/>
      </w:pPr>
      <w:r>
        <w:pict>
          <v:shape id="_x0000_s1044" o:spid="_x0000_s1044" o:spt="202" type="#_x0000_t202" style="position:absolute;left:0pt;margin-left:60.25pt;margin-top:41.85pt;height:14.1pt;width:21.4pt;mso-position-horizontal-relative:page;mso-position-vertical-relative:page;z-index:251754496;mso-width-relative:page;mso-height-relative:page;" filled="f" stroked="f" coordsize="21600,21600" o:allowincell="f">
            <v:path/>
            <v:fill on="f" focussize="0,0"/>
            <v:stroke on="f"/>
            <v:imagedata o:title=""/>
            <o:lock v:ext="edit" aspectratio="f"/>
            <v:textbox inset="0mm,0mm,0mm,0mm">
              <w:txbxContent>
                <w:p w14:paraId="7C47C304">
                  <w:pPr>
                    <w:pStyle w:val="2"/>
                    <w:tabs>
                      <w:tab w:val="left" w:pos="407"/>
                    </w:tabs>
                    <w:spacing w:before="20" w:line="241" w:lineRule="exact"/>
                    <w:ind w:left="20"/>
                  </w:pPr>
                  <w:r>
                    <w:rPr>
                      <w:u w:val="single" w:color="auto"/>
                    </w:rPr>
                    <w:tab/>
                  </w:r>
                </w:p>
              </w:txbxContent>
            </v:textbox>
          </v:shape>
        </w:pict>
      </w:r>
    </w:p>
    <w:p w14:paraId="7B14DAE6">
      <w:pPr>
        <w:spacing w:before="68" w:line="370" w:lineRule="exact"/>
        <w:ind w:left="4"/>
        <w:rPr>
          <w:rFonts w:ascii="宋体" w:hAnsi="宋体" w:eastAsia="宋体" w:cs="宋体"/>
          <w:sz w:val="21"/>
          <w:szCs w:val="21"/>
        </w:rPr>
      </w:pPr>
      <w:r>
        <w:rPr>
          <w:rFonts w:ascii="宋体" w:hAnsi="宋体" w:eastAsia="宋体" w:cs="宋体"/>
          <w:spacing w:val="-1"/>
          <w:position w:val="12"/>
          <w:sz w:val="21"/>
          <w:szCs w:val="21"/>
        </w:rPr>
        <w:t>致受车辆碾压而出现裂缝。沥青按用途可分为普通沥青、道路沥青、建筑沥青、专用沥</w:t>
      </w:r>
      <w:r>
        <w:rPr>
          <w:rFonts w:ascii="宋体" w:hAnsi="宋体" w:eastAsia="宋体" w:cs="宋体"/>
          <w:spacing w:val="-2"/>
          <w:position w:val="12"/>
          <w:sz w:val="21"/>
          <w:szCs w:val="21"/>
        </w:rPr>
        <w:t>青，其中以道路</w:t>
      </w:r>
    </w:p>
    <w:p w14:paraId="1B8933F3">
      <w:pPr>
        <w:spacing w:line="218" w:lineRule="auto"/>
        <w:ind w:left="4"/>
        <w:rPr>
          <w:rFonts w:ascii="宋体" w:hAnsi="宋体" w:eastAsia="宋体" w:cs="宋体"/>
          <w:sz w:val="21"/>
          <w:szCs w:val="21"/>
        </w:rPr>
      </w:pPr>
      <w:r>
        <w:rPr>
          <w:rFonts w:ascii="宋体" w:hAnsi="宋体" w:eastAsia="宋体" w:cs="宋体"/>
          <w:spacing w:val="-5"/>
          <w:sz w:val="21"/>
          <w:szCs w:val="21"/>
        </w:rPr>
        <w:t>沥青的用量最大。</w:t>
      </w:r>
    </w:p>
    <w:p w14:paraId="2374292D">
      <w:pPr>
        <w:spacing w:before="105" w:line="270" w:lineRule="auto"/>
        <w:ind w:left="4" w:right="71" w:firstLine="433"/>
        <w:rPr>
          <w:rFonts w:ascii="宋体" w:hAnsi="宋体" w:eastAsia="宋体" w:cs="宋体"/>
          <w:sz w:val="21"/>
          <w:szCs w:val="21"/>
        </w:rPr>
      </w:pPr>
      <w:r>
        <w:rPr>
          <w:rFonts w:ascii="黑体" w:hAnsi="黑体" w:eastAsia="黑体" w:cs="黑体"/>
          <w:b/>
          <w:bCs/>
          <w:spacing w:val="4"/>
          <w:sz w:val="21"/>
          <w:szCs w:val="21"/>
        </w:rPr>
        <w:t>燃料气</w:t>
      </w:r>
      <w:r>
        <w:rPr>
          <w:rFonts w:ascii="黑体" w:hAnsi="黑体" w:eastAsia="黑体" w:cs="黑体"/>
          <w:spacing w:val="4"/>
          <w:sz w:val="21"/>
          <w:szCs w:val="21"/>
        </w:rPr>
        <w:t xml:space="preserve">  </w:t>
      </w:r>
      <w:r>
        <w:rPr>
          <w:rFonts w:ascii="宋体" w:hAnsi="宋体" w:eastAsia="宋体" w:cs="宋体"/>
          <w:spacing w:val="4"/>
          <w:sz w:val="21"/>
          <w:szCs w:val="21"/>
        </w:rPr>
        <w:t>指炼油厂在进行原油催化裂解与热裂解时所得到的气体及由气体</w:t>
      </w:r>
      <w:r>
        <w:rPr>
          <w:rFonts w:ascii="宋体" w:hAnsi="宋体" w:eastAsia="宋体" w:cs="宋体"/>
          <w:spacing w:val="3"/>
          <w:sz w:val="21"/>
          <w:szCs w:val="21"/>
        </w:rPr>
        <w:t>加压液化而成的液态产</w:t>
      </w:r>
      <w:r>
        <w:rPr>
          <w:rFonts w:ascii="宋体" w:hAnsi="宋体" w:eastAsia="宋体" w:cs="宋体"/>
          <w:sz w:val="21"/>
          <w:szCs w:val="21"/>
        </w:rPr>
        <w:t xml:space="preserve"> </w:t>
      </w:r>
      <w:r>
        <w:rPr>
          <w:rFonts w:ascii="宋体" w:hAnsi="宋体" w:eastAsia="宋体" w:cs="宋体"/>
          <w:spacing w:val="-4"/>
          <w:sz w:val="21"/>
          <w:szCs w:val="21"/>
        </w:rPr>
        <w:t>品，包括液化石油气、炼厂干气等。</w:t>
      </w:r>
    </w:p>
    <w:p w14:paraId="2EA56A3F">
      <w:pPr>
        <w:spacing w:before="119" w:line="269" w:lineRule="auto"/>
        <w:ind w:left="4" w:right="88" w:firstLine="433"/>
        <w:rPr>
          <w:rFonts w:ascii="宋体" w:hAnsi="宋体" w:eastAsia="宋体" w:cs="宋体"/>
          <w:sz w:val="21"/>
          <w:szCs w:val="21"/>
        </w:rPr>
      </w:pPr>
      <w:r>
        <w:rPr>
          <w:rFonts w:ascii="黑体" w:hAnsi="黑体" w:eastAsia="黑体" w:cs="黑体"/>
          <w:b/>
          <w:bCs/>
          <w:spacing w:val="-1"/>
          <w:sz w:val="21"/>
          <w:szCs w:val="21"/>
        </w:rPr>
        <w:t>液化石油气</w:t>
      </w:r>
      <w:r>
        <w:rPr>
          <w:rFonts w:ascii="黑体" w:hAnsi="黑体" w:eastAsia="黑体" w:cs="黑体"/>
          <w:spacing w:val="91"/>
          <w:sz w:val="21"/>
          <w:szCs w:val="21"/>
        </w:rPr>
        <w:t xml:space="preserve"> </w:t>
      </w:r>
      <w:r>
        <w:rPr>
          <w:rFonts w:ascii="宋体" w:hAnsi="宋体" w:eastAsia="宋体" w:cs="宋体"/>
          <w:spacing w:val="-1"/>
          <w:sz w:val="21"/>
          <w:szCs w:val="21"/>
        </w:rPr>
        <w:t>亦称液化气或压缩汽油，是炼油精制过程中产生并回收</w:t>
      </w:r>
      <w:r>
        <w:rPr>
          <w:rFonts w:ascii="宋体" w:hAnsi="宋体" w:eastAsia="宋体" w:cs="宋体"/>
          <w:spacing w:val="-2"/>
          <w:sz w:val="21"/>
          <w:szCs w:val="21"/>
        </w:rPr>
        <w:t>的气体在常温下经加压而成的</w:t>
      </w:r>
      <w:r>
        <w:rPr>
          <w:rFonts w:ascii="宋体" w:hAnsi="宋体" w:eastAsia="宋体" w:cs="宋体"/>
          <w:sz w:val="21"/>
          <w:szCs w:val="21"/>
        </w:rPr>
        <w:t xml:space="preserve"> </w:t>
      </w:r>
      <w:r>
        <w:rPr>
          <w:rFonts w:ascii="宋体" w:hAnsi="宋体" w:eastAsia="宋体" w:cs="宋体"/>
          <w:spacing w:val="-1"/>
          <w:sz w:val="21"/>
          <w:szCs w:val="21"/>
        </w:rPr>
        <w:t>液态产品。主要成分是丙烷、丁烷、丙烯、丁烯，主要用作石油化工原料，脱硫后可直接用作燃料。</w:t>
      </w:r>
    </w:p>
    <w:p w14:paraId="6527D011">
      <w:pPr>
        <w:spacing w:before="107" w:line="265" w:lineRule="auto"/>
        <w:ind w:left="4" w:right="75" w:firstLine="432"/>
        <w:rPr>
          <w:rFonts w:ascii="宋体" w:hAnsi="宋体" w:eastAsia="宋体" w:cs="宋体"/>
          <w:sz w:val="21"/>
          <w:szCs w:val="21"/>
        </w:rPr>
      </w:pPr>
      <w:r>
        <w:rPr>
          <w:rFonts w:ascii="黑体" w:hAnsi="黑体" w:eastAsia="黑体" w:cs="黑体"/>
          <w:b/>
          <w:bCs/>
          <w:spacing w:val="6"/>
          <w:sz w:val="21"/>
          <w:szCs w:val="21"/>
        </w:rPr>
        <w:t>炼厂干气</w:t>
      </w:r>
      <w:r>
        <w:rPr>
          <w:rFonts w:ascii="黑体" w:hAnsi="黑体" w:eastAsia="黑体" w:cs="黑体"/>
          <w:spacing w:val="5"/>
          <w:sz w:val="21"/>
          <w:szCs w:val="21"/>
        </w:rPr>
        <w:t xml:space="preserve">  </w:t>
      </w:r>
      <w:r>
        <w:rPr>
          <w:rFonts w:ascii="宋体" w:hAnsi="宋体" w:eastAsia="宋体" w:cs="宋体"/>
          <w:spacing w:val="6"/>
          <w:sz w:val="21"/>
          <w:szCs w:val="21"/>
        </w:rPr>
        <w:t>指炼油厂炼油过程中产生并回收的非冷凝气体(也称蒸馏气),主要成分为乙烯、丙烯</w:t>
      </w:r>
      <w:r>
        <w:rPr>
          <w:rFonts w:ascii="宋体" w:hAnsi="宋体" w:eastAsia="宋体" w:cs="宋体"/>
          <w:sz w:val="21"/>
          <w:szCs w:val="21"/>
        </w:rPr>
        <w:t xml:space="preserve"> </w:t>
      </w:r>
      <w:r>
        <w:rPr>
          <w:rFonts w:ascii="宋体" w:hAnsi="宋体" w:eastAsia="宋体" w:cs="宋体"/>
          <w:spacing w:val="-2"/>
          <w:sz w:val="21"/>
          <w:szCs w:val="21"/>
        </w:rPr>
        <w:t>和甲烷、乙烷、丙烷、丁烷等，主要用作燃料和化工原料。</w:t>
      </w:r>
    </w:p>
    <w:p w14:paraId="4086CF96">
      <w:pPr>
        <w:spacing w:before="119" w:line="286" w:lineRule="auto"/>
        <w:ind w:left="4" w:firstLine="433"/>
        <w:rPr>
          <w:rFonts w:ascii="宋体" w:hAnsi="宋体" w:eastAsia="宋体" w:cs="宋体"/>
          <w:sz w:val="21"/>
          <w:szCs w:val="21"/>
        </w:rPr>
      </w:pPr>
      <w:r>
        <w:rPr>
          <w:rFonts w:ascii="黑体" w:hAnsi="黑体" w:eastAsia="黑体" w:cs="黑体"/>
          <w:b/>
          <w:bCs/>
          <w:spacing w:val="-4"/>
          <w:sz w:val="21"/>
          <w:szCs w:val="21"/>
        </w:rPr>
        <w:t>其他石油制品</w:t>
      </w:r>
      <w:r>
        <w:rPr>
          <w:rFonts w:ascii="黑体" w:hAnsi="黑体" w:eastAsia="黑体" w:cs="黑体"/>
          <w:spacing w:val="-4"/>
          <w:sz w:val="21"/>
          <w:szCs w:val="21"/>
        </w:rPr>
        <w:t xml:space="preserve">  </w:t>
      </w:r>
      <w:r>
        <w:rPr>
          <w:rFonts w:ascii="宋体" w:hAnsi="宋体" w:eastAsia="宋体" w:cs="宋体"/>
          <w:spacing w:val="-4"/>
          <w:sz w:val="21"/>
          <w:szCs w:val="21"/>
        </w:rPr>
        <w:t>指石油加工过程中除汽油、煤油、柴油、燃料油、液化</w:t>
      </w:r>
      <w:r>
        <w:rPr>
          <w:rFonts w:ascii="宋体" w:hAnsi="宋体" w:eastAsia="宋体" w:cs="宋体"/>
          <w:spacing w:val="-5"/>
          <w:sz w:val="21"/>
          <w:szCs w:val="21"/>
        </w:rPr>
        <w:t>石油气、炼厂干气、石脑油、</w:t>
      </w:r>
      <w:r>
        <w:rPr>
          <w:rFonts w:ascii="宋体" w:hAnsi="宋体" w:eastAsia="宋体" w:cs="宋体"/>
          <w:sz w:val="21"/>
          <w:szCs w:val="21"/>
        </w:rPr>
        <w:t xml:space="preserve"> </w:t>
      </w:r>
      <w:r>
        <w:rPr>
          <w:rFonts w:ascii="宋体" w:hAnsi="宋体" w:eastAsia="宋体" w:cs="宋体"/>
          <w:spacing w:val="-1"/>
          <w:sz w:val="21"/>
          <w:szCs w:val="21"/>
        </w:rPr>
        <w:t>润滑油、石蜡、溶剂油、石油焦、石油沥青以外的其他炼油产品。石油制品很多，目</w:t>
      </w:r>
      <w:r>
        <w:rPr>
          <w:rFonts w:ascii="宋体" w:hAnsi="宋体" w:eastAsia="宋体" w:cs="宋体"/>
          <w:spacing w:val="-2"/>
          <w:sz w:val="21"/>
          <w:szCs w:val="21"/>
        </w:rPr>
        <w:t>录中只列出了上述</w:t>
      </w:r>
      <w:r>
        <w:rPr>
          <w:rFonts w:ascii="宋体" w:hAnsi="宋体" w:eastAsia="宋体" w:cs="宋体"/>
          <w:sz w:val="21"/>
          <w:szCs w:val="21"/>
        </w:rPr>
        <w:t xml:space="preserve">  </w:t>
      </w:r>
      <w:r>
        <w:rPr>
          <w:rFonts w:ascii="宋体" w:hAnsi="宋体" w:eastAsia="宋体" w:cs="宋体"/>
          <w:spacing w:val="-2"/>
          <w:sz w:val="21"/>
          <w:szCs w:val="21"/>
        </w:rPr>
        <w:t>主要品种，统计时为了简化，把除这些主要品种以外的其他石油产品归并在“其他石油制品”一个目录</w:t>
      </w:r>
      <w:r>
        <w:rPr>
          <w:rFonts w:ascii="宋体" w:hAnsi="宋体" w:eastAsia="宋体" w:cs="宋体"/>
          <w:spacing w:val="9"/>
          <w:sz w:val="21"/>
          <w:szCs w:val="21"/>
        </w:rPr>
        <w:t xml:space="preserve">  </w:t>
      </w:r>
      <w:r>
        <w:rPr>
          <w:rFonts w:ascii="宋体" w:hAnsi="宋体" w:eastAsia="宋体" w:cs="宋体"/>
          <w:spacing w:val="-7"/>
          <w:sz w:val="21"/>
          <w:szCs w:val="21"/>
        </w:rPr>
        <w:t>下一起填报。</w:t>
      </w:r>
    </w:p>
    <w:p w14:paraId="2C87AA14">
      <w:pPr>
        <w:spacing w:before="137" w:line="222" w:lineRule="auto"/>
        <w:ind w:left="437"/>
        <w:rPr>
          <w:rFonts w:ascii="宋体" w:hAnsi="宋体" w:eastAsia="宋体" w:cs="宋体"/>
          <w:sz w:val="21"/>
          <w:szCs w:val="21"/>
        </w:rPr>
      </w:pPr>
      <w:r>
        <w:rPr>
          <w:rFonts w:ascii="黑体" w:hAnsi="黑体" w:eastAsia="黑体" w:cs="黑体"/>
          <w:b/>
          <w:bCs/>
          <w:spacing w:val="-1"/>
          <w:sz w:val="21"/>
          <w:szCs w:val="21"/>
        </w:rPr>
        <w:t>生物质能</w:t>
      </w:r>
      <w:r>
        <w:rPr>
          <w:rFonts w:ascii="黑体" w:hAnsi="黑体" w:eastAsia="黑体" w:cs="黑体"/>
          <w:spacing w:val="85"/>
          <w:sz w:val="21"/>
          <w:szCs w:val="21"/>
        </w:rPr>
        <w:t xml:space="preserve"> </w:t>
      </w:r>
      <w:r>
        <w:rPr>
          <w:rFonts w:ascii="宋体" w:hAnsi="宋体" w:eastAsia="宋体" w:cs="宋体"/>
          <w:spacing w:val="-1"/>
          <w:sz w:val="21"/>
          <w:szCs w:val="21"/>
        </w:rPr>
        <w:t>太阳能以化学能形式贮存在生物质中的能量形式，即以生物质为载体的能量。</w:t>
      </w:r>
    </w:p>
    <w:p w14:paraId="54CE1C7E">
      <w:pPr>
        <w:spacing w:before="106" w:line="220" w:lineRule="auto"/>
        <w:ind w:right="15"/>
        <w:jc w:val="right"/>
        <w:rPr>
          <w:rFonts w:ascii="宋体" w:hAnsi="宋体" w:eastAsia="宋体" w:cs="宋体"/>
          <w:sz w:val="21"/>
          <w:szCs w:val="21"/>
        </w:rPr>
      </w:pPr>
      <w:r>
        <w:rPr>
          <w:rFonts w:ascii="黑体" w:hAnsi="黑体" w:eastAsia="黑体" w:cs="黑体"/>
          <w:b/>
          <w:bCs/>
          <w:spacing w:val="-4"/>
          <w:sz w:val="21"/>
          <w:szCs w:val="21"/>
        </w:rPr>
        <w:t>固态生物燃料</w:t>
      </w:r>
      <w:r>
        <w:rPr>
          <w:rFonts w:ascii="黑体" w:hAnsi="黑体" w:eastAsia="黑体" w:cs="黑体"/>
          <w:spacing w:val="80"/>
          <w:sz w:val="21"/>
          <w:szCs w:val="21"/>
        </w:rPr>
        <w:t xml:space="preserve"> </w:t>
      </w:r>
      <w:r>
        <w:rPr>
          <w:rFonts w:ascii="宋体" w:hAnsi="宋体" w:eastAsia="宋体" w:cs="宋体"/>
          <w:spacing w:val="-4"/>
          <w:sz w:val="21"/>
          <w:szCs w:val="21"/>
        </w:rPr>
        <w:t>指来源于生物质的固态燃料，包括薪柴、木材残渣、动物</w:t>
      </w:r>
      <w:r>
        <w:rPr>
          <w:rFonts w:ascii="宋体" w:hAnsi="宋体" w:eastAsia="宋体" w:cs="宋体"/>
          <w:spacing w:val="-5"/>
          <w:sz w:val="21"/>
          <w:szCs w:val="21"/>
        </w:rPr>
        <w:t>废料、植物材料、木炭等。</w:t>
      </w:r>
    </w:p>
    <w:p w14:paraId="3A51EDB8">
      <w:pPr>
        <w:spacing w:before="119" w:line="220" w:lineRule="auto"/>
        <w:ind w:left="437"/>
        <w:rPr>
          <w:rFonts w:ascii="宋体" w:hAnsi="宋体" w:eastAsia="宋体" w:cs="宋体"/>
          <w:sz w:val="21"/>
          <w:szCs w:val="21"/>
        </w:rPr>
      </w:pPr>
      <w:r>
        <w:rPr>
          <w:rFonts w:ascii="黑体" w:hAnsi="黑体" w:eastAsia="黑体" w:cs="黑体"/>
          <w:b/>
          <w:bCs/>
          <w:spacing w:val="-3"/>
          <w:sz w:val="21"/>
          <w:szCs w:val="21"/>
        </w:rPr>
        <w:t>液态生物燃料</w:t>
      </w:r>
      <w:r>
        <w:rPr>
          <w:rFonts w:ascii="黑体" w:hAnsi="黑体" w:eastAsia="黑体" w:cs="黑体"/>
          <w:spacing w:val="-3"/>
          <w:sz w:val="21"/>
          <w:szCs w:val="21"/>
        </w:rPr>
        <w:t xml:space="preserve">  </w:t>
      </w:r>
      <w:r>
        <w:rPr>
          <w:rFonts w:ascii="宋体" w:hAnsi="宋体" w:eastAsia="宋体" w:cs="宋体"/>
          <w:spacing w:val="-3"/>
          <w:sz w:val="21"/>
          <w:szCs w:val="21"/>
        </w:rPr>
        <w:t>指由以生物质为原料加工转换得到的液态燃料。</w:t>
      </w:r>
    </w:p>
    <w:p w14:paraId="587BFEBF">
      <w:pPr>
        <w:spacing w:before="100" w:line="271" w:lineRule="auto"/>
        <w:ind w:left="4" w:right="96" w:firstLine="432"/>
        <w:rPr>
          <w:rFonts w:ascii="宋体" w:hAnsi="宋体" w:eastAsia="宋体" w:cs="宋体"/>
          <w:sz w:val="21"/>
          <w:szCs w:val="21"/>
        </w:rPr>
      </w:pPr>
      <w:r>
        <w:rPr>
          <w:rFonts w:ascii="黑体" w:hAnsi="黑体" w:eastAsia="黑体" w:cs="黑体"/>
          <w:b/>
          <w:bCs/>
          <w:spacing w:val="1"/>
          <w:sz w:val="21"/>
          <w:szCs w:val="21"/>
        </w:rPr>
        <w:t>生物乙醇</w:t>
      </w:r>
      <w:r>
        <w:rPr>
          <w:rFonts w:ascii="黑体" w:hAnsi="黑体" w:eastAsia="黑体" w:cs="黑体"/>
          <w:spacing w:val="1"/>
          <w:sz w:val="21"/>
          <w:szCs w:val="21"/>
        </w:rPr>
        <w:t xml:space="preserve">  </w:t>
      </w:r>
      <w:r>
        <w:rPr>
          <w:rFonts w:ascii="宋体" w:hAnsi="宋体" w:eastAsia="宋体" w:cs="宋体"/>
          <w:spacing w:val="1"/>
          <w:sz w:val="21"/>
          <w:szCs w:val="21"/>
        </w:rPr>
        <w:t>指以淀粉质、糖质为原料，经发酵、蒸馏制得乙醇，脱水</w:t>
      </w:r>
      <w:r>
        <w:rPr>
          <w:rFonts w:ascii="宋体" w:hAnsi="宋体" w:eastAsia="宋体" w:cs="宋体"/>
          <w:sz w:val="21"/>
          <w:szCs w:val="21"/>
        </w:rPr>
        <w:t xml:space="preserve">后，再添加变性剂(车用无铅 </w:t>
      </w:r>
      <w:r>
        <w:rPr>
          <w:rFonts w:ascii="宋体" w:hAnsi="宋体" w:eastAsia="宋体" w:cs="宋体"/>
          <w:spacing w:val="2"/>
          <w:sz w:val="21"/>
          <w:szCs w:val="21"/>
        </w:rPr>
        <w:t>汽油)变性的燃料乙醇，也称为变性燃料乙醇。</w:t>
      </w:r>
    </w:p>
    <w:p w14:paraId="3C843E1E">
      <w:pPr>
        <w:spacing w:before="97" w:line="285" w:lineRule="auto"/>
        <w:ind w:left="4" w:right="83" w:firstLine="433"/>
        <w:rPr>
          <w:rFonts w:ascii="宋体" w:hAnsi="宋体" w:eastAsia="宋体" w:cs="宋体"/>
          <w:sz w:val="21"/>
          <w:szCs w:val="21"/>
        </w:rPr>
      </w:pPr>
      <w:r>
        <w:rPr>
          <w:rFonts w:ascii="黑体" w:hAnsi="黑体" w:eastAsia="黑体" w:cs="黑体"/>
          <w:b/>
          <w:bCs/>
          <w:spacing w:val="9"/>
          <w:sz w:val="21"/>
          <w:szCs w:val="21"/>
        </w:rPr>
        <w:t>生物柴油</w:t>
      </w:r>
      <w:r>
        <w:rPr>
          <w:rFonts w:ascii="黑体" w:hAnsi="黑体" w:eastAsia="黑体" w:cs="黑体"/>
          <w:spacing w:val="104"/>
          <w:sz w:val="21"/>
          <w:szCs w:val="21"/>
        </w:rPr>
        <w:t xml:space="preserve"> </w:t>
      </w:r>
      <w:r>
        <w:rPr>
          <w:rFonts w:ascii="宋体" w:hAnsi="宋体" w:eastAsia="宋体" w:cs="宋体"/>
          <w:spacing w:val="9"/>
          <w:sz w:val="21"/>
          <w:szCs w:val="21"/>
        </w:rPr>
        <w:t>指以油料作物如大豆、油菜、棉、棕榈等，野生油料植物和工程微藻等水生植物油</w:t>
      </w:r>
      <w:r>
        <w:rPr>
          <w:rFonts w:ascii="宋体" w:hAnsi="宋体" w:eastAsia="宋体" w:cs="宋体"/>
          <w:sz w:val="21"/>
          <w:szCs w:val="21"/>
        </w:rPr>
        <w:t xml:space="preserve"> </w:t>
      </w:r>
      <w:r>
        <w:rPr>
          <w:rFonts w:ascii="宋体" w:hAnsi="宋体" w:eastAsia="宋体" w:cs="宋体"/>
          <w:spacing w:val="8"/>
          <w:sz w:val="21"/>
          <w:szCs w:val="21"/>
        </w:rPr>
        <w:t>脂以及动物油脂、餐饮垃圾油等为原料油通过酯交换或热化学工艺制成的可代替石化柴油的再生性</w:t>
      </w:r>
      <w:r>
        <w:rPr>
          <w:rFonts w:ascii="宋体" w:hAnsi="宋体" w:eastAsia="宋体" w:cs="宋体"/>
          <w:spacing w:val="2"/>
          <w:sz w:val="21"/>
          <w:szCs w:val="21"/>
        </w:rPr>
        <w:t xml:space="preserve"> </w:t>
      </w:r>
      <w:r>
        <w:rPr>
          <w:rFonts w:ascii="宋体" w:hAnsi="宋体" w:eastAsia="宋体" w:cs="宋体"/>
          <w:spacing w:val="-7"/>
          <w:sz w:val="21"/>
          <w:szCs w:val="21"/>
        </w:rPr>
        <w:t>柴油燃料。</w:t>
      </w:r>
    </w:p>
    <w:p w14:paraId="26307F44">
      <w:pPr>
        <w:spacing w:before="106" w:line="269" w:lineRule="auto"/>
        <w:ind w:left="4" w:right="80" w:firstLine="433"/>
        <w:rPr>
          <w:rFonts w:ascii="宋体" w:hAnsi="宋体" w:eastAsia="宋体" w:cs="宋体"/>
          <w:sz w:val="21"/>
          <w:szCs w:val="21"/>
        </w:rPr>
      </w:pPr>
      <w:r>
        <w:rPr>
          <w:rFonts w:ascii="黑体" w:hAnsi="黑体" w:eastAsia="黑体" w:cs="黑体"/>
          <w:b/>
          <w:bCs/>
          <w:spacing w:val="3"/>
          <w:sz w:val="21"/>
          <w:szCs w:val="21"/>
        </w:rPr>
        <w:t>生物航空煤油</w:t>
      </w:r>
      <w:r>
        <w:rPr>
          <w:rFonts w:ascii="黑体" w:hAnsi="黑体" w:eastAsia="黑体" w:cs="黑体"/>
          <w:spacing w:val="3"/>
          <w:sz w:val="21"/>
          <w:szCs w:val="21"/>
        </w:rPr>
        <w:t xml:space="preserve">  </w:t>
      </w:r>
      <w:r>
        <w:rPr>
          <w:rFonts w:ascii="宋体" w:hAnsi="宋体" w:eastAsia="宋体" w:cs="宋体"/>
          <w:spacing w:val="3"/>
          <w:sz w:val="21"/>
          <w:szCs w:val="21"/>
        </w:rPr>
        <w:t>指以废弃动植物油脂(地沟油)、农林废弃物、油藻、棕榈油等为原料通过加氢、</w:t>
      </w:r>
      <w:r>
        <w:rPr>
          <w:rFonts w:ascii="宋体" w:hAnsi="宋体" w:eastAsia="宋体" w:cs="宋体"/>
          <w:spacing w:val="15"/>
          <w:sz w:val="21"/>
          <w:szCs w:val="21"/>
        </w:rPr>
        <w:t xml:space="preserve"> </w:t>
      </w:r>
      <w:r>
        <w:rPr>
          <w:rFonts w:ascii="宋体" w:hAnsi="宋体" w:eastAsia="宋体" w:cs="宋体"/>
          <w:spacing w:val="-3"/>
          <w:sz w:val="21"/>
          <w:szCs w:val="21"/>
        </w:rPr>
        <w:t>催化等工艺加工得到的航空煤油。</w:t>
      </w:r>
    </w:p>
    <w:p w14:paraId="3BB79B13">
      <w:pPr>
        <w:spacing w:before="116" w:line="220" w:lineRule="auto"/>
        <w:ind w:left="437"/>
        <w:rPr>
          <w:rFonts w:ascii="宋体" w:hAnsi="宋体" w:eastAsia="宋体" w:cs="宋体"/>
          <w:sz w:val="21"/>
          <w:szCs w:val="21"/>
        </w:rPr>
      </w:pPr>
      <w:r>
        <w:rPr>
          <w:rFonts w:ascii="黑体" w:hAnsi="黑体" w:eastAsia="黑体" w:cs="黑体"/>
          <w:b/>
          <w:bCs/>
          <w:spacing w:val="-2"/>
          <w:sz w:val="21"/>
          <w:szCs w:val="21"/>
        </w:rPr>
        <w:t>其他液态生物燃料</w:t>
      </w:r>
      <w:r>
        <w:rPr>
          <w:rFonts w:ascii="黑体" w:hAnsi="黑体" w:eastAsia="黑体" w:cs="黑体"/>
          <w:spacing w:val="89"/>
          <w:sz w:val="21"/>
          <w:szCs w:val="21"/>
        </w:rPr>
        <w:t xml:space="preserve"> </w:t>
      </w:r>
      <w:r>
        <w:rPr>
          <w:rFonts w:ascii="宋体" w:hAnsi="宋体" w:eastAsia="宋体" w:cs="宋体"/>
          <w:spacing w:val="-2"/>
          <w:sz w:val="21"/>
          <w:szCs w:val="21"/>
        </w:rPr>
        <w:t>不属于上述燃料的其他液态生物燃料。</w:t>
      </w:r>
    </w:p>
    <w:p w14:paraId="3AF7E405">
      <w:pPr>
        <w:spacing w:before="100" w:line="285" w:lineRule="auto"/>
        <w:ind w:left="4" w:right="85" w:firstLine="433"/>
        <w:rPr>
          <w:rFonts w:ascii="宋体" w:hAnsi="宋体" w:eastAsia="宋体" w:cs="宋体"/>
          <w:sz w:val="21"/>
          <w:szCs w:val="21"/>
        </w:rPr>
      </w:pPr>
      <w:r>
        <w:rPr>
          <w:rFonts w:ascii="黑体" w:hAnsi="黑体" w:eastAsia="黑体" w:cs="黑体"/>
          <w:b/>
          <w:bCs/>
          <w:spacing w:val="-1"/>
          <w:sz w:val="21"/>
          <w:szCs w:val="21"/>
        </w:rPr>
        <w:t>气态生物燃料</w:t>
      </w:r>
      <w:r>
        <w:rPr>
          <w:rFonts w:ascii="黑体" w:hAnsi="黑体" w:eastAsia="黑体" w:cs="黑体"/>
          <w:spacing w:val="100"/>
          <w:sz w:val="21"/>
          <w:szCs w:val="21"/>
        </w:rPr>
        <w:t xml:space="preserve"> </w:t>
      </w:r>
      <w:r>
        <w:rPr>
          <w:rFonts w:ascii="宋体" w:hAnsi="宋体" w:eastAsia="宋体" w:cs="宋体"/>
          <w:spacing w:val="-1"/>
          <w:sz w:val="21"/>
          <w:szCs w:val="21"/>
        </w:rPr>
        <w:t>指由生物质厌氧发酵或固态生物质</w:t>
      </w:r>
      <w:r>
        <w:rPr>
          <w:rFonts w:ascii="宋体" w:hAnsi="宋体" w:eastAsia="宋体" w:cs="宋体"/>
          <w:spacing w:val="-2"/>
          <w:sz w:val="21"/>
          <w:szCs w:val="21"/>
        </w:rPr>
        <w:t>气化得到的气体。厌氧发酵得到的气态生物燃料</w:t>
      </w:r>
      <w:r>
        <w:rPr>
          <w:rFonts w:ascii="宋体" w:hAnsi="宋体" w:eastAsia="宋体" w:cs="宋体"/>
          <w:sz w:val="21"/>
          <w:szCs w:val="21"/>
        </w:rPr>
        <w:t xml:space="preserve"> </w:t>
      </w:r>
      <w:r>
        <w:rPr>
          <w:rFonts w:ascii="宋体" w:hAnsi="宋体" w:eastAsia="宋体" w:cs="宋体"/>
          <w:spacing w:val="-1"/>
          <w:sz w:val="21"/>
          <w:szCs w:val="21"/>
        </w:rPr>
        <w:t>主要由甲烷和二氧化碳组成，包括垃圾填埋气体、沼气等。气态生物燃料</w:t>
      </w:r>
      <w:r>
        <w:rPr>
          <w:rFonts w:ascii="宋体" w:hAnsi="宋体" w:eastAsia="宋体" w:cs="宋体"/>
          <w:spacing w:val="-2"/>
          <w:sz w:val="21"/>
          <w:szCs w:val="21"/>
        </w:rPr>
        <w:t>还可以由气化或热分解生物质</w:t>
      </w:r>
      <w:r>
        <w:rPr>
          <w:rFonts w:ascii="宋体" w:hAnsi="宋体" w:eastAsia="宋体" w:cs="宋体"/>
          <w:sz w:val="21"/>
          <w:szCs w:val="21"/>
        </w:rPr>
        <w:t xml:space="preserve"> </w:t>
      </w:r>
      <w:r>
        <w:rPr>
          <w:rFonts w:ascii="宋体" w:hAnsi="宋体" w:eastAsia="宋体" w:cs="宋体"/>
          <w:spacing w:val="-7"/>
          <w:sz w:val="21"/>
          <w:szCs w:val="21"/>
        </w:rPr>
        <w:t>得到，得到的气体主要为氢气、</w:t>
      </w:r>
      <w:r>
        <w:rPr>
          <w:rFonts w:ascii="宋体" w:hAnsi="宋体" w:eastAsia="宋体" w:cs="宋体"/>
          <w:spacing w:val="52"/>
          <w:sz w:val="21"/>
          <w:szCs w:val="21"/>
        </w:rPr>
        <w:t xml:space="preserve"> </w:t>
      </w:r>
      <w:r>
        <w:rPr>
          <w:rFonts w:ascii="宋体" w:hAnsi="宋体" w:eastAsia="宋体" w:cs="宋体"/>
          <w:spacing w:val="-7"/>
          <w:sz w:val="21"/>
          <w:szCs w:val="21"/>
        </w:rPr>
        <w:t>一氧化碳及其他气体的混合物。</w:t>
      </w:r>
    </w:p>
    <w:p w14:paraId="540ACC62">
      <w:pPr>
        <w:spacing w:before="105" w:line="298" w:lineRule="auto"/>
        <w:ind w:left="4" w:right="92" w:firstLine="433"/>
        <w:rPr>
          <w:rFonts w:ascii="宋体" w:hAnsi="宋体" w:eastAsia="宋体" w:cs="宋体"/>
          <w:sz w:val="21"/>
          <w:szCs w:val="21"/>
        </w:rPr>
      </w:pPr>
      <w:r>
        <w:rPr>
          <w:rFonts w:ascii="黑体" w:hAnsi="黑体" w:eastAsia="黑体" w:cs="黑体"/>
          <w:b/>
          <w:bCs/>
          <w:spacing w:val="4"/>
          <w:sz w:val="21"/>
          <w:szCs w:val="21"/>
        </w:rPr>
        <w:t>发电量</w:t>
      </w:r>
      <w:r>
        <w:rPr>
          <w:rFonts w:ascii="黑体" w:hAnsi="黑体" w:eastAsia="黑体" w:cs="黑体"/>
          <w:spacing w:val="92"/>
          <w:sz w:val="21"/>
          <w:szCs w:val="21"/>
        </w:rPr>
        <w:t xml:space="preserve"> </w:t>
      </w:r>
      <w:r>
        <w:rPr>
          <w:rFonts w:ascii="宋体" w:hAnsi="宋体" w:eastAsia="宋体" w:cs="宋体"/>
          <w:spacing w:val="4"/>
          <w:sz w:val="21"/>
          <w:szCs w:val="21"/>
        </w:rPr>
        <w:t>指电厂(发电机组)在报告期内生产的电能量。它</w:t>
      </w:r>
      <w:r>
        <w:rPr>
          <w:rFonts w:ascii="宋体" w:hAnsi="宋体" w:eastAsia="宋体" w:cs="宋体"/>
          <w:spacing w:val="3"/>
          <w:sz w:val="21"/>
          <w:szCs w:val="21"/>
        </w:rPr>
        <w:t>是发电机组经过对一次能源的加工转换</w:t>
      </w:r>
      <w:r>
        <w:rPr>
          <w:rFonts w:ascii="宋体" w:hAnsi="宋体" w:eastAsia="宋体" w:cs="宋体"/>
          <w:sz w:val="21"/>
          <w:szCs w:val="21"/>
        </w:rPr>
        <w:t xml:space="preserve"> </w:t>
      </w:r>
      <w:r>
        <w:rPr>
          <w:rFonts w:ascii="宋体" w:hAnsi="宋体" w:eastAsia="宋体" w:cs="宋体"/>
          <w:spacing w:val="3"/>
          <w:sz w:val="21"/>
          <w:szCs w:val="21"/>
        </w:rPr>
        <w:t>而生产出的有功电能数量，即发电机实际发出的有功功率(千瓦)与发电机实际运行时间的乘积。发电</w:t>
      </w:r>
      <w:r>
        <w:rPr>
          <w:rFonts w:ascii="宋体" w:hAnsi="宋体" w:eastAsia="宋体" w:cs="宋体"/>
          <w:spacing w:val="6"/>
          <w:sz w:val="21"/>
          <w:szCs w:val="21"/>
        </w:rPr>
        <w:t xml:space="preserve"> </w:t>
      </w:r>
      <w:r>
        <w:rPr>
          <w:rFonts w:ascii="宋体" w:hAnsi="宋体" w:eastAsia="宋体" w:cs="宋体"/>
          <w:spacing w:val="-1"/>
          <w:sz w:val="21"/>
          <w:szCs w:val="21"/>
        </w:rPr>
        <w:t>量包括全部电力工业企业、自备电厂的产量。新装发电设备在未正式投入生产以前所发的电量</w:t>
      </w:r>
      <w:r>
        <w:rPr>
          <w:rFonts w:ascii="宋体" w:hAnsi="宋体" w:eastAsia="宋体" w:cs="宋体"/>
          <w:spacing w:val="-2"/>
          <w:sz w:val="21"/>
          <w:szCs w:val="21"/>
        </w:rPr>
        <w:t>以及发电</w:t>
      </w:r>
      <w:r>
        <w:rPr>
          <w:rFonts w:ascii="宋体" w:hAnsi="宋体" w:eastAsia="宋体" w:cs="宋体"/>
          <w:sz w:val="21"/>
          <w:szCs w:val="21"/>
        </w:rPr>
        <w:t xml:space="preserve"> </w:t>
      </w:r>
      <w:r>
        <w:rPr>
          <w:rFonts w:ascii="宋体" w:hAnsi="宋体" w:eastAsia="宋体" w:cs="宋体"/>
          <w:spacing w:val="-2"/>
          <w:sz w:val="21"/>
          <w:szCs w:val="21"/>
        </w:rPr>
        <w:t>设备大修或改进后试运转期间所发的电量，凡被本厂或用户利用的，均应计入发电量中，未被利用的，</w:t>
      </w:r>
      <w:r>
        <w:rPr>
          <w:rFonts w:ascii="宋体" w:hAnsi="宋体" w:eastAsia="宋体" w:cs="宋体"/>
          <w:spacing w:val="4"/>
          <w:sz w:val="21"/>
          <w:szCs w:val="21"/>
        </w:rPr>
        <w:t xml:space="preserve"> </w:t>
      </w:r>
      <w:r>
        <w:rPr>
          <w:rFonts w:ascii="宋体" w:hAnsi="宋体" w:eastAsia="宋体" w:cs="宋体"/>
          <w:spacing w:val="-1"/>
          <w:sz w:val="21"/>
          <w:szCs w:val="21"/>
        </w:rPr>
        <w:t>则不应计入。发电量中不包括电动的交直流变换、励磁机</w:t>
      </w:r>
      <w:r>
        <w:rPr>
          <w:rFonts w:ascii="宋体" w:hAnsi="宋体" w:eastAsia="宋体" w:cs="宋体"/>
          <w:spacing w:val="-2"/>
          <w:sz w:val="21"/>
          <w:szCs w:val="21"/>
        </w:rPr>
        <w:t>和周波变换的电量。</w:t>
      </w:r>
    </w:p>
    <w:p w14:paraId="2B9907DF">
      <w:pPr>
        <w:spacing w:before="108" w:line="374" w:lineRule="exact"/>
        <w:ind w:left="437"/>
        <w:rPr>
          <w:rFonts w:ascii="宋体" w:hAnsi="宋体" w:eastAsia="宋体" w:cs="宋体"/>
          <w:sz w:val="21"/>
          <w:szCs w:val="21"/>
        </w:rPr>
      </w:pPr>
      <w:r>
        <w:rPr>
          <w:rFonts w:ascii="黑体" w:hAnsi="黑体" w:eastAsia="黑体" w:cs="黑体"/>
          <w:b/>
          <w:bCs/>
          <w:spacing w:val="1"/>
          <w:position w:val="12"/>
          <w:sz w:val="21"/>
          <w:szCs w:val="21"/>
        </w:rPr>
        <w:t>火力发电</w:t>
      </w:r>
      <w:r>
        <w:rPr>
          <w:rFonts w:ascii="黑体" w:hAnsi="黑体" w:eastAsia="黑体" w:cs="黑体"/>
          <w:spacing w:val="1"/>
          <w:position w:val="12"/>
          <w:sz w:val="21"/>
          <w:szCs w:val="21"/>
        </w:rPr>
        <w:t xml:space="preserve"> </w:t>
      </w:r>
      <w:r>
        <w:rPr>
          <w:rFonts w:ascii="宋体" w:hAnsi="宋体" w:eastAsia="宋体" w:cs="宋体"/>
          <w:spacing w:val="1"/>
          <w:position w:val="12"/>
          <w:sz w:val="21"/>
          <w:szCs w:val="21"/>
        </w:rPr>
        <w:t>指利用煤炭、燃油、燃气、生物质等燃料燃烧时产生的热能，</w:t>
      </w:r>
      <w:r>
        <w:rPr>
          <w:rFonts w:ascii="宋体" w:hAnsi="宋体" w:eastAsia="宋体" w:cs="宋体"/>
          <w:position w:val="12"/>
          <w:sz w:val="21"/>
          <w:szCs w:val="21"/>
        </w:rPr>
        <w:t>通过火电动力装置转换成</w:t>
      </w:r>
    </w:p>
    <w:p w14:paraId="245ED312">
      <w:pPr>
        <w:spacing w:before="1" w:line="219" w:lineRule="auto"/>
        <w:ind w:left="4"/>
        <w:rPr>
          <w:rFonts w:ascii="宋体" w:hAnsi="宋体" w:eastAsia="宋体" w:cs="宋体"/>
          <w:sz w:val="21"/>
          <w:szCs w:val="21"/>
        </w:rPr>
      </w:pPr>
      <w:r>
        <w:rPr>
          <w:rFonts w:ascii="宋体" w:hAnsi="宋体" w:eastAsia="宋体" w:cs="宋体"/>
          <w:spacing w:val="-1"/>
          <w:sz w:val="21"/>
          <w:szCs w:val="21"/>
        </w:rPr>
        <w:t>电能的发电方式，包括燃煤发电，燃气发电，燃油发</w:t>
      </w:r>
      <w:r>
        <w:rPr>
          <w:rFonts w:ascii="宋体" w:hAnsi="宋体" w:eastAsia="宋体" w:cs="宋体"/>
          <w:spacing w:val="-2"/>
          <w:sz w:val="21"/>
          <w:szCs w:val="21"/>
        </w:rPr>
        <w:t>电，余热、余压、余气发电，生物质发电等。</w:t>
      </w:r>
    </w:p>
    <w:p w14:paraId="0B80E0B4">
      <w:pPr>
        <w:spacing w:before="95" w:line="376" w:lineRule="exact"/>
        <w:ind w:right="55"/>
        <w:jc w:val="right"/>
        <w:rPr>
          <w:rFonts w:ascii="宋体" w:hAnsi="宋体" w:eastAsia="宋体" w:cs="宋体"/>
          <w:sz w:val="21"/>
          <w:szCs w:val="21"/>
        </w:rPr>
      </w:pPr>
      <w:r>
        <w:rPr>
          <w:rFonts w:ascii="黑体" w:hAnsi="黑体" w:eastAsia="黑体" w:cs="黑体"/>
          <w:b/>
          <w:bCs/>
          <w:spacing w:val="-1"/>
          <w:position w:val="12"/>
          <w:sz w:val="21"/>
          <w:szCs w:val="21"/>
        </w:rPr>
        <w:t>燃煤发电</w:t>
      </w:r>
      <w:r>
        <w:rPr>
          <w:rFonts w:ascii="黑体" w:hAnsi="黑体" w:eastAsia="黑体" w:cs="黑体"/>
          <w:spacing w:val="113"/>
          <w:position w:val="12"/>
          <w:sz w:val="21"/>
          <w:szCs w:val="21"/>
        </w:rPr>
        <w:t xml:space="preserve"> </w:t>
      </w:r>
      <w:r>
        <w:rPr>
          <w:rFonts w:ascii="宋体" w:hAnsi="宋体" w:eastAsia="宋体" w:cs="宋体"/>
          <w:spacing w:val="-1"/>
          <w:position w:val="12"/>
          <w:sz w:val="21"/>
          <w:szCs w:val="21"/>
        </w:rPr>
        <w:t>指利用煤炭燃烧时产生的热能，通过火电动力装置转换成电能的发电方式，包括煤矸石</w:t>
      </w:r>
    </w:p>
    <w:p w14:paraId="6393B118">
      <w:pPr>
        <w:spacing w:line="220" w:lineRule="auto"/>
        <w:ind w:left="4"/>
        <w:rPr>
          <w:rFonts w:ascii="宋体" w:hAnsi="宋体" w:eastAsia="宋体" w:cs="宋体"/>
          <w:sz w:val="21"/>
          <w:szCs w:val="21"/>
        </w:rPr>
      </w:pPr>
      <w:r>
        <w:rPr>
          <w:rFonts w:ascii="宋体" w:hAnsi="宋体" w:eastAsia="宋体" w:cs="宋体"/>
          <w:spacing w:val="-10"/>
          <w:sz w:val="21"/>
          <w:szCs w:val="21"/>
        </w:rPr>
        <w:t>发电。</w:t>
      </w:r>
    </w:p>
    <w:p w14:paraId="572E110E">
      <w:pPr>
        <w:spacing w:before="95" w:line="373" w:lineRule="exact"/>
        <w:ind w:left="437"/>
        <w:rPr>
          <w:rFonts w:ascii="宋体" w:hAnsi="宋体" w:eastAsia="宋体" w:cs="宋体"/>
          <w:sz w:val="21"/>
          <w:szCs w:val="21"/>
        </w:rPr>
      </w:pPr>
      <w:r>
        <w:rPr>
          <w:rFonts w:ascii="黑体" w:hAnsi="黑体" w:eastAsia="黑体" w:cs="黑体"/>
          <w:b/>
          <w:bCs/>
          <w:spacing w:val="3"/>
          <w:position w:val="12"/>
          <w:sz w:val="21"/>
          <w:szCs w:val="21"/>
        </w:rPr>
        <w:t>煤矸石发电</w:t>
      </w:r>
      <w:r>
        <w:rPr>
          <w:rFonts w:ascii="黑体" w:hAnsi="黑体" w:eastAsia="黑体" w:cs="黑体"/>
          <w:spacing w:val="3"/>
          <w:position w:val="12"/>
          <w:sz w:val="21"/>
          <w:szCs w:val="21"/>
        </w:rPr>
        <w:t xml:space="preserve">  </w:t>
      </w:r>
      <w:r>
        <w:rPr>
          <w:rFonts w:ascii="宋体" w:hAnsi="宋体" w:eastAsia="宋体" w:cs="宋体"/>
          <w:spacing w:val="3"/>
          <w:position w:val="12"/>
          <w:sz w:val="21"/>
          <w:szCs w:val="21"/>
        </w:rPr>
        <w:t>指利用采煤和洗煤过程中排放的低热值固体废物(煤矸石)燃烧时产生的热能，通过</w:t>
      </w:r>
    </w:p>
    <w:p w14:paraId="6910DF31">
      <w:pPr>
        <w:spacing w:before="1" w:line="218" w:lineRule="auto"/>
        <w:ind w:left="4"/>
        <w:rPr>
          <w:rFonts w:ascii="宋体" w:hAnsi="宋体" w:eastAsia="宋体" w:cs="宋体"/>
          <w:sz w:val="21"/>
          <w:szCs w:val="21"/>
        </w:rPr>
      </w:pPr>
      <w:r>
        <w:rPr>
          <w:rFonts w:ascii="宋体" w:hAnsi="宋体" w:eastAsia="宋体" w:cs="宋体"/>
          <w:spacing w:val="-2"/>
          <w:sz w:val="21"/>
          <w:szCs w:val="21"/>
        </w:rPr>
        <w:t>火电动力装置转换成电能的发电方式。通常需掺烧一定数量的原煤。</w:t>
      </w:r>
    </w:p>
    <w:p w14:paraId="2FB3A82F">
      <w:pPr>
        <w:spacing w:before="96" w:line="270" w:lineRule="auto"/>
        <w:ind w:left="4" w:right="76" w:firstLine="433"/>
        <w:rPr>
          <w:rFonts w:ascii="宋体" w:hAnsi="宋体" w:eastAsia="宋体" w:cs="宋体"/>
          <w:sz w:val="21"/>
          <w:szCs w:val="21"/>
        </w:rPr>
      </w:pPr>
      <w:r>
        <w:rPr>
          <w:rFonts w:ascii="黑体" w:hAnsi="黑体" w:eastAsia="黑体" w:cs="黑体"/>
          <w:b/>
          <w:bCs/>
          <w:spacing w:val="-1"/>
          <w:sz w:val="21"/>
          <w:szCs w:val="21"/>
        </w:rPr>
        <w:t>燃气发电</w:t>
      </w:r>
      <w:r>
        <w:rPr>
          <w:rFonts w:ascii="黑体" w:hAnsi="黑体" w:eastAsia="黑体" w:cs="黑体"/>
          <w:spacing w:val="101"/>
          <w:sz w:val="21"/>
          <w:szCs w:val="21"/>
        </w:rPr>
        <w:t xml:space="preserve"> </w:t>
      </w:r>
      <w:r>
        <w:rPr>
          <w:rFonts w:ascii="宋体" w:hAnsi="宋体" w:eastAsia="宋体" w:cs="宋体"/>
          <w:spacing w:val="-1"/>
          <w:sz w:val="21"/>
          <w:szCs w:val="21"/>
        </w:rPr>
        <w:t>指利用气体燃料如天然气、焦炉煤气、高炉煤气、转炉煤气等，通</w:t>
      </w:r>
      <w:r>
        <w:rPr>
          <w:rFonts w:ascii="宋体" w:hAnsi="宋体" w:eastAsia="宋体" w:cs="宋体"/>
          <w:spacing w:val="-2"/>
          <w:sz w:val="21"/>
          <w:szCs w:val="21"/>
        </w:rPr>
        <w:t>过燃气轮机转变为机</w:t>
      </w:r>
      <w:r>
        <w:rPr>
          <w:rFonts w:ascii="宋体" w:hAnsi="宋体" w:eastAsia="宋体" w:cs="宋体"/>
          <w:sz w:val="21"/>
          <w:szCs w:val="21"/>
        </w:rPr>
        <w:t xml:space="preserve"> </w:t>
      </w:r>
      <w:r>
        <w:rPr>
          <w:rFonts w:ascii="宋体" w:hAnsi="宋体" w:eastAsia="宋体" w:cs="宋体"/>
          <w:spacing w:val="-3"/>
          <w:sz w:val="21"/>
          <w:szCs w:val="21"/>
        </w:rPr>
        <w:t>械能，带动发电机发电的发电方式。</w:t>
      </w:r>
    </w:p>
    <w:p w14:paraId="60F253FD">
      <w:pPr>
        <w:spacing w:line="270" w:lineRule="auto"/>
        <w:rPr>
          <w:rFonts w:ascii="宋体" w:hAnsi="宋体" w:eastAsia="宋体" w:cs="宋体"/>
          <w:sz w:val="21"/>
          <w:szCs w:val="21"/>
        </w:rPr>
        <w:sectPr>
          <w:headerReference r:id="rId61" w:type="default"/>
          <w:pgSz w:w="11910" w:h="16840"/>
          <w:pgMar w:top="1048" w:right="1184" w:bottom="400" w:left="1225" w:header="838" w:footer="0" w:gutter="0"/>
          <w:cols w:space="720" w:num="1"/>
        </w:sectPr>
      </w:pPr>
    </w:p>
    <w:p w14:paraId="6EC3C8CA">
      <w:pPr>
        <w:pStyle w:val="2"/>
        <w:spacing w:line="313" w:lineRule="auto"/>
      </w:pPr>
    </w:p>
    <w:p w14:paraId="0FC1E94B">
      <w:pPr>
        <w:spacing w:before="68" w:line="221" w:lineRule="auto"/>
        <w:ind w:left="423"/>
        <w:rPr>
          <w:rFonts w:ascii="宋体" w:hAnsi="宋体" w:eastAsia="宋体" w:cs="宋体"/>
          <w:sz w:val="21"/>
          <w:szCs w:val="21"/>
        </w:rPr>
      </w:pPr>
      <w:r>
        <w:rPr>
          <w:rFonts w:ascii="黑体" w:hAnsi="黑体" w:eastAsia="黑体" w:cs="黑体"/>
          <w:b/>
          <w:bCs/>
          <w:spacing w:val="-2"/>
          <w:sz w:val="21"/>
          <w:szCs w:val="21"/>
        </w:rPr>
        <w:t>煤层气发电</w:t>
      </w:r>
      <w:r>
        <w:rPr>
          <w:rFonts w:ascii="黑体" w:hAnsi="黑体" w:eastAsia="黑体" w:cs="黑体"/>
          <w:spacing w:val="107"/>
          <w:sz w:val="21"/>
          <w:szCs w:val="21"/>
        </w:rPr>
        <w:t xml:space="preserve"> </w:t>
      </w:r>
      <w:r>
        <w:rPr>
          <w:rFonts w:ascii="宋体" w:hAnsi="宋体" w:eastAsia="宋体" w:cs="宋体"/>
          <w:spacing w:val="-2"/>
          <w:sz w:val="21"/>
          <w:szCs w:val="21"/>
        </w:rPr>
        <w:t>指利用煤层气燃烧时产生的热能，通过火电动力装置转换成电能的发电方式。</w:t>
      </w:r>
    </w:p>
    <w:p w14:paraId="37CC016A">
      <w:pPr>
        <w:spacing w:before="98" w:line="270" w:lineRule="auto"/>
        <w:ind w:left="10" w:right="16" w:firstLine="413"/>
        <w:rPr>
          <w:rFonts w:ascii="宋体" w:hAnsi="宋体" w:eastAsia="宋体" w:cs="宋体"/>
          <w:sz w:val="21"/>
          <w:szCs w:val="21"/>
        </w:rPr>
      </w:pPr>
      <w:r>
        <w:rPr>
          <w:rFonts w:ascii="黑体" w:hAnsi="黑体" w:eastAsia="黑体" w:cs="黑体"/>
          <w:b/>
          <w:bCs/>
          <w:spacing w:val="1"/>
          <w:sz w:val="21"/>
          <w:szCs w:val="21"/>
        </w:rPr>
        <w:t>燃油发电</w:t>
      </w:r>
      <w:r>
        <w:rPr>
          <w:rFonts w:ascii="黑体" w:hAnsi="黑体" w:eastAsia="黑体" w:cs="黑体"/>
          <w:spacing w:val="108"/>
          <w:sz w:val="21"/>
          <w:szCs w:val="21"/>
        </w:rPr>
        <w:t xml:space="preserve"> </w:t>
      </w:r>
      <w:r>
        <w:rPr>
          <w:rFonts w:ascii="宋体" w:hAnsi="宋体" w:eastAsia="宋体" w:cs="宋体"/>
          <w:spacing w:val="1"/>
          <w:sz w:val="21"/>
          <w:szCs w:val="21"/>
        </w:rPr>
        <w:t>指将燃油燃烧时产生的热能，通过发电动力装置(电厂锅炉、汽轮机和发电机及其辅助</w:t>
      </w:r>
      <w:r>
        <w:rPr>
          <w:rFonts w:ascii="宋体" w:hAnsi="宋体" w:eastAsia="宋体" w:cs="宋体"/>
          <w:sz w:val="21"/>
          <w:szCs w:val="21"/>
        </w:rPr>
        <w:t xml:space="preserve"> </w:t>
      </w:r>
      <w:r>
        <w:rPr>
          <w:rFonts w:ascii="宋体" w:hAnsi="宋体" w:eastAsia="宋体" w:cs="宋体"/>
          <w:spacing w:val="13"/>
          <w:sz w:val="21"/>
          <w:szCs w:val="21"/>
        </w:rPr>
        <w:t>装置等)转换成电能的发电方式。主要包括渣油(重油)发电和柴(汽)油发电。</w:t>
      </w:r>
    </w:p>
    <w:p w14:paraId="772C2D4F">
      <w:pPr>
        <w:spacing w:before="86" w:line="373" w:lineRule="exact"/>
        <w:ind w:right="20"/>
        <w:jc w:val="right"/>
        <w:rPr>
          <w:rFonts w:ascii="宋体" w:hAnsi="宋体" w:eastAsia="宋体" w:cs="宋体"/>
          <w:sz w:val="21"/>
          <w:szCs w:val="21"/>
        </w:rPr>
      </w:pPr>
      <w:r>
        <w:rPr>
          <w:rFonts w:ascii="黑体" w:hAnsi="黑体" w:eastAsia="黑体" w:cs="黑体"/>
          <w:b/>
          <w:bCs/>
          <w:spacing w:val="-2"/>
          <w:position w:val="12"/>
          <w:sz w:val="21"/>
          <w:szCs w:val="21"/>
        </w:rPr>
        <w:t>余热、余压、余气发电</w:t>
      </w:r>
      <w:r>
        <w:rPr>
          <w:rFonts w:ascii="黑体" w:hAnsi="黑体" w:eastAsia="黑体" w:cs="黑体"/>
          <w:spacing w:val="112"/>
          <w:position w:val="12"/>
          <w:sz w:val="21"/>
          <w:szCs w:val="21"/>
        </w:rPr>
        <w:t xml:space="preserve"> </w:t>
      </w:r>
      <w:r>
        <w:rPr>
          <w:rFonts w:ascii="宋体" w:hAnsi="宋体" w:eastAsia="宋体" w:cs="宋体"/>
          <w:spacing w:val="-2"/>
          <w:position w:val="12"/>
          <w:sz w:val="21"/>
          <w:szCs w:val="21"/>
        </w:rPr>
        <w:t>指利用余热、余压、余气如焦炉煤气、高炉煤气、转炉煤气等，通过汽轮</w:t>
      </w:r>
    </w:p>
    <w:p w14:paraId="158F7189">
      <w:pPr>
        <w:spacing w:line="218" w:lineRule="auto"/>
        <w:ind w:left="10"/>
        <w:rPr>
          <w:rFonts w:ascii="宋体" w:hAnsi="宋体" w:eastAsia="宋体" w:cs="宋体"/>
          <w:sz w:val="21"/>
          <w:szCs w:val="21"/>
        </w:rPr>
      </w:pPr>
      <w:r>
        <w:rPr>
          <w:rFonts w:ascii="宋体" w:hAnsi="宋体" w:eastAsia="宋体" w:cs="宋体"/>
          <w:spacing w:val="-2"/>
          <w:sz w:val="21"/>
          <w:szCs w:val="21"/>
        </w:rPr>
        <w:t>机转变为机械能带动发电机发电的发电方式。</w:t>
      </w:r>
    </w:p>
    <w:p w14:paraId="5701D31A">
      <w:pPr>
        <w:spacing w:before="107" w:line="271" w:lineRule="auto"/>
        <w:ind w:left="10" w:right="20" w:firstLine="413"/>
        <w:rPr>
          <w:rFonts w:ascii="宋体" w:hAnsi="宋体" w:eastAsia="宋体" w:cs="宋体"/>
          <w:sz w:val="21"/>
          <w:szCs w:val="21"/>
        </w:rPr>
      </w:pPr>
      <w:r>
        <w:rPr>
          <w:rFonts w:ascii="黑体" w:hAnsi="黑体" w:eastAsia="黑体" w:cs="黑体"/>
          <w:b/>
          <w:bCs/>
          <w:spacing w:val="4"/>
          <w:sz w:val="21"/>
          <w:szCs w:val="21"/>
        </w:rPr>
        <w:t>生物质发电</w:t>
      </w:r>
      <w:r>
        <w:rPr>
          <w:rFonts w:ascii="黑体" w:hAnsi="黑体" w:eastAsia="黑体" w:cs="黑体"/>
          <w:spacing w:val="99"/>
          <w:sz w:val="21"/>
          <w:szCs w:val="21"/>
        </w:rPr>
        <w:t xml:space="preserve"> </w:t>
      </w:r>
      <w:r>
        <w:rPr>
          <w:rFonts w:ascii="宋体" w:hAnsi="宋体" w:eastAsia="宋体" w:cs="宋体"/>
          <w:spacing w:val="4"/>
          <w:sz w:val="21"/>
          <w:szCs w:val="21"/>
        </w:rPr>
        <w:t>指利用生物质所具有的生物质能进行发电的发电方</w:t>
      </w:r>
      <w:r>
        <w:rPr>
          <w:rFonts w:ascii="宋体" w:hAnsi="宋体" w:eastAsia="宋体" w:cs="宋体"/>
          <w:spacing w:val="3"/>
          <w:sz w:val="21"/>
          <w:szCs w:val="21"/>
        </w:rPr>
        <w:t>式，包括农林废弃物直接燃烧发</w:t>
      </w:r>
      <w:r>
        <w:rPr>
          <w:rFonts w:ascii="宋体" w:hAnsi="宋体" w:eastAsia="宋体" w:cs="宋体"/>
          <w:sz w:val="21"/>
          <w:szCs w:val="21"/>
        </w:rPr>
        <w:t xml:space="preserve"> </w:t>
      </w:r>
      <w:r>
        <w:rPr>
          <w:rFonts w:ascii="宋体" w:hAnsi="宋体" w:eastAsia="宋体" w:cs="宋体"/>
          <w:spacing w:val="-5"/>
          <w:sz w:val="21"/>
          <w:szCs w:val="21"/>
        </w:rPr>
        <w:t>电、沼气发电。</w:t>
      </w:r>
    </w:p>
    <w:p w14:paraId="2C5075C0">
      <w:pPr>
        <w:spacing w:before="103" w:line="271" w:lineRule="auto"/>
        <w:ind w:left="10" w:right="21" w:firstLine="412"/>
        <w:rPr>
          <w:rFonts w:ascii="宋体" w:hAnsi="宋体" w:eastAsia="宋体" w:cs="宋体"/>
          <w:sz w:val="21"/>
          <w:szCs w:val="21"/>
        </w:rPr>
      </w:pPr>
      <w:r>
        <w:rPr>
          <w:rFonts w:ascii="黑体" w:hAnsi="黑体" w:eastAsia="黑体" w:cs="黑体"/>
          <w:b/>
          <w:bCs/>
          <w:spacing w:val="-1"/>
          <w:sz w:val="21"/>
          <w:szCs w:val="21"/>
        </w:rPr>
        <w:t>沼气发电</w:t>
      </w:r>
      <w:r>
        <w:rPr>
          <w:rFonts w:ascii="黑体" w:hAnsi="黑体" w:eastAsia="黑体" w:cs="黑体"/>
          <w:spacing w:val="-1"/>
          <w:sz w:val="21"/>
          <w:szCs w:val="21"/>
        </w:rPr>
        <w:t xml:space="preserve">  </w:t>
      </w:r>
      <w:r>
        <w:rPr>
          <w:rFonts w:ascii="宋体" w:hAnsi="宋体" w:eastAsia="宋体" w:cs="宋体"/>
          <w:spacing w:val="-1"/>
          <w:sz w:val="21"/>
          <w:szCs w:val="21"/>
        </w:rPr>
        <w:t>指利用厌氧发酵处理产生的沼气进行发电</w:t>
      </w:r>
      <w:r>
        <w:rPr>
          <w:rFonts w:ascii="宋体" w:hAnsi="宋体" w:eastAsia="宋体" w:cs="宋体"/>
          <w:spacing w:val="-2"/>
          <w:sz w:val="21"/>
          <w:szCs w:val="21"/>
        </w:rPr>
        <w:t>的发电方式，包括农林废弃物气化发电、垃圾</w:t>
      </w:r>
      <w:r>
        <w:rPr>
          <w:rFonts w:ascii="宋体" w:hAnsi="宋体" w:eastAsia="宋体" w:cs="宋体"/>
          <w:sz w:val="21"/>
          <w:szCs w:val="21"/>
        </w:rPr>
        <w:t xml:space="preserve"> </w:t>
      </w:r>
      <w:r>
        <w:rPr>
          <w:rFonts w:ascii="宋体" w:hAnsi="宋体" w:eastAsia="宋体" w:cs="宋体"/>
          <w:spacing w:val="-6"/>
          <w:sz w:val="21"/>
          <w:szCs w:val="21"/>
        </w:rPr>
        <w:t>填埋气发电。</w:t>
      </w:r>
    </w:p>
    <w:p w14:paraId="4ECE3019">
      <w:pPr>
        <w:spacing w:before="104" w:line="376" w:lineRule="exact"/>
        <w:ind w:right="10"/>
        <w:jc w:val="right"/>
        <w:rPr>
          <w:rFonts w:ascii="宋体" w:hAnsi="宋体" w:eastAsia="宋体" w:cs="宋体"/>
          <w:sz w:val="21"/>
          <w:szCs w:val="21"/>
        </w:rPr>
      </w:pPr>
      <w:r>
        <w:rPr>
          <w:rFonts w:ascii="黑体" w:hAnsi="黑体" w:eastAsia="黑体" w:cs="黑体"/>
          <w:b/>
          <w:bCs/>
          <w:spacing w:val="-1"/>
          <w:position w:val="12"/>
          <w:sz w:val="21"/>
          <w:szCs w:val="21"/>
        </w:rPr>
        <w:t>垃圾焚烧发电</w:t>
      </w:r>
      <w:r>
        <w:rPr>
          <w:rFonts w:ascii="黑体" w:hAnsi="黑体" w:eastAsia="黑体" w:cs="黑体"/>
          <w:spacing w:val="89"/>
          <w:position w:val="12"/>
          <w:sz w:val="21"/>
          <w:szCs w:val="21"/>
        </w:rPr>
        <w:t xml:space="preserve"> </w:t>
      </w:r>
      <w:r>
        <w:rPr>
          <w:rFonts w:ascii="宋体" w:hAnsi="宋体" w:eastAsia="宋体" w:cs="宋体"/>
          <w:spacing w:val="-1"/>
          <w:position w:val="12"/>
          <w:sz w:val="21"/>
          <w:szCs w:val="21"/>
        </w:rPr>
        <w:t>指把经过分类处理后燃烧值较高的垃圾进行高温焚烧，产生热能通过火电动力装置</w:t>
      </w:r>
    </w:p>
    <w:p w14:paraId="6A316226">
      <w:pPr>
        <w:spacing w:line="220" w:lineRule="auto"/>
        <w:ind w:left="10"/>
        <w:rPr>
          <w:rFonts w:ascii="宋体" w:hAnsi="宋体" w:eastAsia="宋体" w:cs="宋体"/>
          <w:sz w:val="21"/>
          <w:szCs w:val="21"/>
        </w:rPr>
      </w:pPr>
      <w:r>
        <w:rPr>
          <w:rFonts w:ascii="宋体" w:hAnsi="宋体" w:eastAsia="宋体" w:cs="宋体"/>
          <w:spacing w:val="-4"/>
          <w:sz w:val="21"/>
          <w:szCs w:val="21"/>
        </w:rPr>
        <w:t>转换成电能的发电方式。</w:t>
      </w:r>
    </w:p>
    <w:p w14:paraId="38023985">
      <w:pPr>
        <w:spacing w:before="95" w:line="374" w:lineRule="exact"/>
        <w:ind w:right="18"/>
        <w:jc w:val="right"/>
        <w:rPr>
          <w:rFonts w:ascii="宋体" w:hAnsi="宋体" w:eastAsia="宋体" w:cs="宋体"/>
          <w:sz w:val="21"/>
          <w:szCs w:val="21"/>
        </w:rPr>
      </w:pPr>
      <w:r>
        <w:rPr>
          <w:rFonts w:ascii="黑体" w:hAnsi="黑体" w:eastAsia="黑体" w:cs="黑体"/>
          <w:b/>
          <w:bCs/>
          <w:spacing w:val="-1"/>
          <w:position w:val="12"/>
          <w:sz w:val="21"/>
          <w:szCs w:val="21"/>
        </w:rPr>
        <w:t>水力发电</w:t>
      </w:r>
      <w:r>
        <w:rPr>
          <w:rFonts w:ascii="黑体" w:hAnsi="黑体" w:eastAsia="黑体" w:cs="黑体"/>
          <w:spacing w:val="-1"/>
          <w:position w:val="12"/>
          <w:sz w:val="21"/>
          <w:szCs w:val="21"/>
        </w:rPr>
        <w:t xml:space="preserve">  </w:t>
      </w:r>
      <w:r>
        <w:rPr>
          <w:rFonts w:ascii="宋体" w:hAnsi="宋体" w:eastAsia="宋体" w:cs="宋体"/>
          <w:spacing w:val="-1"/>
          <w:position w:val="12"/>
          <w:sz w:val="21"/>
          <w:szCs w:val="21"/>
        </w:rPr>
        <w:t>指利用水位落差，配合水轮发电机产生电力的</w:t>
      </w:r>
      <w:r>
        <w:rPr>
          <w:rFonts w:ascii="宋体" w:hAnsi="宋体" w:eastAsia="宋体" w:cs="宋体"/>
          <w:spacing w:val="-2"/>
          <w:position w:val="12"/>
          <w:sz w:val="21"/>
          <w:szCs w:val="21"/>
        </w:rPr>
        <w:t>一种发电方式，也就是利用水的势能转为</w:t>
      </w:r>
    </w:p>
    <w:p w14:paraId="09FDF192">
      <w:pPr>
        <w:spacing w:line="218" w:lineRule="auto"/>
        <w:ind w:left="10"/>
        <w:rPr>
          <w:rFonts w:ascii="宋体" w:hAnsi="宋体" w:eastAsia="宋体" w:cs="宋体"/>
          <w:sz w:val="21"/>
          <w:szCs w:val="21"/>
        </w:rPr>
      </w:pPr>
      <w:r>
        <w:rPr>
          <w:rFonts w:ascii="宋体" w:hAnsi="宋体" w:eastAsia="宋体" w:cs="宋体"/>
          <w:spacing w:val="-2"/>
          <w:sz w:val="21"/>
          <w:szCs w:val="21"/>
        </w:rPr>
        <w:t>水轮机的机械能，再以机械能推动发电机产生电能，包括抽水蓄能发电。</w:t>
      </w:r>
    </w:p>
    <w:p w14:paraId="077685CB">
      <w:pPr>
        <w:spacing w:before="98" w:line="374" w:lineRule="exact"/>
        <w:ind w:right="19"/>
        <w:jc w:val="right"/>
        <w:rPr>
          <w:rFonts w:ascii="宋体" w:hAnsi="宋体" w:eastAsia="宋体" w:cs="宋体"/>
          <w:sz w:val="21"/>
          <w:szCs w:val="21"/>
        </w:rPr>
      </w:pPr>
      <w:r>
        <w:rPr>
          <w:rFonts w:ascii="黑体" w:hAnsi="黑体" w:eastAsia="黑体" w:cs="黑体"/>
          <w:b/>
          <w:bCs/>
          <w:spacing w:val="-1"/>
          <w:position w:val="12"/>
          <w:sz w:val="21"/>
          <w:szCs w:val="21"/>
        </w:rPr>
        <w:t>抽水蓄能发电</w:t>
      </w:r>
      <w:r>
        <w:rPr>
          <w:rFonts w:ascii="黑体" w:hAnsi="黑体" w:eastAsia="黑体" w:cs="黑体"/>
          <w:spacing w:val="101"/>
          <w:position w:val="12"/>
          <w:sz w:val="21"/>
          <w:szCs w:val="21"/>
        </w:rPr>
        <w:t xml:space="preserve"> </w:t>
      </w:r>
      <w:r>
        <w:rPr>
          <w:rFonts w:ascii="宋体" w:hAnsi="宋体" w:eastAsia="宋体" w:cs="宋体"/>
          <w:spacing w:val="-1"/>
          <w:position w:val="12"/>
          <w:sz w:val="21"/>
          <w:szCs w:val="21"/>
        </w:rPr>
        <w:t>指利用电力系统负荷低谷时的电能</w:t>
      </w:r>
      <w:r>
        <w:rPr>
          <w:rFonts w:ascii="宋体" w:hAnsi="宋体" w:eastAsia="宋体" w:cs="宋体"/>
          <w:spacing w:val="-2"/>
          <w:position w:val="12"/>
          <w:sz w:val="21"/>
          <w:szCs w:val="21"/>
        </w:rPr>
        <w:t>抽水至上水库，在电力负荷高峰期再放水至下水</w:t>
      </w:r>
    </w:p>
    <w:p w14:paraId="47202B68">
      <w:pPr>
        <w:spacing w:line="219" w:lineRule="auto"/>
        <w:ind w:left="10"/>
        <w:rPr>
          <w:rFonts w:ascii="宋体" w:hAnsi="宋体" w:eastAsia="宋体" w:cs="宋体"/>
          <w:sz w:val="21"/>
          <w:szCs w:val="21"/>
        </w:rPr>
      </w:pPr>
      <w:r>
        <w:rPr>
          <w:rFonts w:ascii="宋体" w:hAnsi="宋体" w:eastAsia="宋体" w:cs="宋体"/>
          <w:spacing w:val="-4"/>
          <w:sz w:val="21"/>
          <w:szCs w:val="21"/>
        </w:rPr>
        <w:t>库发电的发电方式。</w:t>
      </w:r>
    </w:p>
    <w:p w14:paraId="365D5B15">
      <w:pPr>
        <w:spacing w:before="107" w:line="269" w:lineRule="auto"/>
        <w:ind w:left="10" w:right="15" w:firstLine="412"/>
        <w:rPr>
          <w:rFonts w:ascii="宋体" w:hAnsi="宋体" w:eastAsia="宋体" w:cs="宋体"/>
          <w:sz w:val="21"/>
          <w:szCs w:val="21"/>
        </w:rPr>
      </w:pPr>
      <w:r>
        <w:rPr>
          <w:rFonts w:ascii="黑体" w:hAnsi="黑体" w:eastAsia="黑体" w:cs="黑体"/>
          <w:b/>
          <w:bCs/>
          <w:spacing w:val="-1"/>
          <w:sz w:val="21"/>
          <w:szCs w:val="21"/>
        </w:rPr>
        <w:t>核能发电</w:t>
      </w:r>
      <w:r>
        <w:rPr>
          <w:rFonts w:ascii="黑体" w:hAnsi="黑体" w:eastAsia="黑体" w:cs="黑体"/>
          <w:spacing w:val="-1"/>
          <w:sz w:val="21"/>
          <w:szCs w:val="21"/>
        </w:rPr>
        <w:t xml:space="preserve">  </w:t>
      </w:r>
      <w:r>
        <w:rPr>
          <w:rFonts w:ascii="宋体" w:hAnsi="宋体" w:eastAsia="宋体" w:cs="宋体"/>
          <w:spacing w:val="-1"/>
          <w:sz w:val="21"/>
          <w:szCs w:val="21"/>
        </w:rPr>
        <w:t>指利用原子反应堆中核燃料(例如铀)缓慢裂变所释放的</w:t>
      </w:r>
      <w:r>
        <w:rPr>
          <w:rFonts w:ascii="宋体" w:hAnsi="宋体" w:eastAsia="宋体" w:cs="宋体"/>
          <w:spacing w:val="-2"/>
          <w:sz w:val="21"/>
          <w:szCs w:val="21"/>
        </w:rPr>
        <w:t>热能产生蒸汽驱动汽轮机再带动</w:t>
      </w:r>
      <w:r>
        <w:rPr>
          <w:rFonts w:ascii="宋体" w:hAnsi="宋体" w:eastAsia="宋体" w:cs="宋体"/>
          <w:sz w:val="21"/>
          <w:szCs w:val="21"/>
        </w:rPr>
        <w:t xml:space="preserve"> </w:t>
      </w:r>
      <w:r>
        <w:rPr>
          <w:rFonts w:ascii="宋体" w:hAnsi="宋体" w:eastAsia="宋体" w:cs="宋体"/>
          <w:spacing w:val="-3"/>
          <w:sz w:val="21"/>
          <w:szCs w:val="21"/>
        </w:rPr>
        <w:t>发电机发电的一种发电方式。</w:t>
      </w:r>
    </w:p>
    <w:p w14:paraId="39E82DB3">
      <w:pPr>
        <w:spacing w:before="107" w:line="221" w:lineRule="auto"/>
        <w:ind w:left="423"/>
        <w:rPr>
          <w:rFonts w:ascii="宋体" w:hAnsi="宋体" w:eastAsia="宋体" w:cs="宋体"/>
          <w:sz w:val="21"/>
          <w:szCs w:val="21"/>
        </w:rPr>
      </w:pPr>
      <w:r>
        <w:rPr>
          <w:rFonts w:ascii="黑体" w:hAnsi="黑体" w:eastAsia="黑体" w:cs="黑体"/>
          <w:b/>
          <w:bCs/>
          <w:spacing w:val="-1"/>
          <w:sz w:val="21"/>
          <w:szCs w:val="21"/>
        </w:rPr>
        <w:t>风力发电</w:t>
      </w:r>
      <w:r>
        <w:rPr>
          <w:rFonts w:ascii="黑体" w:hAnsi="黑体" w:eastAsia="黑体" w:cs="黑体"/>
          <w:spacing w:val="91"/>
          <w:sz w:val="21"/>
          <w:szCs w:val="21"/>
        </w:rPr>
        <w:t xml:space="preserve"> </w:t>
      </w:r>
      <w:r>
        <w:rPr>
          <w:rFonts w:ascii="宋体" w:hAnsi="宋体" w:eastAsia="宋体" w:cs="宋体"/>
          <w:spacing w:val="-1"/>
          <w:sz w:val="21"/>
          <w:szCs w:val="21"/>
        </w:rPr>
        <w:t>指把风的动能转变成机械能，再把机械能转化为电能的发电方式。</w:t>
      </w:r>
    </w:p>
    <w:p w14:paraId="27E97CC6">
      <w:pPr>
        <w:spacing w:before="110" w:line="269" w:lineRule="auto"/>
        <w:ind w:left="10" w:firstLine="413"/>
        <w:rPr>
          <w:rFonts w:ascii="宋体" w:hAnsi="宋体" w:eastAsia="宋体" w:cs="宋体"/>
          <w:sz w:val="21"/>
          <w:szCs w:val="21"/>
        </w:rPr>
      </w:pPr>
      <w:r>
        <w:rPr>
          <w:rFonts w:ascii="黑体" w:hAnsi="黑体" w:eastAsia="黑体" w:cs="黑体"/>
          <w:b/>
          <w:bCs/>
          <w:spacing w:val="-1"/>
          <w:sz w:val="21"/>
          <w:szCs w:val="21"/>
        </w:rPr>
        <w:t>太阳能发电</w:t>
      </w:r>
      <w:r>
        <w:rPr>
          <w:rFonts w:ascii="黑体" w:hAnsi="黑体" w:eastAsia="黑体" w:cs="黑体"/>
          <w:spacing w:val="101"/>
          <w:sz w:val="21"/>
          <w:szCs w:val="21"/>
        </w:rPr>
        <w:t xml:space="preserve"> </w:t>
      </w:r>
      <w:r>
        <w:rPr>
          <w:rFonts w:ascii="宋体" w:hAnsi="宋体" w:eastAsia="宋体" w:cs="宋体"/>
          <w:spacing w:val="-1"/>
          <w:sz w:val="21"/>
          <w:szCs w:val="21"/>
        </w:rPr>
        <w:t>指先将太阳能转化为热能，再将热能转化成电能或者直接将太阳能转换成电能的发电</w:t>
      </w:r>
      <w:r>
        <w:rPr>
          <w:rFonts w:ascii="宋体" w:hAnsi="宋体" w:eastAsia="宋体" w:cs="宋体"/>
          <w:sz w:val="21"/>
          <w:szCs w:val="21"/>
        </w:rPr>
        <w:t xml:space="preserve"> </w:t>
      </w:r>
      <w:r>
        <w:rPr>
          <w:rFonts w:ascii="宋体" w:hAnsi="宋体" w:eastAsia="宋体" w:cs="宋体"/>
          <w:spacing w:val="-2"/>
          <w:sz w:val="21"/>
          <w:szCs w:val="21"/>
        </w:rPr>
        <w:t>方式，主要包括太阳能光伏发电和太阳能光热发电。</w:t>
      </w:r>
    </w:p>
    <w:p w14:paraId="076DB67B">
      <w:pPr>
        <w:spacing w:before="111" w:line="219" w:lineRule="auto"/>
        <w:ind w:left="420"/>
        <w:rPr>
          <w:rFonts w:ascii="宋体" w:hAnsi="宋体" w:eastAsia="宋体" w:cs="宋体"/>
          <w:sz w:val="21"/>
          <w:szCs w:val="21"/>
        </w:rPr>
      </w:pPr>
      <w:r>
        <w:rPr>
          <w:rFonts w:ascii="宋体" w:hAnsi="宋体" w:eastAsia="宋体" w:cs="宋体"/>
          <w:spacing w:val="-1"/>
          <w:sz w:val="21"/>
          <w:szCs w:val="21"/>
        </w:rPr>
        <w:t>太阳能光伏发电是利用太阳能电池直接将太阳能转换成电</w:t>
      </w:r>
      <w:r>
        <w:rPr>
          <w:rFonts w:ascii="宋体" w:hAnsi="宋体" w:eastAsia="宋体" w:cs="宋体"/>
          <w:spacing w:val="-2"/>
          <w:sz w:val="21"/>
          <w:szCs w:val="21"/>
        </w:rPr>
        <w:t>能的发电方式。</w:t>
      </w:r>
    </w:p>
    <w:p w14:paraId="412E4A3F">
      <w:pPr>
        <w:spacing w:before="110" w:line="268" w:lineRule="auto"/>
        <w:ind w:left="10" w:right="41" w:firstLine="410"/>
        <w:rPr>
          <w:rFonts w:ascii="宋体" w:hAnsi="宋体" w:eastAsia="宋体" w:cs="宋体"/>
          <w:sz w:val="21"/>
          <w:szCs w:val="21"/>
        </w:rPr>
      </w:pPr>
      <w:r>
        <w:rPr>
          <w:rFonts w:ascii="宋体" w:hAnsi="宋体" w:eastAsia="宋体" w:cs="宋体"/>
          <w:spacing w:val="-2"/>
          <w:sz w:val="21"/>
          <w:szCs w:val="21"/>
        </w:rPr>
        <w:t>太阳能光热发电是指利用大规模阵列抛物或碟形镜面收集太阳热能，通过换热装置提供蒸汽，结合</w:t>
      </w:r>
      <w:r>
        <w:rPr>
          <w:rFonts w:ascii="宋体" w:hAnsi="宋体" w:eastAsia="宋体" w:cs="宋体"/>
          <w:spacing w:val="14"/>
          <w:sz w:val="21"/>
          <w:szCs w:val="21"/>
        </w:rPr>
        <w:t xml:space="preserve"> </w:t>
      </w:r>
      <w:r>
        <w:rPr>
          <w:rFonts w:ascii="宋体" w:hAnsi="宋体" w:eastAsia="宋体" w:cs="宋体"/>
          <w:spacing w:val="-2"/>
          <w:sz w:val="21"/>
          <w:szCs w:val="21"/>
        </w:rPr>
        <w:t>传统汽轮发电机的工艺发电的发电方式。</w:t>
      </w:r>
    </w:p>
    <w:p w14:paraId="4EFFFCFF">
      <w:pPr>
        <w:spacing w:before="108" w:line="269" w:lineRule="auto"/>
        <w:ind w:left="10" w:right="41" w:firstLine="413"/>
        <w:rPr>
          <w:rFonts w:ascii="宋体" w:hAnsi="宋体" w:eastAsia="宋体" w:cs="宋体"/>
          <w:sz w:val="21"/>
          <w:szCs w:val="21"/>
        </w:rPr>
      </w:pPr>
      <w:r>
        <w:rPr>
          <w:rFonts w:ascii="黑体" w:hAnsi="黑体" w:eastAsia="黑体" w:cs="黑体"/>
          <w:b/>
          <w:bCs/>
          <w:spacing w:val="-2"/>
          <w:sz w:val="21"/>
          <w:szCs w:val="21"/>
        </w:rPr>
        <w:t>潮汐能发电</w:t>
      </w:r>
      <w:r>
        <w:rPr>
          <w:rFonts w:ascii="黑体" w:hAnsi="黑体" w:eastAsia="黑体" w:cs="黑体"/>
          <w:spacing w:val="102"/>
          <w:sz w:val="21"/>
          <w:szCs w:val="21"/>
        </w:rPr>
        <w:t xml:space="preserve"> </w:t>
      </w:r>
      <w:r>
        <w:rPr>
          <w:rFonts w:ascii="宋体" w:hAnsi="宋体" w:eastAsia="宋体" w:cs="宋体"/>
          <w:spacing w:val="-2"/>
          <w:sz w:val="21"/>
          <w:szCs w:val="21"/>
        </w:rPr>
        <w:t>指利用潮汐的动能和势能发电的发电方式。也就是在涨潮时将海水以势能的形式储存</w:t>
      </w:r>
      <w:r>
        <w:rPr>
          <w:rFonts w:ascii="宋体" w:hAnsi="宋体" w:eastAsia="宋体" w:cs="宋体"/>
          <w:sz w:val="21"/>
          <w:szCs w:val="21"/>
        </w:rPr>
        <w:t xml:space="preserve"> </w:t>
      </w:r>
      <w:r>
        <w:rPr>
          <w:rFonts w:ascii="宋体" w:hAnsi="宋体" w:eastAsia="宋体" w:cs="宋体"/>
          <w:spacing w:val="-1"/>
          <w:sz w:val="21"/>
          <w:szCs w:val="21"/>
        </w:rPr>
        <w:t>在水库内，在落潮时利用高、低潮位之间的落差放出海水，推动水轮机旋转带动发电机发电。</w:t>
      </w:r>
    </w:p>
    <w:p w14:paraId="43CE2B62">
      <w:pPr>
        <w:spacing w:before="108" w:line="269" w:lineRule="auto"/>
        <w:ind w:left="10" w:right="21" w:firstLine="413"/>
        <w:rPr>
          <w:rFonts w:ascii="宋体" w:hAnsi="宋体" w:eastAsia="宋体" w:cs="宋体"/>
          <w:sz w:val="21"/>
          <w:szCs w:val="21"/>
        </w:rPr>
      </w:pPr>
      <w:r>
        <w:rPr>
          <w:rFonts w:ascii="黑体" w:hAnsi="黑体" w:eastAsia="黑体" w:cs="黑体"/>
          <w:b/>
          <w:bCs/>
          <w:spacing w:val="-1"/>
          <w:sz w:val="21"/>
          <w:szCs w:val="21"/>
        </w:rPr>
        <w:t>地热能发电</w:t>
      </w:r>
      <w:r>
        <w:rPr>
          <w:rFonts w:ascii="黑体" w:hAnsi="黑体" w:eastAsia="黑体" w:cs="黑体"/>
          <w:spacing w:val="91"/>
          <w:sz w:val="21"/>
          <w:szCs w:val="21"/>
        </w:rPr>
        <w:t xml:space="preserve"> </w:t>
      </w:r>
      <w:r>
        <w:rPr>
          <w:rFonts w:ascii="宋体" w:hAnsi="宋体" w:eastAsia="宋体" w:cs="宋体"/>
          <w:spacing w:val="-1"/>
          <w:sz w:val="21"/>
          <w:szCs w:val="21"/>
        </w:rPr>
        <w:t>指利用地下热能转变为机械能，然后再把机械能转变为电能</w:t>
      </w:r>
      <w:r>
        <w:rPr>
          <w:rFonts w:ascii="宋体" w:hAnsi="宋体" w:eastAsia="宋体" w:cs="宋体"/>
          <w:spacing w:val="-2"/>
          <w:sz w:val="21"/>
          <w:szCs w:val="21"/>
        </w:rPr>
        <w:t>的一种发电方式。能够把</w:t>
      </w:r>
      <w:r>
        <w:rPr>
          <w:rFonts w:ascii="宋体" w:hAnsi="宋体" w:eastAsia="宋体" w:cs="宋体"/>
          <w:sz w:val="21"/>
          <w:szCs w:val="21"/>
        </w:rPr>
        <w:t xml:space="preserve"> </w:t>
      </w:r>
      <w:r>
        <w:rPr>
          <w:rFonts w:ascii="宋体" w:hAnsi="宋体" w:eastAsia="宋体" w:cs="宋体"/>
          <w:spacing w:val="4"/>
          <w:sz w:val="21"/>
          <w:szCs w:val="21"/>
        </w:rPr>
        <w:t>地下热能带到地面并用于发电的载热介质主要是天然蒸汽(干蒸汽和湿蒸汽)和地下热水。</w:t>
      </w:r>
    </w:p>
    <w:p w14:paraId="78E973F6">
      <w:pPr>
        <w:spacing w:before="107" w:line="221" w:lineRule="auto"/>
        <w:ind w:left="423"/>
        <w:rPr>
          <w:rFonts w:ascii="宋体" w:hAnsi="宋体" w:eastAsia="宋体" w:cs="宋体"/>
          <w:sz w:val="21"/>
          <w:szCs w:val="21"/>
        </w:rPr>
      </w:pPr>
      <w:r>
        <w:rPr>
          <w:rFonts w:ascii="黑体" w:hAnsi="黑体" w:eastAsia="黑体" w:cs="黑体"/>
          <w:b/>
          <w:bCs/>
          <w:spacing w:val="-4"/>
          <w:sz w:val="21"/>
          <w:szCs w:val="21"/>
        </w:rPr>
        <w:t>其他发电</w:t>
      </w:r>
      <w:r>
        <w:rPr>
          <w:rFonts w:ascii="黑体" w:hAnsi="黑体" w:eastAsia="黑体" w:cs="黑体"/>
          <w:spacing w:val="105"/>
          <w:sz w:val="21"/>
          <w:szCs w:val="21"/>
        </w:rPr>
        <w:t xml:space="preserve"> </w:t>
      </w:r>
      <w:r>
        <w:rPr>
          <w:rFonts w:ascii="宋体" w:hAnsi="宋体" w:eastAsia="宋体" w:cs="宋体"/>
          <w:spacing w:val="-4"/>
          <w:sz w:val="21"/>
          <w:szCs w:val="21"/>
        </w:rPr>
        <w:t>指不属于上述各类的发电形式。</w:t>
      </w:r>
    </w:p>
    <w:p w14:paraId="72495758">
      <w:pPr>
        <w:spacing w:before="110" w:line="269" w:lineRule="auto"/>
        <w:ind w:left="10" w:right="21" w:firstLine="413"/>
        <w:rPr>
          <w:rFonts w:ascii="宋体" w:hAnsi="宋体" w:eastAsia="宋体" w:cs="宋体"/>
          <w:sz w:val="21"/>
          <w:szCs w:val="21"/>
        </w:rPr>
      </w:pPr>
      <w:r>
        <w:rPr>
          <w:rFonts w:ascii="黑体" w:hAnsi="黑体" w:eastAsia="黑体" w:cs="黑体"/>
          <w:b/>
          <w:bCs/>
          <w:spacing w:val="-1"/>
          <w:sz w:val="21"/>
          <w:szCs w:val="21"/>
        </w:rPr>
        <w:t>热力</w:t>
      </w:r>
      <w:r>
        <w:rPr>
          <w:rFonts w:ascii="黑体" w:hAnsi="黑体" w:eastAsia="黑体" w:cs="黑体"/>
          <w:spacing w:val="102"/>
          <w:sz w:val="21"/>
          <w:szCs w:val="21"/>
        </w:rPr>
        <w:t xml:space="preserve"> </w:t>
      </w:r>
      <w:r>
        <w:rPr>
          <w:rFonts w:ascii="宋体" w:hAnsi="宋体" w:eastAsia="宋体" w:cs="宋体"/>
          <w:spacing w:val="-1"/>
          <w:sz w:val="21"/>
          <w:szCs w:val="21"/>
        </w:rPr>
        <w:t>指企业在报告期内产出的热能。凡被本企业或用户利用</w:t>
      </w:r>
      <w:r>
        <w:rPr>
          <w:rFonts w:ascii="宋体" w:hAnsi="宋体" w:eastAsia="宋体" w:cs="宋体"/>
          <w:spacing w:val="-2"/>
          <w:sz w:val="21"/>
          <w:szCs w:val="21"/>
        </w:rPr>
        <w:t>的热能，均应计入热力产量中。包括</w:t>
      </w:r>
      <w:r>
        <w:rPr>
          <w:rFonts w:ascii="宋体" w:hAnsi="宋体" w:eastAsia="宋体" w:cs="宋体"/>
          <w:sz w:val="21"/>
          <w:szCs w:val="21"/>
        </w:rPr>
        <w:t xml:space="preserve"> </w:t>
      </w:r>
      <w:r>
        <w:rPr>
          <w:rFonts w:ascii="宋体" w:hAnsi="宋体" w:eastAsia="宋体" w:cs="宋体"/>
          <w:spacing w:val="-3"/>
          <w:sz w:val="21"/>
          <w:szCs w:val="21"/>
        </w:rPr>
        <w:t>可提供热源的热水、蒸汽和其他生产过程中释放的热能等。</w:t>
      </w:r>
    </w:p>
    <w:p w14:paraId="05A33E63">
      <w:pPr>
        <w:spacing w:before="112" w:line="219" w:lineRule="auto"/>
        <w:ind w:left="420"/>
        <w:rPr>
          <w:rFonts w:ascii="宋体" w:hAnsi="宋体" w:eastAsia="宋体" w:cs="宋体"/>
          <w:sz w:val="21"/>
          <w:szCs w:val="21"/>
        </w:rPr>
      </w:pPr>
      <w:r>
        <w:rPr>
          <w:rFonts w:ascii="宋体" w:hAnsi="宋体" w:eastAsia="宋体" w:cs="宋体"/>
          <w:spacing w:val="-1"/>
          <w:sz w:val="21"/>
          <w:szCs w:val="21"/>
        </w:rPr>
        <w:t>热力的计算：蒸汽和热水的热力计算，与锅炉出</w:t>
      </w:r>
      <w:r>
        <w:rPr>
          <w:rFonts w:ascii="宋体" w:hAnsi="宋体" w:eastAsia="宋体" w:cs="宋体"/>
          <w:spacing w:val="-2"/>
          <w:sz w:val="21"/>
          <w:szCs w:val="21"/>
        </w:rPr>
        <w:t>口蒸汽、热水的温度和压力有关，计算方法：</w:t>
      </w:r>
    </w:p>
    <w:p w14:paraId="1FA302F3">
      <w:pPr>
        <w:spacing w:before="110" w:line="268" w:lineRule="auto"/>
        <w:ind w:left="10" w:right="33" w:firstLine="410"/>
        <w:rPr>
          <w:rFonts w:ascii="宋体" w:hAnsi="宋体" w:eastAsia="宋体" w:cs="宋体"/>
          <w:sz w:val="21"/>
          <w:szCs w:val="21"/>
        </w:rPr>
      </w:pPr>
      <w:r>
        <w:rPr>
          <w:rFonts w:ascii="宋体" w:hAnsi="宋体" w:eastAsia="宋体" w:cs="宋体"/>
          <w:spacing w:val="3"/>
          <w:sz w:val="21"/>
          <w:szCs w:val="21"/>
        </w:rPr>
        <w:t>第一步：确定锅炉出口蒸汽和热水的温度和压力，根据温度和压力值，在焓熵图(表)查出对应的</w:t>
      </w:r>
      <w:r>
        <w:rPr>
          <w:rFonts w:ascii="宋体" w:hAnsi="宋体" w:eastAsia="宋体" w:cs="宋体"/>
          <w:spacing w:val="16"/>
          <w:sz w:val="21"/>
          <w:szCs w:val="21"/>
        </w:rPr>
        <w:t xml:space="preserve"> </w:t>
      </w:r>
      <w:r>
        <w:rPr>
          <w:rFonts w:ascii="宋体" w:hAnsi="宋体" w:eastAsia="宋体" w:cs="宋体"/>
          <w:spacing w:val="-5"/>
          <w:sz w:val="21"/>
          <w:szCs w:val="21"/>
        </w:rPr>
        <w:t>每千克蒸汽、热水的热焓；</w:t>
      </w:r>
    </w:p>
    <w:p w14:paraId="26368E20">
      <w:pPr>
        <w:spacing w:before="101" w:line="370" w:lineRule="exact"/>
        <w:ind w:right="33"/>
        <w:jc w:val="right"/>
        <w:rPr>
          <w:rFonts w:ascii="宋体" w:hAnsi="宋体" w:eastAsia="宋体" w:cs="宋体"/>
          <w:sz w:val="21"/>
          <w:szCs w:val="21"/>
        </w:rPr>
      </w:pPr>
      <w:r>
        <w:rPr>
          <w:rFonts w:ascii="宋体" w:hAnsi="宋体" w:eastAsia="宋体" w:cs="宋体"/>
          <w:spacing w:val="8"/>
          <w:position w:val="12"/>
          <w:sz w:val="21"/>
          <w:szCs w:val="21"/>
        </w:rPr>
        <w:t>第二步：确定锅炉给水(或回水)的温度和压力，根据温度和压力值，在焓熵图(表)查出对应的</w:t>
      </w:r>
    </w:p>
    <w:p w14:paraId="55894556">
      <w:pPr>
        <w:spacing w:line="219" w:lineRule="auto"/>
        <w:ind w:left="10"/>
        <w:rPr>
          <w:rFonts w:ascii="宋体" w:hAnsi="宋体" w:eastAsia="宋体" w:cs="宋体"/>
          <w:sz w:val="21"/>
          <w:szCs w:val="21"/>
        </w:rPr>
      </w:pPr>
      <w:r>
        <w:rPr>
          <w:rFonts w:ascii="宋体" w:hAnsi="宋体" w:eastAsia="宋体" w:cs="宋体"/>
          <w:spacing w:val="10"/>
          <w:sz w:val="21"/>
          <w:szCs w:val="21"/>
        </w:rPr>
        <w:t>每千克给水(或回水)的热焓；</w:t>
      </w:r>
    </w:p>
    <w:p w14:paraId="3DFA2066">
      <w:pPr>
        <w:spacing w:before="98" w:line="269" w:lineRule="auto"/>
        <w:ind w:left="10" w:right="22" w:firstLine="410"/>
        <w:rPr>
          <w:rFonts w:ascii="宋体" w:hAnsi="宋体" w:eastAsia="宋体" w:cs="宋体"/>
          <w:sz w:val="21"/>
          <w:szCs w:val="21"/>
        </w:rPr>
      </w:pPr>
      <w:r>
        <w:rPr>
          <w:rFonts w:ascii="宋体" w:hAnsi="宋体" w:eastAsia="宋体" w:cs="宋体"/>
          <w:spacing w:val="6"/>
          <w:sz w:val="21"/>
          <w:szCs w:val="21"/>
        </w:rPr>
        <w:t>第三步：求第一步和第二步查出的热焓之差，再乘以蒸汽或热水的数量(按流量表读数计算),所</w:t>
      </w:r>
      <w:r>
        <w:rPr>
          <w:rFonts w:ascii="宋体" w:hAnsi="宋体" w:eastAsia="宋体" w:cs="宋体"/>
          <w:spacing w:val="3"/>
          <w:sz w:val="21"/>
          <w:szCs w:val="21"/>
        </w:rPr>
        <w:t xml:space="preserve"> </w:t>
      </w:r>
      <w:r>
        <w:rPr>
          <w:rFonts w:ascii="宋体" w:hAnsi="宋体" w:eastAsia="宋体" w:cs="宋体"/>
          <w:spacing w:val="-4"/>
          <w:sz w:val="21"/>
          <w:szCs w:val="21"/>
        </w:rPr>
        <w:t>得值即为热力的量。</w:t>
      </w:r>
    </w:p>
    <w:p w14:paraId="400B9587">
      <w:pPr>
        <w:spacing w:before="119" w:line="218" w:lineRule="auto"/>
        <w:ind w:left="420"/>
        <w:rPr>
          <w:rFonts w:ascii="宋体" w:hAnsi="宋体" w:eastAsia="宋体" w:cs="宋体"/>
          <w:sz w:val="21"/>
          <w:szCs w:val="21"/>
        </w:rPr>
      </w:pPr>
      <w:r>
        <w:rPr>
          <w:rFonts w:ascii="宋体" w:hAnsi="宋体" w:eastAsia="宋体" w:cs="宋体"/>
          <w:spacing w:val="-2"/>
          <w:sz w:val="21"/>
          <w:szCs w:val="21"/>
        </w:rPr>
        <w:t>如果企业不具备上述计算热力的条件，可参考下列</w:t>
      </w:r>
      <w:r>
        <w:rPr>
          <w:rFonts w:ascii="宋体" w:hAnsi="宋体" w:eastAsia="宋体" w:cs="宋体"/>
          <w:spacing w:val="-3"/>
          <w:sz w:val="21"/>
          <w:szCs w:val="21"/>
        </w:rPr>
        <w:t>方法估算：</w:t>
      </w:r>
    </w:p>
    <w:p w14:paraId="36CA1603">
      <w:pPr>
        <w:spacing w:before="114" w:line="219" w:lineRule="auto"/>
        <w:ind w:left="420"/>
        <w:rPr>
          <w:rFonts w:ascii="宋体" w:hAnsi="宋体" w:eastAsia="宋体" w:cs="宋体"/>
          <w:sz w:val="21"/>
          <w:szCs w:val="21"/>
        </w:rPr>
      </w:pPr>
      <w:r>
        <w:rPr>
          <w:rFonts w:ascii="宋体" w:hAnsi="宋体" w:eastAsia="宋体" w:cs="宋体"/>
          <w:spacing w:val="1"/>
          <w:sz w:val="21"/>
          <w:szCs w:val="21"/>
        </w:rPr>
        <w:t>第一步：确定锅炉蒸汽或热水的产量。产量=锅炉的给水量一排污等损失量；</w:t>
      </w:r>
    </w:p>
    <w:p w14:paraId="67769B5E">
      <w:pPr>
        <w:spacing w:line="219" w:lineRule="auto"/>
        <w:rPr>
          <w:rFonts w:ascii="宋体" w:hAnsi="宋体" w:eastAsia="宋体" w:cs="宋体"/>
          <w:sz w:val="21"/>
          <w:szCs w:val="21"/>
        </w:rPr>
        <w:sectPr>
          <w:headerReference r:id="rId62" w:type="default"/>
          <w:pgSz w:w="11910" w:h="16840"/>
          <w:pgMar w:top="1109" w:right="1249" w:bottom="400" w:left="1239" w:header="838" w:footer="0" w:gutter="0"/>
          <w:cols w:space="720" w:num="1"/>
        </w:sectPr>
      </w:pPr>
    </w:p>
    <w:p w14:paraId="66EF33CA">
      <w:pPr>
        <w:pStyle w:val="2"/>
        <w:spacing w:line="297" w:lineRule="auto"/>
      </w:pPr>
    </w:p>
    <w:p w14:paraId="5AD259CC">
      <w:pPr>
        <w:spacing w:before="68" w:line="219" w:lineRule="auto"/>
        <w:ind w:left="420"/>
        <w:rPr>
          <w:rFonts w:ascii="宋体" w:hAnsi="宋体" w:eastAsia="宋体" w:cs="宋体"/>
          <w:sz w:val="21"/>
          <w:szCs w:val="21"/>
        </w:rPr>
      </w:pPr>
      <w:r>
        <w:rPr>
          <w:rFonts w:ascii="宋体" w:hAnsi="宋体" w:eastAsia="宋体" w:cs="宋体"/>
          <w:spacing w:val="-3"/>
          <w:sz w:val="21"/>
          <w:szCs w:val="21"/>
        </w:rPr>
        <w:t>第二步：确定蒸汽或热水的热焓。热焓的确定分以下几种情况：</w:t>
      </w:r>
    </w:p>
    <w:p w14:paraId="14736A6F">
      <w:pPr>
        <w:spacing w:before="98" w:line="393" w:lineRule="exact"/>
        <w:ind w:left="420"/>
        <w:rPr>
          <w:rFonts w:ascii="宋体" w:hAnsi="宋体" w:eastAsia="宋体" w:cs="宋体"/>
          <w:sz w:val="21"/>
          <w:szCs w:val="21"/>
        </w:rPr>
      </w:pPr>
      <w:r>
        <w:rPr>
          <w:rFonts w:ascii="宋体" w:hAnsi="宋体" w:eastAsia="宋体" w:cs="宋体"/>
          <w:spacing w:val="2"/>
          <w:position w:val="13"/>
          <w:sz w:val="21"/>
          <w:szCs w:val="21"/>
        </w:rPr>
        <w:t>(1)热水：假定出口温度为90℃,回水温度为20℃的情况下，闭路循环系统每千克热水的热焓按20</w:t>
      </w:r>
    </w:p>
    <w:p w14:paraId="6DD96109">
      <w:pPr>
        <w:spacing w:line="218" w:lineRule="auto"/>
        <w:rPr>
          <w:rFonts w:ascii="宋体" w:hAnsi="宋体" w:eastAsia="宋体" w:cs="宋体"/>
          <w:sz w:val="21"/>
          <w:szCs w:val="21"/>
        </w:rPr>
      </w:pPr>
      <w:r>
        <w:rPr>
          <w:rFonts w:ascii="宋体" w:hAnsi="宋体" w:eastAsia="宋体" w:cs="宋体"/>
          <w:spacing w:val="-3"/>
          <w:sz w:val="21"/>
          <w:szCs w:val="21"/>
        </w:rPr>
        <w:t>千卡计算，开路供热系统每千克热水的热焓按70千卡计算。</w:t>
      </w:r>
    </w:p>
    <w:p w14:paraId="502D5BDA">
      <w:pPr>
        <w:spacing w:before="95" w:line="221" w:lineRule="auto"/>
        <w:ind w:left="420"/>
        <w:rPr>
          <w:rFonts w:ascii="宋体" w:hAnsi="宋体" w:eastAsia="宋体" w:cs="宋体"/>
          <w:sz w:val="21"/>
          <w:szCs w:val="21"/>
        </w:rPr>
      </w:pPr>
      <w:r>
        <w:rPr>
          <w:rFonts w:ascii="宋体" w:hAnsi="宋体" w:eastAsia="宋体" w:cs="宋体"/>
          <w:spacing w:val="-10"/>
          <w:sz w:val="21"/>
          <w:szCs w:val="21"/>
        </w:rPr>
        <w:t>(2)饱和蒸汽：</w:t>
      </w:r>
    </w:p>
    <w:p w14:paraId="28C46CC5">
      <w:pPr>
        <w:spacing w:before="115" w:line="219" w:lineRule="auto"/>
        <w:ind w:left="420"/>
        <w:rPr>
          <w:rFonts w:ascii="宋体" w:hAnsi="宋体" w:eastAsia="宋体" w:cs="宋体"/>
          <w:sz w:val="21"/>
          <w:szCs w:val="21"/>
        </w:rPr>
      </w:pPr>
      <w:r>
        <w:rPr>
          <w:rFonts w:ascii="宋体" w:hAnsi="宋体" w:eastAsia="宋体" w:cs="宋体"/>
          <w:spacing w:val="5"/>
          <w:sz w:val="21"/>
          <w:szCs w:val="21"/>
        </w:rPr>
        <w:t>压力1-2.5千克/平方厘米，温度127℃以下，每千克蒸汽的热焓按620千卡计算；</w:t>
      </w:r>
    </w:p>
    <w:p w14:paraId="07A72EFA">
      <w:pPr>
        <w:spacing w:before="108" w:line="216" w:lineRule="auto"/>
        <w:ind w:left="420"/>
        <w:rPr>
          <w:rFonts w:ascii="宋体" w:hAnsi="宋体" w:eastAsia="宋体" w:cs="宋体"/>
          <w:sz w:val="21"/>
          <w:szCs w:val="21"/>
        </w:rPr>
      </w:pPr>
      <w:r>
        <w:rPr>
          <w:rFonts w:ascii="宋体" w:hAnsi="宋体" w:eastAsia="宋体" w:cs="宋体"/>
          <w:spacing w:val="7"/>
          <w:sz w:val="21"/>
          <w:szCs w:val="21"/>
        </w:rPr>
        <w:t>压力3-7千克/平方厘米，温度135-165℃,每千克蒸汽的热焓按630千卡计算；</w:t>
      </w:r>
    </w:p>
    <w:p w14:paraId="4AE04915">
      <w:pPr>
        <w:spacing w:before="117" w:line="219" w:lineRule="auto"/>
        <w:ind w:left="420"/>
        <w:rPr>
          <w:rFonts w:ascii="宋体" w:hAnsi="宋体" w:eastAsia="宋体" w:cs="宋体"/>
          <w:sz w:val="21"/>
          <w:szCs w:val="21"/>
        </w:rPr>
      </w:pPr>
      <w:r>
        <w:rPr>
          <w:rFonts w:ascii="宋体" w:hAnsi="宋体" w:eastAsia="宋体" w:cs="宋体"/>
          <w:spacing w:val="6"/>
          <w:sz w:val="21"/>
          <w:szCs w:val="21"/>
        </w:rPr>
        <w:t>压力8千克/平方厘米，温度170℃以上，每千克蒸汽的热焓按640千卡计算。</w:t>
      </w:r>
    </w:p>
    <w:p w14:paraId="3A5E3842">
      <w:pPr>
        <w:spacing w:before="101" w:line="219" w:lineRule="auto"/>
        <w:ind w:left="420"/>
        <w:rPr>
          <w:rFonts w:ascii="宋体" w:hAnsi="宋体" w:eastAsia="宋体" w:cs="宋体"/>
          <w:sz w:val="21"/>
          <w:szCs w:val="21"/>
        </w:rPr>
      </w:pPr>
      <w:r>
        <w:rPr>
          <w:rFonts w:ascii="宋体" w:hAnsi="宋体" w:eastAsia="宋体" w:cs="宋体"/>
          <w:spacing w:val="2"/>
          <w:sz w:val="21"/>
          <w:szCs w:val="21"/>
        </w:rPr>
        <w:t>(3)过热蒸汽：压力150千克/平方厘米</w:t>
      </w:r>
    </w:p>
    <w:p w14:paraId="2467C598">
      <w:pPr>
        <w:spacing w:before="101" w:line="219" w:lineRule="auto"/>
        <w:ind w:left="420"/>
        <w:rPr>
          <w:rFonts w:ascii="宋体" w:hAnsi="宋体" w:eastAsia="宋体" w:cs="宋体"/>
          <w:sz w:val="21"/>
          <w:szCs w:val="21"/>
        </w:rPr>
      </w:pPr>
      <w:r>
        <w:rPr>
          <w:rFonts w:ascii="宋体" w:hAnsi="宋体" w:eastAsia="宋体" w:cs="宋体"/>
          <w:spacing w:val="1"/>
          <w:sz w:val="21"/>
          <w:szCs w:val="21"/>
        </w:rPr>
        <w:t>200℃以下，每千克蒸汽的热焓按650千卡计算；</w:t>
      </w:r>
    </w:p>
    <w:p w14:paraId="32156A22">
      <w:pPr>
        <w:spacing w:before="108" w:line="216" w:lineRule="auto"/>
        <w:ind w:left="420"/>
        <w:rPr>
          <w:rFonts w:ascii="宋体" w:hAnsi="宋体" w:eastAsia="宋体" w:cs="宋体"/>
          <w:sz w:val="21"/>
          <w:szCs w:val="21"/>
        </w:rPr>
      </w:pPr>
      <w:r>
        <w:rPr>
          <w:rFonts w:ascii="宋体" w:hAnsi="宋体" w:eastAsia="宋体" w:cs="宋体"/>
          <w:spacing w:val="5"/>
          <w:sz w:val="21"/>
          <w:szCs w:val="21"/>
        </w:rPr>
        <w:t>220-260℃,每千克蒸汽的热焓按680千卡计算；</w:t>
      </w:r>
    </w:p>
    <w:p w14:paraId="26DF3BFF">
      <w:pPr>
        <w:spacing w:before="114" w:line="216" w:lineRule="auto"/>
        <w:ind w:left="420"/>
        <w:rPr>
          <w:rFonts w:ascii="宋体" w:hAnsi="宋体" w:eastAsia="宋体" w:cs="宋体"/>
          <w:sz w:val="21"/>
          <w:szCs w:val="21"/>
        </w:rPr>
      </w:pPr>
      <w:r>
        <w:rPr>
          <w:rFonts w:ascii="宋体" w:hAnsi="宋体" w:eastAsia="宋体" w:cs="宋体"/>
          <w:spacing w:val="6"/>
          <w:sz w:val="21"/>
          <w:szCs w:val="21"/>
        </w:rPr>
        <w:t>280-320℃,每千克蒸汽的热焓按700千卡计算；</w:t>
      </w:r>
    </w:p>
    <w:p w14:paraId="2FD91897">
      <w:pPr>
        <w:spacing w:before="114" w:line="216" w:lineRule="auto"/>
        <w:ind w:left="420"/>
        <w:rPr>
          <w:rFonts w:ascii="宋体" w:hAnsi="宋体" w:eastAsia="宋体" w:cs="宋体"/>
          <w:sz w:val="21"/>
          <w:szCs w:val="21"/>
        </w:rPr>
      </w:pPr>
      <w:r>
        <w:rPr>
          <w:rFonts w:ascii="宋体" w:hAnsi="宋体" w:eastAsia="宋体" w:cs="宋体"/>
          <w:spacing w:val="7"/>
          <w:sz w:val="21"/>
          <w:szCs w:val="21"/>
        </w:rPr>
        <w:t>350-500℃,每千克蒸汽的热焓按750千卡</w:t>
      </w:r>
      <w:r>
        <w:rPr>
          <w:rFonts w:ascii="宋体" w:hAnsi="宋体" w:eastAsia="宋体" w:cs="宋体"/>
          <w:spacing w:val="6"/>
          <w:sz w:val="21"/>
          <w:szCs w:val="21"/>
        </w:rPr>
        <w:t>计算。</w:t>
      </w:r>
    </w:p>
    <w:p w14:paraId="4952375E">
      <w:pPr>
        <w:spacing w:before="128" w:line="219" w:lineRule="auto"/>
        <w:ind w:left="420"/>
        <w:rPr>
          <w:rFonts w:ascii="宋体" w:hAnsi="宋体" w:eastAsia="宋体" w:cs="宋体"/>
          <w:sz w:val="21"/>
          <w:szCs w:val="21"/>
        </w:rPr>
      </w:pPr>
      <w:r>
        <w:rPr>
          <w:rFonts w:ascii="宋体" w:hAnsi="宋体" w:eastAsia="宋体" w:cs="宋体"/>
          <w:spacing w:val="-2"/>
          <w:sz w:val="21"/>
          <w:szCs w:val="21"/>
        </w:rPr>
        <w:t>第三步：根据确定的热焓，乘以产量，所得值即为热力的量。</w:t>
      </w:r>
    </w:p>
    <w:p w14:paraId="6DF6A8BA">
      <w:pPr>
        <w:spacing w:before="121" w:line="263" w:lineRule="auto"/>
        <w:ind w:right="73" w:firstLine="420"/>
        <w:rPr>
          <w:rFonts w:ascii="宋体" w:hAnsi="宋体" w:eastAsia="宋体" w:cs="宋体"/>
          <w:sz w:val="21"/>
          <w:szCs w:val="21"/>
        </w:rPr>
      </w:pPr>
      <w:r>
        <w:rPr>
          <w:rFonts w:ascii="宋体" w:hAnsi="宋体" w:eastAsia="宋体" w:cs="宋体"/>
          <w:spacing w:val="2"/>
          <w:sz w:val="21"/>
          <w:szCs w:val="21"/>
        </w:rPr>
        <w:t>对于中小企业，若以上条件均不具备，如果锅</w:t>
      </w:r>
      <w:r>
        <w:rPr>
          <w:rFonts w:ascii="宋体" w:hAnsi="宋体" w:eastAsia="宋体" w:cs="宋体"/>
          <w:spacing w:val="1"/>
          <w:sz w:val="21"/>
          <w:szCs w:val="21"/>
        </w:rPr>
        <w:t>炉的功率在0.7兆瓦左右，1吨/小时的热水或蒸汽按</w:t>
      </w:r>
      <w:r>
        <w:rPr>
          <w:rFonts w:ascii="宋体" w:hAnsi="宋体" w:eastAsia="宋体" w:cs="宋体"/>
          <w:sz w:val="21"/>
          <w:szCs w:val="21"/>
        </w:rPr>
        <w:t xml:space="preserve"> </w:t>
      </w:r>
      <w:r>
        <w:rPr>
          <w:rFonts w:ascii="宋体" w:hAnsi="宋体" w:eastAsia="宋体" w:cs="宋体"/>
          <w:spacing w:val="3"/>
          <w:sz w:val="21"/>
          <w:szCs w:val="21"/>
        </w:rPr>
        <w:t>相当于60万千卡的热力计算。</w:t>
      </w:r>
    </w:p>
    <w:p w14:paraId="023B4F3E">
      <w:pPr>
        <w:spacing w:before="117" w:line="222" w:lineRule="auto"/>
        <w:ind w:left="423"/>
        <w:rPr>
          <w:rFonts w:ascii="宋体" w:hAnsi="宋体" w:eastAsia="宋体" w:cs="宋体"/>
          <w:sz w:val="21"/>
          <w:szCs w:val="21"/>
        </w:rPr>
      </w:pPr>
      <w:r>
        <w:rPr>
          <w:rFonts w:ascii="黑体" w:hAnsi="黑体" w:eastAsia="黑体" w:cs="黑体"/>
          <w:b/>
          <w:bCs/>
          <w:spacing w:val="-1"/>
          <w:sz w:val="21"/>
          <w:szCs w:val="21"/>
        </w:rPr>
        <w:t>太阳能供热</w:t>
      </w:r>
      <w:r>
        <w:rPr>
          <w:rFonts w:ascii="黑体" w:hAnsi="黑体" w:eastAsia="黑体" w:cs="黑体"/>
          <w:spacing w:val="-1"/>
          <w:sz w:val="21"/>
          <w:szCs w:val="21"/>
        </w:rPr>
        <w:t xml:space="preserve">  </w:t>
      </w:r>
      <w:r>
        <w:rPr>
          <w:rFonts w:ascii="宋体" w:hAnsi="宋体" w:eastAsia="宋体" w:cs="宋体"/>
          <w:spacing w:val="-1"/>
          <w:sz w:val="21"/>
          <w:szCs w:val="21"/>
        </w:rPr>
        <w:t>指利用太阳能集热装置收集太阳辐射并转化为热</w:t>
      </w:r>
      <w:r>
        <w:rPr>
          <w:rFonts w:ascii="宋体" w:hAnsi="宋体" w:eastAsia="宋体" w:cs="宋体"/>
          <w:spacing w:val="-2"/>
          <w:sz w:val="21"/>
          <w:szCs w:val="21"/>
        </w:rPr>
        <w:t>能进行供热。</w:t>
      </w:r>
    </w:p>
    <w:p w14:paraId="5E2357DA">
      <w:pPr>
        <w:spacing w:before="108" w:line="269" w:lineRule="auto"/>
        <w:ind w:right="74" w:firstLine="422"/>
        <w:rPr>
          <w:rFonts w:ascii="宋体" w:hAnsi="宋体" w:eastAsia="宋体" w:cs="宋体"/>
          <w:sz w:val="21"/>
          <w:szCs w:val="21"/>
        </w:rPr>
      </w:pPr>
      <w:r>
        <w:rPr>
          <w:rFonts w:ascii="黑体" w:hAnsi="黑体" w:eastAsia="黑体" w:cs="黑体"/>
          <w:b/>
          <w:bCs/>
          <w:spacing w:val="-2"/>
          <w:sz w:val="21"/>
          <w:szCs w:val="21"/>
        </w:rPr>
        <w:t>生物质能供热</w:t>
      </w:r>
      <w:r>
        <w:rPr>
          <w:rFonts w:ascii="黑体" w:hAnsi="黑体" w:eastAsia="黑体" w:cs="黑体"/>
          <w:spacing w:val="-2"/>
          <w:sz w:val="21"/>
          <w:szCs w:val="21"/>
        </w:rPr>
        <w:t xml:space="preserve">  </w:t>
      </w:r>
      <w:r>
        <w:rPr>
          <w:rFonts w:ascii="宋体" w:hAnsi="宋体" w:eastAsia="宋体" w:cs="宋体"/>
          <w:spacing w:val="-2"/>
          <w:sz w:val="21"/>
          <w:szCs w:val="21"/>
        </w:rPr>
        <w:t>指利用生物质成型燃料、生物质液体燃料等燃烧时产生的热能进行供热。如利用沼</w:t>
      </w:r>
      <w:r>
        <w:rPr>
          <w:rFonts w:ascii="宋体" w:hAnsi="宋体" w:eastAsia="宋体" w:cs="宋体"/>
          <w:spacing w:val="18"/>
          <w:sz w:val="21"/>
          <w:szCs w:val="21"/>
        </w:rPr>
        <w:t xml:space="preserve"> </w:t>
      </w:r>
      <w:r>
        <w:rPr>
          <w:rFonts w:ascii="宋体" w:hAnsi="宋体" w:eastAsia="宋体" w:cs="宋体"/>
          <w:spacing w:val="-1"/>
          <w:sz w:val="21"/>
          <w:szCs w:val="21"/>
        </w:rPr>
        <w:t>气、薪柴、生物乙醇、生物柴油、农林废弃物再利用加工而成的成型燃料等供热都属于生物质能供热。</w:t>
      </w:r>
    </w:p>
    <w:p w14:paraId="573DE25B">
      <w:pPr>
        <w:spacing w:before="107" w:line="285" w:lineRule="auto"/>
        <w:ind w:right="92" w:firstLine="423"/>
        <w:rPr>
          <w:rFonts w:ascii="宋体" w:hAnsi="宋体" w:eastAsia="宋体" w:cs="宋体"/>
          <w:sz w:val="21"/>
          <w:szCs w:val="21"/>
        </w:rPr>
      </w:pPr>
      <w:r>
        <w:rPr>
          <w:rFonts w:ascii="黑体" w:hAnsi="黑体" w:eastAsia="黑体" w:cs="黑体"/>
          <w:b/>
          <w:bCs/>
          <w:spacing w:val="-1"/>
          <w:sz w:val="21"/>
          <w:szCs w:val="21"/>
        </w:rPr>
        <w:t>地热能供热</w:t>
      </w:r>
      <w:r>
        <w:rPr>
          <w:rFonts w:ascii="黑体" w:hAnsi="黑体" w:eastAsia="黑体" w:cs="黑体"/>
          <w:spacing w:val="91"/>
          <w:sz w:val="21"/>
          <w:szCs w:val="21"/>
        </w:rPr>
        <w:t xml:space="preserve"> </w:t>
      </w:r>
      <w:r>
        <w:rPr>
          <w:rFonts w:ascii="宋体" w:hAnsi="宋体" w:eastAsia="宋体" w:cs="宋体"/>
          <w:spacing w:val="-1"/>
          <w:sz w:val="21"/>
          <w:szCs w:val="21"/>
        </w:rPr>
        <w:t>指利用地热能为主要热源进行供热。</w:t>
      </w:r>
      <w:r>
        <w:rPr>
          <w:rFonts w:ascii="宋体" w:hAnsi="宋体" w:eastAsia="宋体" w:cs="宋体"/>
          <w:spacing w:val="-2"/>
          <w:sz w:val="21"/>
          <w:szCs w:val="21"/>
        </w:rPr>
        <w:t>地热供热系统按照地热流进入供热系统的方式可</w:t>
      </w:r>
      <w:r>
        <w:rPr>
          <w:rFonts w:ascii="宋体" w:hAnsi="宋体" w:eastAsia="宋体" w:cs="宋体"/>
          <w:sz w:val="21"/>
          <w:szCs w:val="21"/>
        </w:rPr>
        <w:t xml:space="preserve"> </w:t>
      </w:r>
      <w:r>
        <w:rPr>
          <w:rFonts w:ascii="宋体" w:hAnsi="宋体" w:eastAsia="宋体" w:cs="宋体"/>
          <w:spacing w:val="-1"/>
          <w:sz w:val="21"/>
          <w:szCs w:val="21"/>
        </w:rPr>
        <w:t>分为直接供热和间接供热。直接供热即把地热流直接引入供热系统，间</w:t>
      </w:r>
      <w:r>
        <w:rPr>
          <w:rFonts w:ascii="宋体" w:hAnsi="宋体" w:eastAsia="宋体" w:cs="宋体"/>
          <w:spacing w:val="-2"/>
          <w:sz w:val="21"/>
          <w:szCs w:val="21"/>
        </w:rPr>
        <w:t>接供热即地热流通过换热器将热</w:t>
      </w:r>
      <w:r>
        <w:rPr>
          <w:rFonts w:ascii="宋体" w:hAnsi="宋体" w:eastAsia="宋体" w:cs="宋体"/>
          <w:sz w:val="21"/>
          <w:szCs w:val="21"/>
        </w:rPr>
        <w:t xml:space="preserve"> </w:t>
      </w:r>
      <w:r>
        <w:rPr>
          <w:rFonts w:ascii="宋体" w:hAnsi="宋体" w:eastAsia="宋体" w:cs="宋体"/>
          <w:spacing w:val="-1"/>
          <w:sz w:val="21"/>
          <w:szCs w:val="21"/>
        </w:rPr>
        <w:t>能传递给供热系统的循环水，地热流不直接进入供热系统。热量通常以热水或蒸汽的形式提取</w:t>
      </w:r>
      <w:r>
        <w:rPr>
          <w:rFonts w:ascii="宋体" w:hAnsi="宋体" w:eastAsia="宋体" w:cs="宋体"/>
          <w:spacing w:val="-2"/>
          <w:sz w:val="21"/>
          <w:szCs w:val="21"/>
        </w:rPr>
        <w:t>出来。</w:t>
      </w:r>
    </w:p>
    <w:p w14:paraId="02FDC946">
      <w:pPr>
        <w:spacing w:before="97" w:line="374" w:lineRule="exact"/>
        <w:ind w:left="422"/>
        <w:rPr>
          <w:rFonts w:ascii="宋体" w:hAnsi="宋体" w:eastAsia="宋体" w:cs="宋体"/>
          <w:sz w:val="21"/>
          <w:szCs w:val="21"/>
        </w:rPr>
      </w:pPr>
      <w:r>
        <w:rPr>
          <w:rFonts w:ascii="黑体" w:hAnsi="黑体" w:eastAsia="黑体" w:cs="黑体"/>
          <w:b/>
          <w:bCs/>
          <w:spacing w:val="-2"/>
          <w:position w:val="12"/>
          <w:sz w:val="21"/>
          <w:szCs w:val="21"/>
        </w:rPr>
        <w:t>化石燃料供热</w:t>
      </w:r>
      <w:r>
        <w:rPr>
          <w:rFonts w:ascii="黑体" w:hAnsi="黑体" w:eastAsia="黑体" w:cs="黑体"/>
          <w:spacing w:val="-2"/>
          <w:position w:val="12"/>
          <w:sz w:val="21"/>
          <w:szCs w:val="21"/>
        </w:rPr>
        <w:t xml:space="preserve">  </w:t>
      </w:r>
      <w:r>
        <w:rPr>
          <w:rFonts w:ascii="宋体" w:hAnsi="宋体" w:eastAsia="宋体" w:cs="宋体"/>
          <w:spacing w:val="-2"/>
          <w:position w:val="12"/>
          <w:sz w:val="21"/>
          <w:szCs w:val="21"/>
        </w:rPr>
        <w:t>指利用煤炭及煤炭制品、石油及石油制品、天然气及天然气加工制品等化石燃料燃</w:t>
      </w:r>
    </w:p>
    <w:p w14:paraId="2E3E2C04">
      <w:pPr>
        <w:spacing w:before="1" w:line="218" w:lineRule="auto"/>
        <w:rPr>
          <w:rFonts w:ascii="宋体" w:hAnsi="宋体" w:eastAsia="宋体" w:cs="宋体"/>
          <w:sz w:val="21"/>
          <w:szCs w:val="21"/>
        </w:rPr>
      </w:pPr>
      <w:r>
        <w:rPr>
          <w:rFonts w:ascii="宋体" w:hAnsi="宋体" w:eastAsia="宋体" w:cs="宋体"/>
          <w:spacing w:val="-1"/>
          <w:sz w:val="21"/>
          <w:szCs w:val="21"/>
        </w:rPr>
        <w:t>烧时产生的热能进行供热。包括回收利用的高炉煤</w:t>
      </w:r>
      <w:r>
        <w:rPr>
          <w:rFonts w:ascii="宋体" w:hAnsi="宋体" w:eastAsia="宋体" w:cs="宋体"/>
          <w:spacing w:val="-2"/>
          <w:sz w:val="21"/>
          <w:szCs w:val="21"/>
        </w:rPr>
        <w:t>气、转炉煤气等。</w:t>
      </w:r>
    </w:p>
    <w:p w14:paraId="670CBE79">
      <w:pPr>
        <w:spacing w:before="97" w:line="220" w:lineRule="auto"/>
        <w:ind w:left="422"/>
        <w:rPr>
          <w:rFonts w:ascii="宋体" w:hAnsi="宋体" w:eastAsia="宋体" w:cs="宋体"/>
          <w:sz w:val="21"/>
          <w:szCs w:val="21"/>
        </w:rPr>
      </w:pPr>
      <w:r>
        <w:rPr>
          <w:rFonts w:ascii="黑体" w:hAnsi="黑体" w:eastAsia="黑体" w:cs="黑体"/>
          <w:b/>
          <w:bCs/>
          <w:spacing w:val="-2"/>
          <w:sz w:val="21"/>
          <w:szCs w:val="21"/>
        </w:rPr>
        <w:t>废料燃烧供热</w:t>
      </w:r>
      <w:r>
        <w:rPr>
          <w:rFonts w:ascii="黑体" w:hAnsi="黑体" w:eastAsia="黑体" w:cs="黑体"/>
          <w:spacing w:val="-2"/>
          <w:sz w:val="21"/>
          <w:szCs w:val="21"/>
        </w:rPr>
        <w:t xml:space="preserve">  </w:t>
      </w:r>
      <w:r>
        <w:rPr>
          <w:rFonts w:ascii="宋体" w:hAnsi="宋体" w:eastAsia="宋体" w:cs="宋体"/>
          <w:spacing w:val="-2"/>
          <w:sz w:val="21"/>
          <w:szCs w:val="21"/>
        </w:rPr>
        <w:t>指利用工业废料、城市生活垃圾等燃烧时产生的热能进行供热。</w:t>
      </w:r>
    </w:p>
    <w:p w14:paraId="05224327">
      <w:pPr>
        <w:spacing w:before="121" w:line="222" w:lineRule="auto"/>
        <w:ind w:left="423"/>
        <w:rPr>
          <w:rFonts w:ascii="宋体" w:hAnsi="宋体" w:eastAsia="宋体" w:cs="宋体"/>
          <w:sz w:val="21"/>
          <w:szCs w:val="21"/>
        </w:rPr>
      </w:pPr>
      <w:r>
        <w:rPr>
          <w:rFonts w:ascii="黑体" w:hAnsi="黑体" w:eastAsia="黑体" w:cs="黑体"/>
          <w:b/>
          <w:bCs/>
          <w:spacing w:val="-2"/>
          <w:sz w:val="21"/>
          <w:szCs w:val="21"/>
        </w:rPr>
        <w:t>电热锅炉供热</w:t>
      </w:r>
      <w:r>
        <w:rPr>
          <w:rFonts w:ascii="黑体" w:hAnsi="黑体" w:eastAsia="黑体" w:cs="黑体"/>
          <w:spacing w:val="85"/>
          <w:sz w:val="21"/>
          <w:szCs w:val="21"/>
        </w:rPr>
        <w:t xml:space="preserve"> </w:t>
      </w:r>
      <w:r>
        <w:rPr>
          <w:rFonts w:ascii="宋体" w:hAnsi="宋体" w:eastAsia="宋体" w:cs="宋体"/>
          <w:spacing w:val="-2"/>
          <w:sz w:val="21"/>
          <w:szCs w:val="21"/>
        </w:rPr>
        <w:t>指以电力为能源并将其转化为热能进行供热。</w:t>
      </w:r>
    </w:p>
    <w:p w14:paraId="38D22189">
      <w:pPr>
        <w:spacing w:before="97" w:line="374" w:lineRule="exact"/>
        <w:ind w:left="423"/>
        <w:rPr>
          <w:rFonts w:ascii="宋体" w:hAnsi="宋体" w:eastAsia="宋体" w:cs="宋体"/>
          <w:sz w:val="21"/>
          <w:szCs w:val="21"/>
        </w:rPr>
      </w:pPr>
      <w:r>
        <w:rPr>
          <w:rFonts w:ascii="黑体" w:hAnsi="黑体" w:eastAsia="黑体" w:cs="黑体"/>
          <w:b/>
          <w:bCs/>
          <w:spacing w:val="-1"/>
          <w:position w:val="12"/>
          <w:sz w:val="21"/>
          <w:szCs w:val="21"/>
        </w:rPr>
        <w:t>热泵供热</w:t>
      </w:r>
      <w:r>
        <w:rPr>
          <w:rFonts w:ascii="黑体" w:hAnsi="黑体" w:eastAsia="黑体" w:cs="黑体"/>
          <w:spacing w:val="92"/>
          <w:position w:val="12"/>
          <w:sz w:val="21"/>
          <w:szCs w:val="21"/>
        </w:rPr>
        <w:t xml:space="preserve"> </w:t>
      </w:r>
      <w:r>
        <w:rPr>
          <w:rFonts w:ascii="宋体" w:hAnsi="宋体" w:eastAsia="宋体" w:cs="宋体"/>
          <w:spacing w:val="-1"/>
          <w:position w:val="12"/>
          <w:sz w:val="21"/>
          <w:szCs w:val="21"/>
        </w:rPr>
        <w:t>指通过将低温热源的热能转移到高温热源的装</w:t>
      </w:r>
      <w:r>
        <w:rPr>
          <w:rFonts w:ascii="宋体" w:hAnsi="宋体" w:eastAsia="宋体" w:cs="宋体"/>
          <w:spacing w:val="-2"/>
          <w:position w:val="12"/>
          <w:sz w:val="21"/>
          <w:szCs w:val="21"/>
        </w:rPr>
        <w:t>置来实现供热。包括地源、空气源、水源</w:t>
      </w:r>
    </w:p>
    <w:p w14:paraId="57DB4CA6">
      <w:pPr>
        <w:spacing w:before="1" w:line="219" w:lineRule="auto"/>
        <w:rPr>
          <w:rFonts w:ascii="宋体" w:hAnsi="宋体" w:eastAsia="宋体" w:cs="宋体"/>
          <w:sz w:val="21"/>
          <w:szCs w:val="21"/>
        </w:rPr>
      </w:pPr>
      <w:r>
        <w:rPr>
          <w:rFonts w:ascii="宋体" w:hAnsi="宋体" w:eastAsia="宋体" w:cs="宋体"/>
          <w:spacing w:val="-9"/>
          <w:sz w:val="21"/>
          <w:szCs w:val="21"/>
        </w:rPr>
        <w:t>热泵等。</w:t>
      </w:r>
    </w:p>
    <w:p w14:paraId="263A00B1">
      <w:pPr>
        <w:spacing w:before="97" w:line="222" w:lineRule="auto"/>
        <w:ind w:left="423"/>
        <w:rPr>
          <w:rFonts w:ascii="宋体" w:hAnsi="宋体" w:eastAsia="宋体" w:cs="宋体"/>
          <w:sz w:val="21"/>
          <w:szCs w:val="21"/>
        </w:rPr>
      </w:pPr>
      <w:r>
        <w:rPr>
          <w:rFonts w:ascii="黑体" w:hAnsi="黑体" w:eastAsia="黑体" w:cs="黑体"/>
          <w:b/>
          <w:bCs/>
          <w:spacing w:val="-2"/>
          <w:sz w:val="21"/>
          <w:szCs w:val="21"/>
        </w:rPr>
        <w:t>余热余压供热</w:t>
      </w:r>
      <w:r>
        <w:rPr>
          <w:rFonts w:ascii="黑体" w:hAnsi="黑体" w:eastAsia="黑体" w:cs="黑体"/>
          <w:spacing w:val="-2"/>
          <w:sz w:val="21"/>
          <w:szCs w:val="21"/>
        </w:rPr>
        <w:t xml:space="preserve">  </w:t>
      </w:r>
      <w:r>
        <w:rPr>
          <w:rFonts w:ascii="宋体" w:hAnsi="宋体" w:eastAsia="宋体" w:cs="宋体"/>
          <w:spacing w:val="-2"/>
          <w:sz w:val="21"/>
          <w:szCs w:val="21"/>
        </w:rPr>
        <w:t>指对企业生产过程中释放出多余的副产热能、压差能通过热交换等方式进行供热。</w:t>
      </w:r>
    </w:p>
    <w:p w14:paraId="3FB62672">
      <w:pPr>
        <w:spacing w:before="107" w:line="269" w:lineRule="auto"/>
        <w:ind w:right="94" w:firstLine="423"/>
        <w:rPr>
          <w:rFonts w:ascii="宋体" w:hAnsi="宋体" w:eastAsia="宋体" w:cs="宋体"/>
          <w:sz w:val="21"/>
          <w:szCs w:val="21"/>
        </w:rPr>
      </w:pPr>
      <w:r>
        <w:rPr>
          <w:rFonts w:ascii="黑体" w:hAnsi="黑体" w:eastAsia="黑体" w:cs="黑体"/>
          <w:b/>
          <w:bCs/>
          <w:spacing w:val="-2"/>
          <w:sz w:val="21"/>
          <w:szCs w:val="21"/>
        </w:rPr>
        <w:t>其他能源供热</w:t>
      </w:r>
      <w:r>
        <w:rPr>
          <w:rFonts w:ascii="黑体" w:hAnsi="黑体" w:eastAsia="黑体" w:cs="黑体"/>
          <w:spacing w:val="112"/>
          <w:sz w:val="21"/>
          <w:szCs w:val="21"/>
        </w:rPr>
        <w:t xml:space="preserve"> </w:t>
      </w:r>
      <w:r>
        <w:rPr>
          <w:rFonts w:ascii="宋体" w:hAnsi="宋体" w:eastAsia="宋体" w:cs="宋体"/>
          <w:spacing w:val="-2"/>
          <w:sz w:val="21"/>
          <w:szCs w:val="21"/>
        </w:rPr>
        <w:t>指未包含在制度中明确列示的各类供热方式。包括利用核能等其他形式的能源进行</w:t>
      </w:r>
      <w:r>
        <w:rPr>
          <w:rFonts w:ascii="宋体" w:hAnsi="宋体" w:eastAsia="宋体" w:cs="宋体"/>
          <w:sz w:val="21"/>
          <w:szCs w:val="21"/>
        </w:rPr>
        <w:t xml:space="preserve"> </w:t>
      </w:r>
      <w:r>
        <w:rPr>
          <w:rFonts w:ascii="宋体" w:hAnsi="宋体" w:eastAsia="宋体" w:cs="宋体"/>
          <w:spacing w:val="-9"/>
          <w:sz w:val="21"/>
          <w:szCs w:val="21"/>
        </w:rPr>
        <w:t>供热。</w:t>
      </w:r>
    </w:p>
    <w:p w14:paraId="299BBA12">
      <w:pPr>
        <w:spacing w:before="109" w:line="222" w:lineRule="auto"/>
        <w:jc w:val="right"/>
        <w:rPr>
          <w:rFonts w:ascii="宋体" w:hAnsi="宋体" w:eastAsia="宋体" w:cs="宋体"/>
          <w:sz w:val="21"/>
          <w:szCs w:val="21"/>
        </w:rPr>
      </w:pPr>
      <w:r>
        <w:rPr>
          <w:rFonts w:ascii="黑体" w:hAnsi="黑体" w:eastAsia="黑体" w:cs="黑体"/>
          <w:b/>
          <w:bCs/>
          <w:spacing w:val="-4"/>
          <w:sz w:val="21"/>
          <w:szCs w:val="21"/>
        </w:rPr>
        <w:t>氢能</w:t>
      </w:r>
      <w:r>
        <w:rPr>
          <w:rFonts w:ascii="黑体" w:hAnsi="黑体" w:eastAsia="黑体" w:cs="黑体"/>
          <w:spacing w:val="93"/>
          <w:sz w:val="21"/>
          <w:szCs w:val="21"/>
        </w:rPr>
        <w:t xml:space="preserve"> </w:t>
      </w:r>
      <w:r>
        <w:rPr>
          <w:rFonts w:ascii="宋体" w:hAnsi="宋体" w:eastAsia="宋体" w:cs="宋体"/>
          <w:spacing w:val="-4"/>
          <w:sz w:val="21"/>
          <w:szCs w:val="21"/>
        </w:rPr>
        <w:t>指氢在物理与化学变化过程中释放的能量。可用于发电、车辆和飞行器用燃料、家用燃料等。</w:t>
      </w:r>
    </w:p>
    <w:p w14:paraId="422419EE">
      <w:pPr>
        <w:spacing w:before="107" w:line="222" w:lineRule="auto"/>
        <w:ind w:left="422"/>
        <w:rPr>
          <w:rFonts w:ascii="宋体" w:hAnsi="宋体" w:eastAsia="宋体" w:cs="宋体"/>
          <w:sz w:val="21"/>
          <w:szCs w:val="21"/>
        </w:rPr>
      </w:pPr>
      <w:r>
        <w:rPr>
          <w:rFonts w:ascii="黑体" w:hAnsi="黑体" w:eastAsia="黑体" w:cs="黑体"/>
          <w:b/>
          <w:bCs/>
          <w:spacing w:val="-2"/>
          <w:sz w:val="21"/>
          <w:szCs w:val="21"/>
        </w:rPr>
        <w:t>氢气</w:t>
      </w:r>
      <w:r>
        <w:rPr>
          <w:rFonts w:ascii="黑体" w:hAnsi="黑体" w:eastAsia="黑体" w:cs="黑体"/>
          <w:spacing w:val="-2"/>
          <w:sz w:val="21"/>
          <w:szCs w:val="21"/>
        </w:rPr>
        <w:t xml:space="preserve">  </w:t>
      </w:r>
      <w:r>
        <w:rPr>
          <w:rFonts w:ascii="宋体" w:hAnsi="宋体" w:eastAsia="宋体" w:cs="宋体"/>
          <w:spacing w:val="-2"/>
          <w:sz w:val="21"/>
          <w:szCs w:val="21"/>
        </w:rPr>
        <w:t>常温常压下，是一种极易燃烧的气体，无色透明、无臭无味且难溶于水。</w:t>
      </w:r>
    </w:p>
    <w:p w14:paraId="363CA0ED">
      <w:pPr>
        <w:spacing w:before="106" w:line="270" w:lineRule="auto"/>
        <w:ind w:right="40" w:firstLine="422"/>
        <w:rPr>
          <w:rFonts w:ascii="宋体" w:hAnsi="宋体" w:eastAsia="宋体" w:cs="宋体"/>
          <w:sz w:val="21"/>
          <w:szCs w:val="21"/>
        </w:rPr>
      </w:pPr>
      <w:r>
        <w:rPr>
          <w:rFonts w:ascii="黑体" w:hAnsi="黑体" w:eastAsia="黑体" w:cs="黑体"/>
          <w:b/>
          <w:bCs/>
          <w:spacing w:val="-5"/>
          <w:sz w:val="21"/>
          <w:szCs w:val="21"/>
        </w:rPr>
        <w:t>煤制氢</w:t>
      </w:r>
      <w:r>
        <w:rPr>
          <w:rFonts w:ascii="黑体" w:hAnsi="黑体" w:eastAsia="黑体" w:cs="黑体"/>
          <w:spacing w:val="-5"/>
          <w:sz w:val="21"/>
          <w:szCs w:val="21"/>
        </w:rPr>
        <w:t xml:space="preserve">  </w:t>
      </w:r>
      <w:r>
        <w:rPr>
          <w:rFonts w:ascii="宋体" w:hAnsi="宋体" w:eastAsia="宋体" w:cs="宋体"/>
          <w:spacing w:val="-5"/>
          <w:sz w:val="21"/>
          <w:szCs w:val="21"/>
        </w:rPr>
        <w:t>包括煤的焦化制氢和煤气化制氢，以气化制氢为主，指将煤炭或焦炭原料转化为粗合成气，</w:t>
      </w:r>
      <w:r>
        <w:rPr>
          <w:rFonts w:ascii="宋体" w:hAnsi="宋体" w:eastAsia="宋体" w:cs="宋体"/>
          <w:sz w:val="21"/>
          <w:szCs w:val="21"/>
        </w:rPr>
        <w:t xml:space="preserve"> </w:t>
      </w:r>
      <w:r>
        <w:rPr>
          <w:rFonts w:ascii="宋体" w:hAnsi="宋体" w:eastAsia="宋体" w:cs="宋体"/>
          <w:spacing w:val="-6"/>
          <w:sz w:val="21"/>
          <w:szCs w:val="21"/>
        </w:rPr>
        <w:t>再产生氢气。</w:t>
      </w:r>
    </w:p>
    <w:p w14:paraId="6C285B41">
      <w:pPr>
        <w:spacing w:before="116" w:line="222" w:lineRule="auto"/>
        <w:ind w:left="423"/>
        <w:rPr>
          <w:rFonts w:ascii="宋体" w:hAnsi="宋体" w:eastAsia="宋体" w:cs="宋体"/>
          <w:sz w:val="21"/>
          <w:szCs w:val="21"/>
        </w:rPr>
      </w:pPr>
      <w:r>
        <w:rPr>
          <w:rFonts w:ascii="黑体" w:hAnsi="黑体" w:eastAsia="黑体" w:cs="黑体"/>
          <w:b/>
          <w:bCs/>
          <w:spacing w:val="-2"/>
          <w:sz w:val="21"/>
          <w:szCs w:val="21"/>
        </w:rPr>
        <w:t>天然气制氢</w:t>
      </w:r>
      <w:r>
        <w:rPr>
          <w:rFonts w:ascii="黑体" w:hAnsi="黑体" w:eastAsia="黑体" w:cs="黑体"/>
          <w:spacing w:val="-2"/>
          <w:sz w:val="21"/>
          <w:szCs w:val="21"/>
        </w:rPr>
        <w:t xml:space="preserve">  </w:t>
      </w:r>
      <w:r>
        <w:rPr>
          <w:rFonts w:ascii="宋体" w:hAnsi="宋体" w:eastAsia="宋体" w:cs="宋体"/>
          <w:spacing w:val="-2"/>
          <w:sz w:val="21"/>
          <w:szCs w:val="21"/>
        </w:rPr>
        <w:t>指利用天然气部分氧化、高温裂解或自热重整等技术生产的</w:t>
      </w:r>
      <w:r>
        <w:rPr>
          <w:rFonts w:ascii="宋体" w:hAnsi="宋体" w:eastAsia="宋体" w:cs="宋体"/>
          <w:spacing w:val="-3"/>
          <w:sz w:val="21"/>
          <w:szCs w:val="21"/>
        </w:rPr>
        <w:t>氢气。</w:t>
      </w:r>
    </w:p>
    <w:p w14:paraId="0BE14E8B">
      <w:pPr>
        <w:spacing w:before="108" w:line="222" w:lineRule="auto"/>
        <w:ind w:left="423"/>
        <w:rPr>
          <w:rFonts w:ascii="宋体" w:hAnsi="宋体" w:eastAsia="宋体" w:cs="宋体"/>
          <w:sz w:val="21"/>
          <w:szCs w:val="21"/>
        </w:rPr>
      </w:pPr>
      <w:r>
        <w:rPr>
          <w:rFonts w:ascii="黑体" w:hAnsi="黑体" w:eastAsia="黑体" w:cs="黑体"/>
          <w:b/>
          <w:bCs/>
          <w:spacing w:val="-1"/>
          <w:sz w:val="21"/>
          <w:szCs w:val="21"/>
        </w:rPr>
        <w:t>电解水制氢</w:t>
      </w:r>
      <w:r>
        <w:rPr>
          <w:rFonts w:ascii="黑体" w:hAnsi="黑体" w:eastAsia="黑体" w:cs="黑体"/>
          <w:spacing w:val="84"/>
          <w:sz w:val="21"/>
          <w:szCs w:val="21"/>
        </w:rPr>
        <w:t xml:space="preserve"> </w:t>
      </w:r>
      <w:r>
        <w:rPr>
          <w:rFonts w:ascii="宋体" w:hAnsi="宋体" w:eastAsia="宋体" w:cs="宋体"/>
          <w:spacing w:val="-1"/>
          <w:sz w:val="21"/>
          <w:szCs w:val="21"/>
        </w:rPr>
        <w:t>指以生产氢气为目的，以水为原</w:t>
      </w:r>
      <w:r>
        <w:rPr>
          <w:rFonts w:ascii="宋体" w:hAnsi="宋体" w:eastAsia="宋体" w:cs="宋体"/>
          <w:spacing w:val="-2"/>
          <w:sz w:val="21"/>
          <w:szCs w:val="21"/>
        </w:rPr>
        <w:t>料，电解制取的氢气。</w:t>
      </w:r>
    </w:p>
    <w:p w14:paraId="51870B0C">
      <w:pPr>
        <w:spacing w:before="97" w:line="270" w:lineRule="auto"/>
        <w:ind w:right="95" w:firstLine="423"/>
        <w:rPr>
          <w:rFonts w:ascii="宋体" w:hAnsi="宋体" w:eastAsia="宋体" w:cs="宋体"/>
          <w:sz w:val="21"/>
          <w:szCs w:val="21"/>
        </w:rPr>
      </w:pPr>
      <w:r>
        <w:rPr>
          <w:rFonts w:ascii="黑体" w:hAnsi="黑体" w:eastAsia="黑体" w:cs="黑体"/>
          <w:b/>
          <w:bCs/>
          <w:color w:val="0202FF"/>
          <w:spacing w:val="-2"/>
          <w:sz w:val="21"/>
          <w:szCs w:val="21"/>
        </w:rPr>
        <w:t>可再生能源电解水制氢</w:t>
      </w:r>
      <w:r>
        <w:rPr>
          <w:rFonts w:ascii="黑体" w:hAnsi="黑体" w:eastAsia="黑体" w:cs="黑体"/>
          <w:color w:val="0202FF"/>
          <w:spacing w:val="101"/>
          <w:sz w:val="21"/>
          <w:szCs w:val="21"/>
        </w:rPr>
        <w:t xml:space="preserve"> </w:t>
      </w:r>
      <w:r>
        <w:rPr>
          <w:rFonts w:ascii="宋体" w:hAnsi="宋体" w:eastAsia="宋体" w:cs="宋体"/>
          <w:color w:val="0202FF"/>
          <w:spacing w:val="-2"/>
          <w:sz w:val="21"/>
          <w:szCs w:val="21"/>
        </w:rPr>
        <w:t>指利用水力发电、风力发电、太阳能发电、生物质发电、地热能发电等可</w:t>
      </w:r>
      <w:r>
        <w:rPr>
          <w:rFonts w:ascii="宋体" w:hAnsi="宋体" w:eastAsia="宋体" w:cs="宋体"/>
          <w:color w:val="0202FF"/>
          <w:sz w:val="21"/>
          <w:szCs w:val="21"/>
        </w:rPr>
        <w:t xml:space="preserve"> </w:t>
      </w:r>
      <w:r>
        <w:rPr>
          <w:rFonts w:ascii="宋体" w:hAnsi="宋体" w:eastAsia="宋体" w:cs="宋体"/>
          <w:color w:val="0202FF"/>
          <w:spacing w:val="-3"/>
          <w:sz w:val="21"/>
          <w:szCs w:val="21"/>
        </w:rPr>
        <w:t>再生能源电力电解水制取的氢气。</w:t>
      </w:r>
    </w:p>
    <w:p w14:paraId="60E2ECA5">
      <w:pPr>
        <w:spacing w:before="117" w:line="222" w:lineRule="auto"/>
        <w:ind w:left="423"/>
        <w:rPr>
          <w:rFonts w:ascii="宋体" w:hAnsi="宋体" w:eastAsia="宋体" w:cs="宋体"/>
          <w:sz w:val="21"/>
          <w:szCs w:val="21"/>
        </w:rPr>
      </w:pPr>
      <w:r>
        <w:rPr>
          <w:rFonts w:ascii="黑体" w:hAnsi="黑体" w:eastAsia="黑体" w:cs="黑体"/>
          <w:b/>
          <w:bCs/>
          <w:spacing w:val="-2"/>
          <w:sz w:val="21"/>
          <w:szCs w:val="21"/>
        </w:rPr>
        <w:t>混合气体分离制氢</w:t>
      </w:r>
      <w:r>
        <w:rPr>
          <w:rFonts w:ascii="黑体" w:hAnsi="黑体" w:eastAsia="黑体" w:cs="黑体"/>
          <w:spacing w:val="107"/>
          <w:sz w:val="21"/>
          <w:szCs w:val="21"/>
        </w:rPr>
        <w:t xml:space="preserve"> </w:t>
      </w:r>
      <w:r>
        <w:rPr>
          <w:rFonts w:ascii="宋体" w:hAnsi="宋体" w:eastAsia="宋体" w:cs="宋体"/>
          <w:spacing w:val="-2"/>
          <w:sz w:val="21"/>
          <w:szCs w:val="21"/>
        </w:rPr>
        <w:t>指利用气体沸点不同，通过制冷加压分离提纯的氢气，多见于焦炉煤气逐步提</w:t>
      </w:r>
    </w:p>
    <w:p w14:paraId="2825A3F0">
      <w:pPr>
        <w:spacing w:line="222" w:lineRule="auto"/>
        <w:rPr>
          <w:rFonts w:ascii="宋体" w:hAnsi="宋体" w:eastAsia="宋体" w:cs="宋体"/>
          <w:sz w:val="21"/>
          <w:szCs w:val="21"/>
        </w:rPr>
        <w:sectPr>
          <w:headerReference r:id="rId63" w:type="default"/>
          <w:pgSz w:w="11910" w:h="16840"/>
          <w:pgMar w:top="1109" w:right="1184" w:bottom="400" w:left="1239" w:header="838" w:footer="0" w:gutter="0"/>
          <w:cols w:space="720" w:num="1"/>
        </w:sectPr>
      </w:pPr>
    </w:p>
    <w:p w14:paraId="6927411F">
      <w:pPr>
        <w:pStyle w:val="2"/>
        <w:spacing w:line="310" w:lineRule="auto"/>
      </w:pPr>
    </w:p>
    <w:p w14:paraId="4E2F9262">
      <w:pPr>
        <w:spacing w:before="65" w:line="219" w:lineRule="auto"/>
        <w:ind w:left="10"/>
        <w:rPr>
          <w:rFonts w:ascii="宋体" w:hAnsi="宋体" w:eastAsia="宋体" w:cs="宋体"/>
          <w:sz w:val="20"/>
          <w:szCs w:val="20"/>
        </w:rPr>
      </w:pPr>
      <w:bookmarkStart w:id="19" w:name="bookmark24"/>
      <w:bookmarkEnd w:id="19"/>
      <w:bookmarkStart w:id="20" w:name="bookmark25"/>
      <w:bookmarkEnd w:id="20"/>
      <w:r>
        <w:rPr>
          <w:rFonts w:ascii="宋体" w:hAnsi="宋体" w:eastAsia="宋体" w:cs="宋体"/>
          <w:spacing w:val="4"/>
          <w:sz w:val="20"/>
          <w:szCs w:val="20"/>
        </w:rPr>
        <w:t>纯为氢气和一氧化碳。</w:t>
      </w:r>
    </w:p>
    <w:p w14:paraId="3B38510C">
      <w:pPr>
        <w:spacing w:before="121" w:line="222" w:lineRule="auto"/>
        <w:ind w:left="432"/>
        <w:rPr>
          <w:rFonts w:ascii="宋体" w:hAnsi="宋体" w:eastAsia="宋体" w:cs="宋体"/>
          <w:sz w:val="20"/>
          <w:szCs w:val="20"/>
        </w:rPr>
      </w:pPr>
      <w:r>
        <w:rPr>
          <w:rFonts w:ascii="黑体" w:hAnsi="黑体" w:eastAsia="黑体" w:cs="黑体"/>
          <w:b/>
          <w:bCs/>
          <w:spacing w:val="8"/>
          <w:sz w:val="20"/>
          <w:szCs w:val="20"/>
        </w:rPr>
        <w:t>石油化工原料制氢</w:t>
      </w:r>
      <w:r>
        <w:rPr>
          <w:rFonts w:ascii="黑体" w:hAnsi="黑体" w:eastAsia="黑体" w:cs="黑体"/>
          <w:spacing w:val="3"/>
          <w:sz w:val="20"/>
          <w:szCs w:val="20"/>
        </w:rPr>
        <w:t xml:space="preserve">  </w:t>
      </w:r>
      <w:r>
        <w:rPr>
          <w:rFonts w:ascii="宋体" w:hAnsi="宋体" w:eastAsia="宋体" w:cs="宋体"/>
          <w:spacing w:val="8"/>
          <w:sz w:val="20"/>
          <w:szCs w:val="20"/>
        </w:rPr>
        <w:t>指通过石油裂解或甲醇、乙醇、液氨</w:t>
      </w:r>
      <w:r>
        <w:rPr>
          <w:rFonts w:ascii="宋体" w:hAnsi="宋体" w:eastAsia="宋体" w:cs="宋体"/>
          <w:spacing w:val="7"/>
          <w:sz w:val="20"/>
          <w:szCs w:val="20"/>
        </w:rPr>
        <w:t>等化工原料裂解生产的氢气。</w:t>
      </w:r>
    </w:p>
    <w:p w14:paraId="6D0B70FF">
      <w:pPr>
        <w:spacing w:before="109" w:line="374" w:lineRule="exact"/>
        <w:ind w:right="27"/>
        <w:jc w:val="right"/>
        <w:rPr>
          <w:rFonts w:ascii="宋体" w:hAnsi="宋体" w:eastAsia="宋体" w:cs="宋体"/>
          <w:sz w:val="20"/>
          <w:szCs w:val="20"/>
        </w:rPr>
      </w:pPr>
      <w:r>
        <w:rPr>
          <w:rFonts w:ascii="黑体" w:hAnsi="黑体" w:eastAsia="黑体" w:cs="黑体"/>
          <w:b/>
          <w:bCs/>
          <w:spacing w:val="13"/>
          <w:position w:val="13"/>
          <w:sz w:val="20"/>
          <w:szCs w:val="20"/>
        </w:rPr>
        <w:t>工业副产氢</w:t>
      </w:r>
      <w:r>
        <w:rPr>
          <w:rFonts w:ascii="黑体" w:hAnsi="黑体" w:eastAsia="黑体" w:cs="黑体"/>
          <w:spacing w:val="13"/>
          <w:position w:val="13"/>
          <w:sz w:val="20"/>
          <w:szCs w:val="20"/>
        </w:rPr>
        <w:t xml:space="preserve">  </w:t>
      </w:r>
      <w:r>
        <w:rPr>
          <w:rFonts w:ascii="宋体" w:hAnsi="宋体" w:eastAsia="宋体" w:cs="宋体"/>
          <w:spacing w:val="13"/>
          <w:position w:val="13"/>
          <w:sz w:val="20"/>
          <w:szCs w:val="20"/>
        </w:rPr>
        <w:t>指以氯碱工业、酿造工业为主</w:t>
      </w:r>
      <w:r>
        <w:rPr>
          <w:rFonts w:ascii="宋体" w:hAnsi="宋体" w:eastAsia="宋体" w:cs="宋体"/>
          <w:spacing w:val="12"/>
          <w:position w:val="13"/>
          <w:sz w:val="20"/>
          <w:szCs w:val="20"/>
        </w:rPr>
        <w:t>的工业生产过程中，伴随主要工业产品(如烧碱等)产</w:t>
      </w:r>
    </w:p>
    <w:p w14:paraId="62E5F4EB">
      <w:pPr>
        <w:spacing w:line="220" w:lineRule="auto"/>
        <w:ind w:left="10"/>
        <w:rPr>
          <w:rFonts w:ascii="宋体" w:hAnsi="宋体" w:eastAsia="宋体" w:cs="宋体"/>
          <w:sz w:val="20"/>
          <w:szCs w:val="20"/>
        </w:rPr>
      </w:pPr>
      <w:r>
        <w:rPr>
          <w:rFonts w:ascii="宋体" w:hAnsi="宋体" w:eastAsia="宋体" w:cs="宋体"/>
          <w:spacing w:val="-1"/>
          <w:sz w:val="20"/>
          <w:szCs w:val="20"/>
        </w:rPr>
        <w:t>出的氢气。</w:t>
      </w:r>
    </w:p>
    <w:p w14:paraId="49BB4F85">
      <w:pPr>
        <w:spacing w:before="127" w:line="272" w:lineRule="auto"/>
        <w:ind w:left="10" w:right="27" w:firstLine="422"/>
        <w:rPr>
          <w:rFonts w:ascii="宋体" w:hAnsi="宋体" w:eastAsia="宋体" w:cs="宋体"/>
          <w:sz w:val="20"/>
          <w:szCs w:val="20"/>
        </w:rPr>
      </w:pPr>
      <w:r>
        <w:rPr>
          <w:rFonts w:ascii="黑体" w:hAnsi="黑体" w:eastAsia="黑体" w:cs="黑体"/>
          <w:b/>
          <w:bCs/>
          <w:spacing w:val="8"/>
          <w:sz w:val="20"/>
          <w:szCs w:val="20"/>
        </w:rPr>
        <w:t>太阳能制氢</w:t>
      </w:r>
      <w:r>
        <w:rPr>
          <w:rFonts w:ascii="黑体" w:hAnsi="黑体" w:eastAsia="黑体" w:cs="黑体"/>
          <w:spacing w:val="8"/>
          <w:sz w:val="20"/>
          <w:szCs w:val="20"/>
        </w:rPr>
        <w:t xml:space="preserve">  </w:t>
      </w:r>
      <w:r>
        <w:rPr>
          <w:rFonts w:ascii="宋体" w:hAnsi="宋体" w:eastAsia="宋体" w:cs="宋体"/>
          <w:spacing w:val="8"/>
          <w:sz w:val="20"/>
          <w:szCs w:val="20"/>
        </w:rPr>
        <w:t>包括太阳能热化学制氢和太阳能光解水制氢，指利用太阳能的热量与热化学</w:t>
      </w:r>
      <w:r>
        <w:rPr>
          <w:rFonts w:ascii="宋体" w:hAnsi="宋体" w:eastAsia="宋体" w:cs="宋体"/>
          <w:spacing w:val="7"/>
          <w:sz w:val="20"/>
          <w:szCs w:val="20"/>
        </w:rPr>
        <w:t>耦合生产</w:t>
      </w:r>
      <w:r>
        <w:rPr>
          <w:rFonts w:ascii="宋体" w:hAnsi="宋体" w:eastAsia="宋体" w:cs="宋体"/>
          <w:sz w:val="20"/>
          <w:szCs w:val="20"/>
        </w:rPr>
        <w:t xml:space="preserve"> </w:t>
      </w:r>
      <w:r>
        <w:rPr>
          <w:rFonts w:ascii="宋体" w:hAnsi="宋体" w:eastAsia="宋体" w:cs="宋体"/>
          <w:spacing w:val="8"/>
          <w:sz w:val="20"/>
          <w:szCs w:val="20"/>
        </w:rPr>
        <w:t>氢气，或利用太阳光的能量通过光催化、光电化学或光生物学等过程分解水生产氢气。</w:t>
      </w:r>
    </w:p>
    <w:p w14:paraId="3FE42CA9">
      <w:pPr>
        <w:spacing w:before="110" w:line="222" w:lineRule="auto"/>
        <w:ind w:left="432"/>
        <w:rPr>
          <w:rFonts w:ascii="宋体" w:hAnsi="宋体" w:eastAsia="宋体" w:cs="宋体"/>
          <w:sz w:val="20"/>
          <w:szCs w:val="20"/>
        </w:rPr>
      </w:pPr>
      <w:r>
        <w:rPr>
          <w:rFonts w:ascii="黑体" w:hAnsi="黑体" w:eastAsia="黑体" w:cs="黑体"/>
          <w:b/>
          <w:bCs/>
          <w:spacing w:val="7"/>
          <w:sz w:val="20"/>
          <w:szCs w:val="20"/>
        </w:rPr>
        <w:t>核能制氢</w:t>
      </w:r>
      <w:r>
        <w:rPr>
          <w:rFonts w:ascii="黑体" w:hAnsi="黑体" w:eastAsia="黑体" w:cs="黑体"/>
          <w:spacing w:val="7"/>
          <w:sz w:val="20"/>
          <w:szCs w:val="20"/>
        </w:rPr>
        <w:t xml:space="preserve">  </w:t>
      </w:r>
      <w:r>
        <w:rPr>
          <w:rFonts w:ascii="宋体" w:hAnsi="宋体" w:eastAsia="宋体" w:cs="宋体"/>
          <w:spacing w:val="7"/>
          <w:sz w:val="20"/>
          <w:szCs w:val="20"/>
        </w:rPr>
        <w:t>指利用核能的热量与热化学反应耦合生产的氢气。</w:t>
      </w:r>
    </w:p>
    <w:p w14:paraId="7C3F98CC">
      <w:pPr>
        <w:spacing w:before="117" w:line="375" w:lineRule="exact"/>
        <w:ind w:right="31"/>
        <w:jc w:val="right"/>
        <w:rPr>
          <w:rFonts w:ascii="宋体" w:hAnsi="宋体" w:eastAsia="宋体" w:cs="宋体"/>
          <w:sz w:val="20"/>
          <w:szCs w:val="20"/>
        </w:rPr>
      </w:pPr>
      <w:r>
        <w:rPr>
          <w:rFonts w:ascii="黑体" w:hAnsi="黑体" w:eastAsia="黑体" w:cs="黑体"/>
          <w:b/>
          <w:bCs/>
          <w:spacing w:val="8"/>
          <w:position w:val="13"/>
          <w:sz w:val="20"/>
          <w:szCs w:val="20"/>
        </w:rPr>
        <w:t>其他方式制氢</w:t>
      </w:r>
      <w:r>
        <w:rPr>
          <w:rFonts w:ascii="黑体" w:hAnsi="黑体" w:eastAsia="黑体" w:cs="黑体"/>
          <w:spacing w:val="3"/>
          <w:position w:val="13"/>
          <w:sz w:val="20"/>
          <w:szCs w:val="20"/>
        </w:rPr>
        <w:t xml:space="preserve">  </w:t>
      </w:r>
      <w:r>
        <w:rPr>
          <w:rFonts w:ascii="宋体" w:hAnsi="宋体" w:eastAsia="宋体" w:cs="宋体"/>
          <w:spacing w:val="8"/>
          <w:position w:val="13"/>
          <w:sz w:val="20"/>
          <w:szCs w:val="20"/>
        </w:rPr>
        <w:t>指制度中未明确列示的其他制取氢气的方法，如生物质热解制氢、生物制氢、热化</w:t>
      </w:r>
    </w:p>
    <w:p w14:paraId="229DA196">
      <w:pPr>
        <w:spacing w:line="219" w:lineRule="auto"/>
        <w:ind w:left="10"/>
        <w:rPr>
          <w:rFonts w:ascii="宋体" w:hAnsi="宋体" w:eastAsia="宋体" w:cs="宋体"/>
          <w:sz w:val="20"/>
          <w:szCs w:val="20"/>
        </w:rPr>
      </w:pPr>
      <w:r>
        <w:rPr>
          <w:rFonts w:ascii="宋体" w:hAnsi="宋体" w:eastAsia="宋体" w:cs="宋体"/>
          <w:spacing w:val="-1"/>
          <w:sz w:val="20"/>
          <w:szCs w:val="20"/>
        </w:rPr>
        <w:t>学制氢等。</w:t>
      </w:r>
    </w:p>
    <w:p w14:paraId="3FBB8541">
      <w:pPr>
        <w:spacing w:line="219" w:lineRule="auto"/>
        <w:rPr>
          <w:rFonts w:ascii="宋体" w:hAnsi="宋体" w:eastAsia="宋体" w:cs="宋体"/>
          <w:sz w:val="20"/>
          <w:szCs w:val="20"/>
        </w:rPr>
        <w:sectPr>
          <w:headerReference r:id="rId64" w:type="default"/>
          <w:pgSz w:w="11910" w:h="16840"/>
          <w:pgMar w:top="1109" w:right="1249" w:bottom="400" w:left="1239" w:header="857" w:footer="0" w:gutter="0"/>
          <w:cols w:space="720" w:num="1"/>
        </w:sectPr>
      </w:pPr>
    </w:p>
    <w:p w14:paraId="32ACFA63">
      <w:pPr>
        <w:pStyle w:val="2"/>
        <w:spacing w:line="277" w:lineRule="auto"/>
      </w:pPr>
    </w:p>
    <w:p w14:paraId="09311E72">
      <w:pPr>
        <w:spacing w:before="88" w:line="204" w:lineRule="auto"/>
        <w:ind w:left="2343"/>
        <w:rPr>
          <w:rFonts w:ascii="宋体" w:hAnsi="宋体" w:eastAsia="宋体" w:cs="宋体"/>
          <w:sz w:val="27"/>
          <w:szCs w:val="27"/>
        </w:rPr>
      </w:pPr>
      <w:r>
        <w:rPr>
          <w:rFonts w:ascii="宋体" w:hAnsi="宋体" w:eastAsia="宋体" w:cs="宋体"/>
          <w:b/>
          <w:bCs/>
          <w:spacing w:val="-1"/>
          <w:sz w:val="27"/>
          <w:szCs w:val="27"/>
        </w:rPr>
        <w:t>(四)全社会用电量情况目录(P407表)</w:t>
      </w:r>
    </w:p>
    <w:tbl>
      <w:tblPr>
        <w:tblStyle w:val="5"/>
        <w:tblW w:w="9410" w:type="dxa"/>
        <w:tblInd w:w="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70"/>
        <w:gridCol w:w="720"/>
        <w:gridCol w:w="4220"/>
        <w:gridCol w:w="600"/>
      </w:tblGrid>
      <w:tr w14:paraId="0A527C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3870" w:type="dxa"/>
            <w:tcBorders>
              <w:left w:val="nil"/>
            </w:tcBorders>
            <w:vAlign w:val="top"/>
          </w:tcPr>
          <w:p w14:paraId="2F990544">
            <w:pPr>
              <w:pStyle w:val="6"/>
              <w:spacing w:before="81" w:line="219" w:lineRule="auto"/>
              <w:ind w:left="1580"/>
              <w:rPr>
                <w:sz w:val="16"/>
                <w:szCs w:val="16"/>
              </w:rPr>
            </w:pPr>
            <w:r>
              <w:rPr>
                <w:spacing w:val="-2"/>
                <w:sz w:val="16"/>
                <w:szCs w:val="16"/>
              </w:rPr>
              <w:t>指标内容</w:t>
            </w:r>
          </w:p>
        </w:tc>
        <w:tc>
          <w:tcPr>
            <w:tcW w:w="720" w:type="dxa"/>
            <w:vAlign w:val="top"/>
          </w:tcPr>
          <w:p w14:paraId="7AE77BA7">
            <w:pPr>
              <w:pStyle w:val="6"/>
              <w:spacing w:before="81" w:line="219" w:lineRule="auto"/>
              <w:ind w:left="195"/>
              <w:rPr>
                <w:sz w:val="16"/>
                <w:szCs w:val="16"/>
              </w:rPr>
            </w:pPr>
            <w:r>
              <w:rPr>
                <w:spacing w:val="-2"/>
                <w:sz w:val="16"/>
                <w:szCs w:val="16"/>
              </w:rPr>
              <w:t>代码</w:t>
            </w:r>
          </w:p>
        </w:tc>
        <w:tc>
          <w:tcPr>
            <w:tcW w:w="4220" w:type="dxa"/>
            <w:vAlign w:val="top"/>
          </w:tcPr>
          <w:p w14:paraId="12C402EB">
            <w:pPr>
              <w:pStyle w:val="6"/>
              <w:spacing w:before="81" w:line="219" w:lineRule="auto"/>
              <w:ind w:left="1745"/>
              <w:rPr>
                <w:sz w:val="16"/>
                <w:szCs w:val="16"/>
              </w:rPr>
            </w:pPr>
            <w:r>
              <w:rPr>
                <w:spacing w:val="-2"/>
                <w:sz w:val="16"/>
                <w:szCs w:val="16"/>
              </w:rPr>
              <w:t>指标内容</w:t>
            </w:r>
          </w:p>
        </w:tc>
        <w:tc>
          <w:tcPr>
            <w:tcW w:w="600" w:type="dxa"/>
            <w:tcBorders>
              <w:right w:val="nil"/>
            </w:tcBorders>
            <w:vAlign w:val="top"/>
          </w:tcPr>
          <w:p w14:paraId="399B9D7D">
            <w:pPr>
              <w:pStyle w:val="6"/>
              <w:spacing w:before="81" w:line="219" w:lineRule="auto"/>
              <w:ind w:left="135"/>
              <w:rPr>
                <w:sz w:val="16"/>
                <w:szCs w:val="16"/>
              </w:rPr>
            </w:pPr>
            <w:r>
              <w:rPr>
                <w:spacing w:val="-2"/>
                <w:sz w:val="16"/>
                <w:szCs w:val="16"/>
              </w:rPr>
              <w:t>代码</w:t>
            </w:r>
          </w:p>
        </w:tc>
      </w:tr>
      <w:tr w14:paraId="1BE6D8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15" w:hRule="atLeast"/>
        </w:trPr>
        <w:tc>
          <w:tcPr>
            <w:tcW w:w="3870" w:type="dxa"/>
            <w:tcBorders>
              <w:left w:val="nil"/>
            </w:tcBorders>
            <w:vAlign w:val="top"/>
          </w:tcPr>
          <w:p w14:paraId="0A92C702">
            <w:pPr>
              <w:pStyle w:val="6"/>
              <w:spacing w:before="35" w:line="219" w:lineRule="auto"/>
              <w:ind w:left="90"/>
              <w:rPr>
                <w:sz w:val="16"/>
                <w:szCs w:val="16"/>
              </w:rPr>
            </w:pPr>
            <w:r>
              <w:rPr>
                <w:spacing w:val="-1"/>
                <w:sz w:val="16"/>
                <w:szCs w:val="16"/>
              </w:rPr>
              <w:t>全社会用电总计</w:t>
            </w:r>
          </w:p>
          <w:p w14:paraId="786A13CD">
            <w:pPr>
              <w:pStyle w:val="6"/>
              <w:spacing w:before="12" w:line="218" w:lineRule="auto"/>
              <w:ind w:left="180"/>
              <w:rPr>
                <w:sz w:val="16"/>
                <w:szCs w:val="16"/>
              </w:rPr>
            </w:pPr>
            <w:r>
              <w:rPr>
                <w:spacing w:val="-1"/>
                <w:sz w:val="16"/>
                <w:szCs w:val="16"/>
              </w:rPr>
              <w:t>A、全行业用电合计</w:t>
            </w:r>
          </w:p>
          <w:p w14:paraId="1A082779">
            <w:pPr>
              <w:pStyle w:val="6"/>
              <w:spacing w:line="230" w:lineRule="auto"/>
              <w:ind w:left="249"/>
              <w:rPr>
                <w:sz w:val="16"/>
                <w:szCs w:val="16"/>
              </w:rPr>
            </w:pPr>
            <w:r>
              <w:rPr>
                <w:spacing w:val="-2"/>
                <w:sz w:val="16"/>
                <w:szCs w:val="16"/>
              </w:rPr>
              <w:t>第一产业</w:t>
            </w:r>
          </w:p>
          <w:p w14:paraId="0E5BC18F">
            <w:pPr>
              <w:pStyle w:val="6"/>
              <w:spacing w:line="207" w:lineRule="auto"/>
              <w:ind w:left="249"/>
              <w:rPr>
                <w:sz w:val="16"/>
                <w:szCs w:val="16"/>
              </w:rPr>
            </w:pPr>
            <w:r>
              <w:rPr>
                <w:spacing w:val="-2"/>
                <w:sz w:val="16"/>
                <w:szCs w:val="16"/>
              </w:rPr>
              <w:t>第二产业</w:t>
            </w:r>
          </w:p>
          <w:p w14:paraId="3C5C345F">
            <w:pPr>
              <w:pStyle w:val="6"/>
              <w:spacing w:before="29" w:line="208" w:lineRule="auto"/>
              <w:ind w:left="270"/>
              <w:rPr>
                <w:sz w:val="16"/>
                <w:szCs w:val="16"/>
              </w:rPr>
            </w:pPr>
            <w:r>
              <w:rPr>
                <w:spacing w:val="-2"/>
                <w:sz w:val="16"/>
                <w:szCs w:val="16"/>
              </w:rPr>
              <w:t>第三产业</w:t>
            </w:r>
          </w:p>
          <w:p w14:paraId="6DAA7015">
            <w:pPr>
              <w:pStyle w:val="6"/>
              <w:spacing w:before="1" w:line="207" w:lineRule="auto"/>
              <w:ind w:left="180"/>
              <w:rPr>
                <w:sz w:val="16"/>
                <w:szCs w:val="16"/>
              </w:rPr>
            </w:pPr>
            <w:r>
              <w:rPr>
                <w:spacing w:val="-1"/>
                <w:sz w:val="16"/>
                <w:szCs w:val="16"/>
              </w:rPr>
              <w:t>B、城乡居民生活用电合计</w:t>
            </w:r>
          </w:p>
          <w:p w14:paraId="7B01F532">
            <w:pPr>
              <w:pStyle w:val="6"/>
              <w:spacing w:line="207" w:lineRule="auto"/>
              <w:ind w:left="229"/>
              <w:rPr>
                <w:sz w:val="16"/>
                <w:szCs w:val="16"/>
              </w:rPr>
            </w:pPr>
            <w:r>
              <w:rPr>
                <w:spacing w:val="-2"/>
                <w:sz w:val="16"/>
                <w:szCs w:val="16"/>
              </w:rPr>
              <w:t>城镇居民</w:t>
            </w:r>
          </w:p>
          <w:p w14:paraId="0B523103">
            <w:pPr>
              <w:pStyle w:val="6"/>
              <w:spacing w:before="1" w:line="218" w:lineRule="auto"/>
              <w:ind w:left="259"/>
              <w:rPr>
                <w:sz w:val="16"/>
                <w:szCs w:val="16"/>
              </w:rPr>
            </w:pPr>
            <w:r>
              <w:rPr>
                <w:spacing w:val="2"/>
                <w:sz w:val="16"/>
                <w:szCs w:val="16"/>
              </w:rPr>
              <w:t>乡村居民</w:t>
            </w:r>
          </w:p>
          <w:p w14:paraId="60457541">
            <w:pPr>
              <w:pStyle w:val="6"/>
              <w:spacing w:before="11" w:line="219" w:lineRule="auto"/>
              <w:ind w:left="80"/>
              <w:rPr>
                <w:sz w:val="16"/>
                <w:szCs w:val="16"/>
              </w:rPr>
            </w:pPr>
            <w:r>
              <w:rPr>
                <w:spacing w:val="-1"/>
                <w:sz w:val="16"/>
                <w:szCs w:val="16"/>
              </w:rPr>
              <w:t>全行业用电分类</w:t>
            </w:r>
          </w:p>
          <w:p w14:paraId="2DEB9474">
            <w:pPr>
              <w:pStyle w:val="6"/>
              <w:spacing w:line="219" w:lineRule="auto"/>
              <w:ind w:left="300"/>
              <w:rPr>
                <w:sz w:val="16"/>
                <w:szCs w:val="16"/>
              </w:rPr>
            </w:pPr>
            <w:r>
              <w:rPr>
                <w:spacing w:val="-2"/>
                <w:sz w:val="16"/>
                <w:szCs w:val="16"/>
              </w:rPr>
              <w:t>一、农、林、牧、渔业</w:t>
            </w:r>
          </w:p>
          <w:p w14:paraId="66CE02A3">
            <w:pPr>
              <w:pStyle w:val="6"/>
              <w:spacing w:before="22" w:line="205" w:lineRule="auto"/>
              <w:ind w:left="420"/>
              <w:rPr>
                <w:sz w:val="16"/>
                <w:szCs w:val="16"/>
              </w:rPr>
            </w:pPr>
            <w:r>
              <w:rPr>
                <w:spacing w:val="1"/>
                <w:sz w:val="16"/>
                <w:szCs w:val="16"/>
              </w:rPr>
              <w:t>1.农业</w:t>
            </w:r>
          </w:p>
          <w:p w14:paraId="395A71D0">
            <w:pPr>
              <w:pStyle w:val="6"/>
              <w:spacing w:line="219" w:lineRule="auto"/>
              <w:ind w:left="420"/>
              <w:rPr>
                <w:sz w:val="16"/>
                <w:szCs w:val="16"/>
              </w:rPr>
            </w:pPr>
            <w:r>
              <w:rPr>
                <w:spacing w:val="-3"/>
                <w:sz w:val="16"/>
                <w:szCs w:val="16"/>
              </w:rPr>
              <w:t>2.林业</w:t>
            </w:r>
          </w:p>
          <w:p w14:paraId="22BC7B7C">
            <w:pPr>
              <w:pStyle w:val="6"/>
              <w:spacing w:before="1" w:line="219" w:lineRule="auto"/>
              <w:ind w:left="400"/>
              <w:rPr>
                <w:sz w:val="16"/>
                <w:szCs w:val="16"/>
              </w:rPr>
            </w:pPr>
            <w:r>
              <w:rPr>
                <w:spacing w:val="-2"/>
                <w:sz w:val="16"/>
                <w:szCs w:val="16"/>
              </w:rPr>
              <w:t>3.畜牧业</w:t>
            </w:r>
          </w:p>
          <w:p w14:paraId="732D7B41">
            <w:pPr>
              <w:pStyle w:val="6"/>
              <w:spacing w:before="17" w:line="228" w:lineRule="auto"/>
              <w:ind w:left="420"/>
              <w:rPr>
                <w:sz w:val="16"/>
                <w:szCs w:val="16"/>
              </w:rPr>
            </w:pPr>
            <w:r>
              <w:rPr>
                <w:spacing w:val="-2"/>
                <w:sz w:val="16"/>
                <w:szCs w:val="16"/>
              </w:rPr>
              <w:t>4.渔业</w:t>
            </w:r>
          </w:p>
          <w:p w14:paraId="7CEC497A">
            <w:pPr>
              <w:pStyle w:val="6"/>
              <w:spacing w:before="5" w:line="196" w:lineRule="auto"/>
              <w:ind w:left="420"/>
              <w:rPr>
                <w:sz w:val="16"/>
                <w:szCs w:val="16"/>
              </w:rPr>
            </w:pPr>
            <w:r>
              <w:rPr>
                <w:sz w:val="16"/>
                <w:szCs w:val="16"/>
              </w:rPr>
              <w:t>5.农、林、牧、渔专业及辅助性活动</w:t>
            </w:r>
          </w:p>
          <w:p w14:paraId="182F6F0D">
            <w:pPr>
              <w:pStyle w:val="6"/>
              <w:spacing w:before="1" w:line="208" w:lineRule="auto"/>
              <w:ind w:left="470"/>
              <w:rPr>
                <w:sz w:val="16"/>
                <w:szCs w:val="16"/>
              </w:rPr>
            </w:pPr>
            <w:r>
              <w:rPr>
                <w:spacing w:val="-2"/>
                <w:sz w:val="16"/>
                <w:szCs w:val="16"/>
              </w:rPr>
              <w:t>其中：排灌</w:t>
            </w:r>
          </w:p>
          <w:p w14:paraId="20D60831">
            <w:pPr>
              <w:pStyle w:val="6"/>
              <w:spacing w:line="231" w:lineRule="auto"/>
              <w:ind w:left="239"/>
              <w:rPr>
                <w:sz w:val="16"/>
                <w:szCs w:val="16"/>
              </w:rPr>
            </w:pPr>
            <w:r>
              <w:rPr>
                <w:spacing w:val="-2"/>
                <w:sz w:val="16"/>
                <w:szCs w:val="16"/>
              </w:rPr>
              <w:t>二、工业</w:t>
            </w:r>
          </w:p>
          <w:p w14:paraId="22745E6B">
            <w:pPr>
              <w:pStyle w:val="6"/>
              <w:spacing w:before="8" w:line="219" w:lineRule="auto"/>
              <w:ind w:left="310"/>
              <w:rPr>
                <w:sz w:val="16"/>
                <w:szCs w:val="16"/>
              </w:rPr>
            </w:pPr>
            <w:r>
              <w:rPr>
                <w:sz w:val="16"/>
                <w:szCs w:val="16"/>
              </w:rPr>
              <w:t>(一)采矿业</w:t>
            </w:r>
          </w:p>
          <w:p w14:paraId="76CA4C5E">
            <w:pPr>
              <w:pStyle w:val="6"/>
              <w:spacing w:before="10" w:line="219" w:lineRule="auto"/>
              <w:ind w:left="420"/>
              <w:rPr>
                <w:sz w:val="16"/>
                <w:szCs w:val="16"/>
              </w:rPr>
            </w:pPr>
            <w:r>
              <w:rPr>
                <w:sz w:val="16"/>
                <w:szCs w:val="16"/>
              </w:rPr>
              <w:t>1.煤炭开采和洗选业</w:t>
            </w:r>
          </w:p>
          <w:p w14:paraId="4D666FCB">
            <w:pPr>
              <w:pStyle w:val="6"/>
              <w:spacing w:line="231" w:lineRule="auto"/>
              <w:ind w:left="420"/>
              <w:rPr>
                <w:sz w:val="16"/>
                <w:szCs w:val="16"/>
              </w:rPr>
            </w:pPr>
            <w:r>
              <w:rPr>
                <w:spacing w:val="-1"/>
                <w:sz w:val="16"/>
                <w:szCs w:val="16"/>
              </w:rPr>
              <w:t>2.石油和天然气开采业</w:t>
            </w:r>
          </w:p>
          <w:p w14:paraId="6A2CBA74">
            <w:pPr>
              <w:pStyle w:val="6"/>
              <w:spacing w:before="1" w:line="218" w:lineRule="auto"/>
              <w:ind w:left="420"/>
              <w:rPr>
                <w:sz w:val="16"/>
                <w:szCs w:val="16"/>
              </w:rPr>
            </w:pPr>
            <w:r>
              <w:rPr>
                <w:spacing w:val="-1"/>
                <w:sz w:val="16"/>
                <w:szCs w:val="16"/>
              </w:rPr>
              <w:t>3.黑色金属矿采选业</w:t>
            </w:r>
          </w:p>
          <w:p w14:paraId="4F59AD22">
            <w:pPr>
              <w:pStyle w:val="6"/>
              <w:spacing w:before="11" w:line="219" w:lineRule="auto"/>
              <w:ind w:left="420"/>
              <w:rPr>
                <w:sz w:val="16"/>
                <w:szCs w:val="16"/>
              </w:rPr>
            </w:pPr>
            <w:r>
              <w:rPr>
                <w:spacing w:val="-1"/>
                <w:sz w:val="16"/>
                <w:szCs w:val="16"/>
              </w:rPr>
              <w:t>4.有色金属矿采选业</w:t>
            </w:r>
          </w:p>
          <w:p w14:paraId="5E2150C4">
            <w:pPr>
              <w:pStyle w:val="6"/>
              <w:spacing w:line="218" w:lineRule="auto"/>
              <w:ind w:left="420"/>
              <w:rPr>
                <w:sz w:val="16"/>
                <w:szCs w:val="16"/>
              </w:rPr>
            </w:pPr>
            <w:r>
              <w:rPr>
                <w:spacing w:val="-2"/>
                <w:sz w:val="16"/>
                <w:szCs w:val="16"/>
              </w:rPr>
              <w:t>5.非金属矿采选业</w:t>
            </w:r>
          </w:p>
          <w:p w14:paraId="4E821F0F">
            <w:pPr>
              <w:pStyle w:val="6"/>
              <w:spacing w:before="11" w:line="220" w:lineRule="auto"/>
              <w:ind w:left="420"/>
              <w:rPr>
                <w:sz w:val="16"/>
                <w:szCs w:val="16"/>
              </w:rPr>
            </w:pPr>
            <w:r>
              <w:rPr>
                <w:spacing w:val="-2"/>
                <w:sz w:val="16"/>
                <w:szCs w:val="16"/>
              </w:rPr>
              <w:t>6.其他采矿业</w:t>
            </w:r>
          </w:p>
          <w:p w14:paraId="39401C95">
            <w:pPr>
              <w:pStyle w:val="6"/>
              <w:spacing w:before="1" w:line="195" w:lineRule="auto"/>
              <w:ind w:left="320"/>
              <w:rPr>
                <w:sz w:val="16"/>
                <w:szCs w:val="16"/>
              </w:rPr>
            </w:pPr>
            <w:r>
              <w:rPr>
                <w:sz w:val="16"/>
                <w:szCs w:val="16"/>
              </w:rPr>
              <w:t>(二)制造业</w:t>
            </w:r>
          </w:p>
          <w:p w14:paraId="1B23E12D">
            <w:pPr>
              <w:pStyle w:val="6"/>
              <w:spacing w:line="231" w:lineRule="auto"/>
              <w:ind w:left="410"/>
              <w:rPr>
                <w:sz w:val="16"/>
                <w:szCs w:val="16"/>
              </w:rPr>
            </w:pPr>
            <w:r>
              <w:rPr>
                <w:sz w:val="16"/>
                <w:szCs w:val="16"/>
              </w:rPr>
              <w:t>1.农副食品加工业</w:t>
            </w:r>
          </w:p>
          <w:p w14:paraId="47B5F137">
            <w:pPr>
              <w:pStyle w:val="6"/>
              <w:spacing w:line="218" w:lineRule="auto"/>
              <w:ind w:left="420"/>
              <w:rPr>
                <w:sz w:val="16"/>
                <w:szCs w:val="16"/>
              </w:rPr>
            </w:pPr>
            <w:r>
              <w:rPr>
                <w:spacing w:val="-2"/>
                <w:sz w:val="16"/>
                <w:szCs w:val="16"/>
              </w:rPr>
              <w:t>2.食品制造业</w:t>
            </w:r>
          </w:p>
          <w:p w14:paraId="3E9F0D12">
            <w:pPr>
              <w:pStyle w:val="6"/>
              <w:spacing w:line="218" w:lineRule="auto"/>
              <w:ind w:left="410"/>
              <w:rPr>
                <w:sz w:val="16"/>
                <w:szCs w:val="16"/>
              </w:rPr>
            </w:pPr>
            <w:r>
              <w:rPr>
                <w:spacing w:val="-1"/>
                <w:sz w:val="16"/>
                <w:szCs w:val="16"/>
              </w:rPr>
              <w:t>3.酒、饮料及精制茶制造业</w:t>
            </w:r>
          </w:p>
          <w:p w14:paraId="0485D140">
            <w:pPr>
              <w:pStyle w:val="6"/>
              <w:spacing w:before="2" w:line="231" w:lineRule="auto"/>
              <w:ind w:left="410"/>
              <w:rPr>
                <w:sz w:val="16"/>
                <w:szCs w:val="16"/>
              </w:rPr>
            </w:pPr>
            <w:r>
              <w:rPr>
                <w:spacing w:val="-1"/>
                <w:sz w:val="16"/>
                <w:szCs w:val="16"/>
              </w:rPr>
              <w:t>4.烟草制品业</w:t>
            </w:r>
          </w:p>
          <w:p w14:paraId="2F33F4BA">
            <w:pPr>
              <w:pStyle w:val="6"/>
              <w:spacing w:line="219" w:lineRule="auto"/>
              <w:ind w:left="420"/>
              <w:rPr>
                <w:sz w:val="16"/>
                <w:szCs w:val="16"/>
              </w:rPr>
            </w:pPr>
            <w:r>
              <w:rPr>
                <w:spacing w:val="-2"/>
                <w:sz w:val="16"/>
                <w:szCs w:val="16"/>
              </w:rPr>
              <w:t>5.纺织业</w:t>
            </w:r>
          </w:p>
          <w:p w14:paraId="122389D2">
            <w:pPr>
              <w:pStyle w:val="6"/>
              <w:spacing w:line="220" w:lineRule="auto"/>
              <w:ind w:left="420"/>
              <w:rPr>
                <w:sz w:val="16"/>
                <w:szCs w:val="16"/>
              </w:rPr>
            </w:pPr>
            <w:r>
              <w:rPr>
                <w:spacing w:val="-1"/>
                <w:sz w:val="16"/>
                <w:szCs w:val="16"/>
              </w:rPr>
              <w:t>6.纺织服装、服饰业</w:t>
            </w:r>
          </w:p>
          <w:p w14:paraId="79BBD33F">
            <w:pPr>
              <w:pStyle w:val="6"/>
              <w:spacing w:before="19" w:line="207" w:lineRule="auto"/>
              <w:ind w:left="420"/>
              <w:rPr>
                <w:sz w:val="16"/>
                <w:szCs w:val="16"/>
              </w:rPr>
            </w:pPr>
            <w:r>
              <w:rPr>
                <w:spacing w:val="-1"/>
                <w:sz w:val="16"/>
                <w:szCs w:val="16"/>
              </w:rPr>
              <w:t>7.皮革、毛皮、羽毛及其制品和制鞋业</w:t>
            </w:r>
          </w:p>
          <w:p w14:paraId="0B570782">
            <w:pPr>
              <w:pStyle w:val="6"/>
              <w:spacing w:before="1" w:line="219" w:lineRule="auto"/>
              <w:ind w:left="400" w:right="571" w:firstLine="20"/>
              <w:rPr>
                <w:sz w:val="16"/>
                <w:szCs w:val="16"/>
              </w:rPr>
            </w:pPr>
            <w:r>
              <w:rPr>
                <w:spacing w:val="-1"/>
                <w:sz w:val="16"/>
                <w:szCs w:val="16"/>
              </w:rPr>
              <w:t>8.木材加工和木、竹、藤、棕、草制品业</w:t>
            </w:r>
            <w:r>
              <w:rPr>
                <w:spacing w:val="11"/>
                <w:sz w:val="16"/>
                <w:szCs w:val="16"/>
              </w:rPr>
              <w:t xml:space="preserve"> </w:t>
            </w:r>
            <w:r>
              <w:rPr>
                <w:spacing w:val="-1"/>
                <w:sz w:val="16"/>
                <w:szCs w:val="16"/>
              </w:rPr>
              <w:t>9.家具制造</w:t>
            </w:r>
            <w:r>
              <w:rPr>
                <w:spacing w:val="-1"/>
                <w:sz w:val="16"/>
                <w:szCs w:val="16"/>
                <w:u w:val="single" w:color="auto"/>
              </w:rPr>
              <w:t>业</w:t>
            </w:r>
          </w:p>
          <w:p w14:paraId="3BA1C959">
            <w:pPr>
              <w:pStyle w:val="6"/>
              <w:spacing w:line="220" w:lineRule="auto"/>
              <w:ind w:left="420"/>
              <w:rPr>
                <w:sz w:val="16"/>
                <w:szCs w:val="16"/>
              </w:rPr>
            </w:pPr>
            <w:r>
              <w:rPr>
                <w:sz w:val="16"/>
                <w:szCs w:val="16"/>
              </w:rPr>
              <w:t>10.造纸和纸制品业</w:t>
            </w:r>
          </w:p>
          <w:p w14:paraId="41719633">
            <w:pPr>
              <w:pStyle w:val="6"/>
              <w:spacing w:before="18" w:line="197" w:lineRule="auto"/>
              <w:ind w:left="420"/>
              <w:rPr>
                <w:sz w:val="16"/>
                <w:szCs w:val="16"/>
              </w:rPr>
            </w:pPr>
            <w:r>
              <w:rPr>
                <w:sz w:val="16"/>
                <w:szCs w:val="16"/>
              </w:rPr>
              <w:t>11.印刷和记录媒介复制业</w:t>
            </w:r>
          </w:p>
          <w:p w14:paraId="2CE7562F">
            <w:pPr>
              <w:pStyle w:val="6"/>
              <w:spacing w:before="1" w:line="219" w:lineRule="auto"/>
              <w:ind w:left="420"/>
              <w:rPr>
                <w:sz w:val="16"/>
                <w:szCs w:val="16"/>
              </w:rPr>
            </w:pPr>
            <w:r>
              <w:rPr>
                <w:sz w:val="16"/>
                <w:szCs w:val="16"/>
              </w:rPr>
              <w:t>12.文教、工美、体育和娱乐用品制造业</w:t>
            </w:r>
          </w:p>
          <w:p w14:paraId="2C65538A">
            <w:pPr>
              <w:pStyle w:val="6"/>
              <w:spacing w:before="30" w:line="208" w:lineRule="auto"/>
              <w:ind w:left="420"/>
              <w:rPr>
                <w:sz w:val="16"/>
                <w:szCs w:val="16"/>
              </w:rPr>
            </w:pPr>
            <w:r>
              <w:rPr>
                <w:spacing w:val="-1"/>
                <w:sz w:val="16"/>
                <w:szCs w:val="16"/>
              </w:rPr>
              <w:t>其中：体育用品制造</w:t>
            </w:r>
          </w:p>
          <w:p w14:paraId="413F9796">
            <w:pPr>
              <w:pStyle w:val="6"/>
              <w:spacing w:before="1" w:line="230" w:lineRule="auto"/>
              <w:ind w:left="420"/>
              <w:rPr>
                <w:sz w:val="16"/>
                <w:szCs w:val="16"/>
              </w:rPr>
            </w:pPr>
            <w:r>
              <w:rPr>
                <w:sz w:val="16"/>
                <w:szCs w:val="16"/>
              </w:rPr>
              <w:t>13.石油、煤炭及其他燃料加工业</w:t>
            </w:r>
          </w:p>
          <w:p w14:paraId="4DED8670">
            <w:pPr>
              <w:pStyle w:val="6"/>
              <w:spacing w:line="220" w:lineRule="auto"/>
              <w:ind w:left="420"/>
              <w:rPr>
                <w:sz w:val="16"/>
                <w:szCs w:val="16"/>
              </w:rPr>
            </w:pPr>
            <w:r>
              <w:rPr>
                <w:spacing w:val="-1"/>
                <w:sz w:val="16"/>
                <w:szCs w:val="16"/>
              </w:rPr>
              <w:t>其中：煤化工</w:t>
            </w:r>
          </w:p>
          <w:p w14:paraId="2EEF24AB">
            <w:pPr>
              <w:pStyle w:val="6"/>
              <w:spacing w:before="9" w:line="219" w:lineRule="auto"/>
              <w:ind w:left="420"/>
              <w:rPr>
                <w:sz w:val="16"/>
                <w:szCs w:val="16"/>
              </w:rPr>
            </w:pPr>
            <w:r>
              <w:rPr>
                <w:sz w:val="16"/>
                <w:szCs w:val="16"/>
              </w:rPr>
              <w:t>14.化学原料和化学制品制造业</w:t>
            </w:r>
          </w:p>
          <w:p w14:paraId="1CBF6047">
            <w:pPr>
              <w:pStyle w:val="6"/>
              <w:spacing w:before="1" w:line="232" w:lineRule="auto"/>
              <w:ind w:left="420"/>
              <w:rPr>
                <w:sz w:val="16"/>
                <w:szCs w:val="16"/>
              </w:rPr>
            </w:pPr>
            <w:r>
              <w:rPr>
                <w:spacing w:val="-2"/>
                <w:sz w:val="16"/>
                <w:szCs w:val="16"/>
              </w:rPr>
              <w:t>其中：氯碱</w:t>
            </w:r>
          </w:p>
          <w:p w14:paraId="3BEF8863">
            <w:pPr>
              <w:pStyle w:val="6"/>
              <w:spacing w:line="195" w:lineRule="auto"/>
              <w:ind w:left="990"/>
              <w:rPr>
                <w:sz w:val="16"/>
                <w:szCs w:val="16"/>
              </w:rPr>
            </w:pPr>
            <w:r>
              <w:rPr>
                <w:spacing w:val="4"/>
                <w:sz w:val="16"/>
                <w:szCs w:val="16"/>
              </w:rPr>
              <w:t>电石</w:t>
            </w:r>
          </w:p>
          <w:p w14:paraId="3C7EC2AD">
            <w:pPr>
              <w:pStyle w:val="6"/>
              <w:spacing w:before="18" w:line="196" w:lineRule="auto"/>
              <w:ind w:left="990"/>
              <w:rPr>
                <w:sz w:val="16"/>
                <w:szCs w:val="16"/>
              </w:rPr>
            </w:pPr>
            <w:r>
              <w:rPr>
                <w:spacing w:val="-2"/>
                <w:sz w:val="16"/>
                <w:szCs w:val="16"/>
              </w:rPr>
              <w:t>黄磷</w:t>
            </w:r>
          </w:p>
          <w:p w14:paraId="0B42E2F4">
            <w:pPr>
              <w:pStyle w:val="6"/>
              <w:spacing w:before="1" w:line="218" w:lineRule="auto"/>
              <w:ind w:left="960"/>
              <w:rPr>
                <w:sz w:val="16"/>
                <w:szCs w:val="16"/>
              </w:rPr>
            </w:pPr>
            <w:r>
              <w:rPr>
                <w:spacing w:val="-2"/>
                <w:sz w:val="16"/>
                <w:szCs w:val="16"/>
              </w:rPr>
              <w:t>肥料制造</w:t>
            </w:r>
          </w:p>
          <w:p w14:paraId="32C614DE">
            <w:pPr>
              <w:pStyle w:val="6"/>
              <w:spacing w:before="1" w:line="219" w:lineRule="auto"/>
              <w:ind w:left="440"/>
              <w:rPr>
                <w:sz w:val="16"/>
                <w:szCs w:val="16"/>
              </w:rPr>
            </w:pPr>
            <w:r>
              <w:rPr>
                <w:sz w:val="16"/>
                <w:szCs w:val="16"/>
              </w:rPr>
              <w:t>15.医药制造业</w:t>
            </w:r>
          </w:p>
          <w:p w14:paraId="46E798DE">
            <w:pPr>
              <w:pStyle w:val="6"/>
              <w:spacing w:line="219" w:lineRule="auto"/>
              <w:ind w:left="480"/>
              <w:rPr>
                <w:sz w:val="16"/>
                <w:szCs w:val="16"/>
              </w:rPr>
            </w:pPr>
            <w:r>
              <w:rPr>
                <w:spacing w:val="-1"/>
                <w:sz w:val="16"/>
                <w:szCs w:val="16"/>
              </w:rPr>
              <w:t>其中：中成药生产</w:t>
            </w:r>
          </w:p>
          <w:p w14:paraId="5A9FD990">
            <w:pPr>
              <w:pStyle w:val="6"/>
              <w:spacing w:before="11" w:line="220" w:lineRule="auto"/>
              <w:ind w:left="990"/>
              <w:rPr>
                <w:sz w:val="16"/>
                <w:szCs w:val="16"/>
              </w:rPr>
            </w:pPr>
            <w:r>
              <w:rPr>
                <w:spacing w:val="-1"/>
                <w:sz w:val="16"/>
                <w:szCs w:val="16"/>
              </w:rPr>
              <w:t>生物药品制品制造</w:t>
            </w:r>
          </w:p>
          <w:p w14:paraId="4BFC7606">
            <w:pPr>
              <w:pStyle w:val="6"/>
              <w:spacing w:before="18" w:line="219" w:lineRule="auto"/>
              <w:ind w:left="420"/>
              <w:rPr>
                <w:sz w:val="16"/>
                <w:szCs w:val="16"/>
              </w:rPr>
            </w:pPr>
            <w:r>
              <w:rPr>
                <w:sz w:val="16"/>
                <w:szCs w:val="16"/>
              </w:rPr>
              <w:t>16.化学纤维制造业</w:t>
            </w:r>
          </w:p>
          <w:p w14:paraId="25D5EE09">
            <w:pPr>
              <w:pStyle w:val="6"/>
              <w:spacing w:before="1" w:line="207" w:lineRule="auto"/>
              <w:ind w:left="420"/>
              <w:rPr>
                <w:sz w:val="16"/>
                <w:szCs w:val="16"/>
              </w:rPr>
            </w:pPr>
            <w:r>
              <w:rPr>
                <w:sz w:val="16"/>
                <w:szCs w:val="16"/>
              </w:rPr>
              <w:t>17.橡胶和塑料制品业</w:t>
            </w:r>
          </w:p>
          <w:p w14:paraId="5C81D77A">
            <w:pPr>
              <w:pStyle w:val="6"/>
              <w:spacing w:line="219" w:lineRule="auto"/>
              <w:ind w:left="420"/>
              <w:rPr>
                <w:sz w:val="16"/>
                <w:szCs w:val="16"/>
              </w:rPr>
            </w:pPr>
            <w:r>
              <w:rPr>
                <w:spacing w:val="-1"/>
                <w:sz w:val="16"/>
                <w:szCs w:val="16"/>
              </w:rPr>
              <w:t>其中：橡胶制品业</w:t>
            </w:r>
          </w:p>
          <w:p w14:paraId="2966F33B">
            <w:pPr>
              <w:pStyle w:val="6"/>
              <w:spacing w:before="1" w:line="220" w:lineRule="auto"/>
              <w:ind w:left="960"/>
              <w:rPr>
                <w:sz w:val="16"/>
                <w:szCs w:val="16"/>
              </w:rPr>
            </w:pPr>
            <w:r>
              <w:rPr>
                <w:spacing w:val="-2"/>
                <w:sz w:val="16"/>
                <w:szCs w:val="16"/>
              </w:rPr>
              <w:t>塑料制品业</w:t>
            </w:r>
          </w:p>
          <w:p w14:paraId="73FD4574">
            <w:pPr>
              <w:pStyle w:val="6"/>
              <w:spacing w:before="9" w:line="219" w:lineRule="auto"/>
              <w:ind w:left="420"/>
              <w:rPr>
                <w:sz w:val="16"/>
                <w:szCs w:val="16"/>
              </w:rPr>
            </w:pPr>
            <w:r>
              <w:rPr>
                <w:sz w:val="16"/>
                <w:szCs w:val="16"/>
              </w:rPr>
              <w:t>18.非金属矿物制品业</w:t>
            </w:r>
          </w:p>
          <w:p w14:paraId="61BDD3AE">
            <w:pPr>
              <w:pStyle w:val="6"/>
              <w:spacing w:line="219" w:lineRule="auto"/>
              <w:ind w:left="480"/>
              <w:rPr>
                <w:sz w:val="16"/>
                <w:szCs w:val="16"/>
              </w:rPr>
            </w:pPr>
            <w:r>
              <w:rPr>
                <w:spacing w:val="-1"/>
                <w:sz w:val="16"/>
                <w:szCs w:val="16"/>
              </w:rPr>
              <w:t>其中：水泥制造</w:t>
            </w:r>
          </w:p>
          <w:p w14:paraId="535DF160">
            <w:pPr>
              <w:pStyle w:val="6"/>
              <w:spacing w:before="11" w:line="219" w:lineRule="auto"/>
              <w:ind w:left="970"/>
              <w:rPr>
                <w:sz w:val="16"/>
                <w:szCs w:val="16"/>
              </w:rPr>
            </w:pPr>
            <w:r>
              <w:rPr>
                <w:spacing w:val="-2"/>
                <w:sz w:val="16"/>
                <w:szCs w:val="16"/>
              </w:rPr>
              <w:t>玻璃制造</w:t>
            </w:r>
          </w:p>
          <w:p w14:paraId="1E16478F">
            <w:pPr>
              <w:pStyle w:val="6"/>
              <w:spacing w:before="1" w:line="230" w:lineRule="auto"/>
              <w:ind w:left="970"/>
              <w:rPr>
                <w:sz w:val="16"/>
                <w:szCs w:val="16"/>
              </w:rPr>
            </w:pPr>
            <w:r>
              <w:rPr>
                <w:spacing w:val="1"/>
                <w:sz w:val="16"/>
                <w:szCs w:val="16"/>
              </w:rPr>
              <w:t>陶瓷制品制造</w:t>
            </w:r>
          </w:p>
          <w:p w14:paraId="5714E196">
            <w:pPr>
              <w:pStyle w:val="6"/>
              <w:spacing w:line="220" w:lineRule="auto"/>
              <w:ind w:left="960"/>
              <w:rPr>
                <w:sz w:val="16"/>
                <w:szCs w:val="16"/>
              </w:rPr>
            </w:pPr>
            <w:r>
              <w:rPr>
                <w:spacing w:val="-2"/>
                <w:sz w:val="16"/>
                <w:szCs w:val="16"/>
              </w:rPr>
              <w:t>碳化硅</w:t>
            </w:r>
          </w:p>
          <w:p w14:paraId="781F5910">
            <w:pPr>
              <w:pStyle w:val="6"/>
              <w:spacing w:before="9" w:line="219" w:lineRule="auto"/>
              <w:ind w:left="420"/>
              <w:rPr>
                <w:sz w:val="16"/>
                <w:szCs w:val="16"/>
              </w:rPr>
            </w:pPr>
            <w:r>
              <w:rPr>
                <w:sz w:val="16"/>
                <w:szCs w:val="16"/>
              </w:rPr>
              <w:t>19.黑色金属冶炼和压延加工业</w:t>
            </w:r>
          </w:p>
          <w:p w14:paraId="03B3FA80">
            <w:pPr>
              <w:pStyle w:val="6"/>
              <w:spacing w:line="196" w:lineRule="auto"/>
              <w:ind w:left="420"/>
              <w:rPr>
                <w:sz w:val="16"/>
                <w:szCs w:val="16"/>
              </w:rPr>
            </w:pPr>
            <w:r>
              <w:rPr>
                <w:spacing w:val="-2"/>
                <w:sz w:val="16"/>
                <w:szCs w:val="16"/>
              </w:rPr>
              <w:t>其中：钢铁</w:t>
            </w:r>
          </w:p>
          <w:p w14:paraId="6BA991E4">
            <w:pPr>
              <w:pStyle w:val="6"/>
              <w:spacing w:line="220" w:lineRule="auto"/>
              <w:ind w:left="960"/>
              <w:rPr>
                <w:sz w:val="16"/>
                <w:szCs w:val="16"/>
              </w:rPr>
            </w:pPr>
            <w:r>
              <w:rPr>
                <w:spacing w:val="-1"/>
                <w:sz w:val="16"/>
                <w:szCs w:val="16"/>
              </w:rPr>
              <w:t>铁合金冶炼</w:t>
            </w:r>
          </w:p>
          <w:p w14:paraId="3E1F072E">
            <w:pPr>
              <w:pStyle w:val="6"/>
              <w:spacing w:before="30" w:line="196" w:lineRule="auto"/>
              <w:ind w:left="420"/>
              <w:rPr>
                <w:sz w:val="16"/>
                <w:szCs w:val="16"/>
              </w:rPr>
            </w:pPr>
            <w:r>
              <w:rPr>
                <w:spacing w:val="-1"/>
                <w:sz w:val="16"/>
                <w:szCs w:val="16"/>
              </w:rPr>
              <w:t>20.有色金属冶炼和压延加工业</w:t>
            </w:r>
          </w:p>
          <w:p w14:paraId="3C324D94">
            <w:pPr>
              <w:pStyle w:val="6"/>
              <w:spacing w:line="219" w:lineRule="auto"/>
              <w:ind w:left="480"/>
              <w:rPr>
                <w:sz w:val="16"/>
                <w:szCs w:val="16"/>
              </w:rPr>
            </w:pPr>
            <w:r>
              <w:rPr>
                <w:spacing w:val="-1"/>
                <w:sz w:val="16"/>
                <w:szCs w:val="16"/>
              </w:rPr>
              <w:t>其中：铝冶炼</w:t>
            </w:r>
          </w:p>
          <w:p w14:paraId="5F47B543">
            <w:pPr>
              <w:pStyle w:val="6"/>
              <w:spacing w:line="220" w:lineRule="auto"/>
              <w:ind w:left="960"/>
              <w:rPr>
                <w:sz w:val="16"/>
                <w:szCs w:val="16"/>
              </w:rPr>
            </w:pPr>
            <w:r>
              <w:rPr>
                <w:spacing w:val="-2"/>
                <w:sz w:val="16"/>
                <w:szCs w:val="16"/>
              </w:rPr>
              <w:t>铅锌冶炼</w:t>
            </w:r>
          </w:p>
          <w:p w14:paraId="5E812680">
            <w:pPr>
              <w:pStyle w:val="6"/>
              <w:spacing w:before="10" w:line="219" w:lineRule="auto"/>
              <w:ind w:left="960"/>
              <w:rPr>
                <w:sz w:val="16"/>
                <w:szCs w:val="16"/>
              </w:rPr>
            </w:pPr>
            <w:r>
              <w:rPr>
                <w:spacing w:val="-1"/>
                <w:sz w:val="16"/>
                <w:szCs w:val="16"/>
              </w:rPr>
              <w:t>稀有稀土金属冶炼</w:t>
            </w:r>
          </w:p>
          <w:p w14:paraId="6A314CD7">
            <w:pPr>
              <w:pStyle w:val="6"/>
              <w:spacing w:line="220" w:lineRule="auto"/>
              <w:ind w:left="400"/>
              <w:rPr>
                <w:sz w:val="16"/>
                <w:szCs w:val="16"/>
              </w:rPr>
            </w:pPr>
            <w:r>
              <w:rPr>
                <w:spacing w:val="-2"/>
                <w:sz w:val="16"/>
                <w:szCs w:val="16"/>
              </w:rPr>
              <w:t>21.金属制品业</w:t>
            </w:r>
          </w:p>
          <w:p w14:paraId="54ADEE98">
            <w:pPr>
              <w:pStyle w:val="6"/>
              <w:spacing w:before="19" w:line="196" w:lineRule="auto"/>
              <w:ind w:left="420"/>
              <w:rPr>
                <w:sz w:val="16"/>
                <w:szCs w:val="16"/>
              </w:rPr>
            </w:pPr>
            <w:r>
              <w:rPr>
                <w:spacing w:val="-1"/>
                <w:sz w:val="16"/>
                <w:szCs w:val="16"/>
              </w:rPr>
              <w:t>其中：结构性金属制品制造</w:t>
            </w:r>
          </w:p>
          <w:p w14:paraId="5CFF18F5">
            <w:pPr>
              <w:pStyle w:val="6"/>
              <w:spacing w:line="196" w:lineRule="auto"/>
              <w:ind w:left="420"/>
              <w:rPr>
                <w:sz w:val="16"/>
                <w:szCs w:val="16"/>
              </w:rPr>
            </w:pPr>
            <w:r>
              <w:rPr>
                <w:spacing w:val="-1"/>
                <w:sz w:val="16"/>
                <w:szCs w:val="16"/>
              </w:rPr>
              <w:t>22.通用设备制造业</w:t>
            </w:r>
          </w:p>
          <w:p w14:paraId="16A81876">
            <w:pPr>
              <w:pStyle w:val="6"/>
              <w:spacing w:before="1" w:line="193" w:lineRule="auto"/>
              <w:ind w:left="480"/>
              <w:rPr>
                <w:sz w:val="16"/>
                <w:szCs w:val="16"/>
              </w:rPr>
            </w:pPr>
            <w:r>
              <w:rPr>
                <w:spacing w:val="-1"/>
                <w:sz w:val="16"/>
                <w:szCs w:val="16"/>
              </w:rPr>
              <w:t>其中：风能原动设备制造</w:t>
            </w:r>
          </w:p>
        </w:tc>
        <w:tc>
          <w:tcPr>
            <w:tcW w:w="720" w:type="dxa"/>
            <w:vAlign w:val="top"/>
          </w:tcPr>
          <w:p w14:paraId="13799D9D">
            <w:pPr>
              <w:pStyle w:val="6"/>
              <w:spacing w:before="117" w:line="184" w:lineRule="auto"/>
              <w:ind w:left="275"/>
              <w:rPr>
                <w:sz w:val="16"/>
                <w:szCs w:val="16"/>
              </w:rPr>
            </w:pPr>
            <w:r>
              <w:rPr>
                <w:spacing w:val="-2"/>
                <w:sz w:val="16"/>
                <w:szCs w:val="16"/>
              </w:rPr>
              <w:t>01</w:t>
            </w:r>
          </w:p>
          <w:p w14:paraId="657853B6">
            <w:pPr>
              <w:pStyle w:val="6"/>
              <w:spacing w:before="11" w:line="183" w:lineRule="auto"/>
              <w:ind w:left="275"/>
              <w:rPr>
                <w:sz w:val="16"/>
                <w:szCs w:val="16"/>
              </w:rPr>
            </w:pPr>
            <w:r>
              <w:rPr>
                <w:spacing w:val="-2"/>
                <w:sz w:val="16"/>
                <w:szCs w:val="16"/>
              </w:rPr>
              <w:t>02</w:t>
            </w:r>
          </w:p>
          <w:p w14:paraId="7E8F8DE3">
            <w:pPr>
              <w:pStyle w:val="6"/>
              <w:spacing w:before="31" w:line="183" w:lineRule="auto"/>
              <w:ind w:left="275"/>
              <w:rPr>
                <w:sz w:val="16"/>
                <w:szCs w:val="16"/>
              </w:rPr>
            </w:pPr>
            <w:r>
              <w:rPr>
                <w:spacing w:val="-2"/>
                <w:sz w:val="16"/>
                <w:szCs w:val="16"/>
              </w:rPr>
              <w:t>03</w:t>
            </w:r>
          </w:p>
          <w:p w14:paraId="344FDA9A">
            <w:pPr>
              <w:pStyle w:val="6"/>
              <w:spacing w:before="41" w:line="183" w:lineRule="auto"/>
              <w:ind w:left="275"/>
              <w:rPr>
                <w:sz w:val="16"/>
                <w:szCs w:val="16"/>
              </w:rPr>
            </w:pPr>
            <w:r>
              <w:rPr>
                <w:spacing w:val="-2"/>
                <w:sz w:val="16"/>
                <w:szCs w:val="16"/>
              </w:rPr>
              <w:t>04</w:t>
            </w:r>
          </w:p>
          <w:p w14:paraId="45E01DD8">
            <w:pPr>
              <w:pStyle w:val="6"/>
              <w:spacing w:before="11" w:line="183" w:lineRule="auto"/>
              <w:ind w:left="275"/>
              <w:rPr>
                <w:sz w:val="16"/>
                <w:szCs w:val="16"/>
              </w:rPr>
            </w:pPr>
            <w:r>
              <w:rPr>
                <w:spacing w:val="-2"/>
                <w:sz w:val="16"/>
                <w:szCs w:val="16"/>
              </w:rPr>
              <w:t>05</w:t>
            </w:r>
          </w:p>
          <w:p w14:paraId="4E1BAD11">
            <w:pPr>
              <w:pStyle w:val="6"/>
              <w:spacing w:before="61" w:line="183" w:lineRule="auto"/>
              <w:ind w:left="275"/>
              <w:rPr>
                <w:sz w:val="16"/>
                <w:szCs w:val="16"/>
              </w:rPr>
            </w:pPr>
            <w:r>
              <w:rPr>
                <w:spacing w:val="-2"/>
                <w:sz w:val="16"/>
                <w:szCs w:val="16"/>
              </w:rPr>
              <w:t>06</w:t>
            </w:r>
          </w:p>
          <w:p w14:paraId="4190CE6B">
            <w:pPr>
              <w:pStyle w:val="6"/>
              <w:spacing w:before="31" w:line="183" w:lineRule="auto"/>
              <w:ind w:left="275"/>
              <w:rPr>
                <w:sz w:val="16"/>
                <w:szCs w:val="16"/>
              </w:rPr>
            </w:pPr>
            <w:r>
              <w:rPr>
                <w:spacing w:val="-2"/>
                <w:sz w:val="16"/>
                <w:szCs w:val="16"/>
              </w:rPr>
              <w:t>07</w:t>
            </w:r>
          </w:p>
          <w:p w14:paraId="09CA0249">
            <w:pPr>
              <w:pStyle w:val="6"/>
              <w:spacing w:before="41" w:line="183" w:lineRule="auto"/>
              <w:ind w:left="275"/>
              <w:rPr>
                <w:sz w:val="16"/>
                <w:szCs w:val="16"/>
              </w:rPr>
            </w:pPr>
            <w:r>
              <w:rPr>
                <w:spacing w:val="-2"/>
                <w:sz w:val="16"/>
                <w:szCs w:val="16"/>
              </w:rPr>
              <w:t>08</w:t>
            </w:r>
          </w:p>
          <w:p w14:paraId="5129935D">
            <w:pPr>
              <w:pStyle w:val="6"/>
              <w:spacing w:before="32" w:line="183" w:lineRule="auto"/>
              <w:ind w:left="275"/>
              <w:rPr>
                <w:sz w:val="16"/>
                <w:szCs w:val="16"/>
              </w:rPr>
            </w:pPr>
            <w:r>
              <w:rPr>
                <w:spacing w:val="-2"/>
                <w:sz w:val="16"/>
                <w:szCs w:val="16"/>
              </w:rPr>
              <w:t>09</w:t>
            </w:r>
          </w:p>
          <w:p w14:paraId="00B39BEC">
            <w:pPr>
              <w:pStyle w:val="6"/>
              <w:spacing w:before="30" w:line="184" w:lineRule="auto"/>
              <w:ind w:left="275"/>
              <w:rPr>
                <w:sz w:val="16"/>
                <w:szCs w:val="16"/>
              </w:rPr>
            </w:pPr>
            <w:r>
              <w:rPr>
                <w:spacing w:val="-5"/>
                <w:sz w:val="16"/>
                <w:szCs w:val="16"/>
              </w:rPr>
              <w:t>10</w:t>
            </w:r>
          </w:p>
          <w:p w14:paraId="15D61587">
            <w:pPr>
              <w:pStyle w:val="6"/>
              <w:spacing w:before="41" w:line="184" w:lineRule="auto"/>
              <w:ind w:left="275"/>
              <w:rPr>
                <w:sz w:val="16"/>
                <w:szCs w:val="16"/>
              </w:rPr>
            </w:pPr>
            <w:r>
              <w:rPr>
                <w:spacing w:val="-5"/>
                <w:sz w:val="16"/>
                <w:szCs w:val="16"/>
              </w:rPr>
              <w:t>11</w:t>
            </w:r>
          </w:p>
          <w:p w14:paraId="1BED20D4">
            <w:pPr>
              <w:pStyle w:val="6"/>
              <w:spacing w:before="30" w:line="184" w:lineRule="auto"/>
              <w:ind w:left="275"/>
              <w:rPr>
                <w:sz w:val="16"/>
                <w:szCs w:val="16"/>
              </w:rPr>
            </w:pPr>
            <w:r>
              <w:rPr>
                <w:spacing w:val="-5"/>
                <w:sz w:val="16"/>
                <w:szCs w:val="16"/>
              </w:rPr>
              <w:t>12</w:t>
            </w:r>
          </w:p>
          <w:p w14:paraId="6ED50497">
            <w:pPr>
              <w:pStyle w:val="6"/>
              <w:spacing w:before="41" w:line="184" w:lineRule="auto"/>
              <w:ind w:left="275"/>
              <w:rPr>
                <w:sz w:val="16"/>
                <w:szCs w:val="16"/>
              </w:rPr>
            </w:pPr>
            <w:r>
              <w:rPr>
                <w:spacing w:val="-5"/>
                <w:sz w:val="16"/>
                <w:szCs w:val="16"/>
              </w:rPr>
              <w:t>13</w:t>
            </w:r>
          </w:p>
          <w:p w14:paraId="7F188FE4">
            <w:pPr>
              <w:pStyle w:val="6"/>
              <w:spacing w:before="50" w:line="184" w:lineRule="auto"/>
              <w:ind w:left="275"/>
              <w:rPr>
                <w:sz w:val="16"/>
                <w:szCs w:val="16"/>
              </w:rPr>
            </w:pPr>
            <w:r>
              <w:rPr>
                <w:spacing w:val="-5"/>
                <w:sz w:val="16"/>
                <w:szCs w:val="16"/>
              </w:rPr>
              <w:t>14</w:t>
            </w:r>
          </w:p>
          <w:p w14:paraId="0FCE0128">
            <w:pPr>
              <w:pStyle w:val="6"/>
              <w:spacing w:before="43" w:line="182" w:lineRule="auto"/>
              <w:ind w:left="315"/>
              <w:rPr>
                <w:sz w:val="16"/>
                <w:szCs w:val="16"/>
              </w:rPr>
            </w:pPr>
            <w:r>
              <w:rPr>
                <w:sz w:val="16"/>
                <w:szCs w:val="16"/>
              </w:rPr>
              <w:t>5</w:t>
            </w:r>
          </w:p>
          <w:p w14:paraId="69CE4B89">
            <w:pPr>
              <w:pStyle w:val="6"/>
              <w:spacing w:before="31" w:line="183" w:lineRule="auto"/>
              <w:ind w:left="315"/>
              <w:rPr>
                <w:sz w:val="16"/>
                <w:szCs w:val="16"/>
              </w:rPr>
            </w:pPr>
            <w:r>
              <w:rPr>
                <w:sz w:val="16"/>
                <w:szCs w:val="16"/>
              </w:rPr>
              <w:t>6</w:t>
            </w:r>
          </w:p>
          <w:p w14:paraId="66BF7888">
            <w:pPr>
              <w:pStyle w:val="6"/>
              <w:spacing w:before="32" w:line="182" w:lineRule="auto"/>
              <w:ind w:left="315"/>
              <w:rPr>
                <w:sz w:val="16"/>
                <w:szCs w:val="16"/>
              </w:rPr>
            </w:pPr>
            <w:r>
              <w:rPr>
                <w:sz w:val="16"/>
                <w:szCs w:val="16"/>
              </w:rPr>
              <w:t>7</w:t>
            </w:r>
          </w:p>
          <w:p w14:paraId="7CBD60A4">
            <w:pPr>
              <w:pStyle w:val="6"/>
              <w:spacing w:before="52" w:line="183" w:lineRule="auto"/>
              <w:ind w:left="315"/>
              <w:rPr>
                <w:sz w:val="16"/>
                <w:szCs w:val="16"/>
              </w:rPr>
            </w:pPr>
            <w:r>
              <w:rPr>
                <w:sz w:val="16"/>
                <w:szCs w:val="16"/>
              </w:rPr>
              <w:t>8</w:t>
            </w:r>
          </w:p>
          <w:p w14:paraId="617FFD41">
            <w:pPr>
              <w:spacing w:line="245" w:lineRule="auto"/>
              <w:rPr>
                <w:rFonts w:ascii="Arial"/>
                <w:sz w:val="21"/>
              </w:rPr>
            </w:pPr>
          </w:p>
          <w:p w14:paraId="607E5B21">
            <w:pPr>
              <w:spacing w:line="246" w:lineRule="auto"/>
              <w:rPr>
                <w:rFonts w:ascii="Arial"/>
                <w:sz w:val="21"/>
              </w:rPr>
            </w:pPr>
          </w:p>
          <w:p w14:paraId="522BD5B2">
            <w:pPr>
              <w:spacing w:line="246" w:lineRule="auto"/>
              <w:rPr>
                <w:rFonts w:ascii="Arial"/>
                <w:sz w:val="21"/>
              </w:rPr>
            </w:pPr>
          </w:p>
          <w:p w14:paraId="1D5AACED">
            <w:pPr>
              <w:spacing w:line="246" w:lineRule="auto"/>
              <w:rPr>
                <w:rFonts w:ascii="Arial"/>
                <w:sz w:val="21"/>
              </w:rPr>
            </w:pPr>
          </w:p>
          <w:p w14:paraId="1310C66A">
            <w:pPr>
              <w:spacing w:line="246" w:lineRule="auto"/>
              <w:rPr>
                <w:rFonts w:ascii="Arial"/>
                <w:sz w:val="21"/>
              </w:rPr>
            </w:pPr>
          </w:p>
          <w:p w14:paraId="3BE4DFC5">
            <w:pPr>
              <w:spacing w:line="246" w:lineRule="auto"/>
              <w:rPr>
                <w:rFonts w:ascii="Arial"/>
                <w:sz w:val="21"/>
              </w:rPr>
            </w:pPr>
          </w:p>
          <w:p w14:paraId="6B8A1280">
            <w:pPr>
              <w:spacing w:line="246" w:lineRule="auto"/>
              <w:rPr>
                <w:rFonts w:ascii="Arial"/>
                <w:sz w:val="21"/>
              </w:rPr>
            </w:pPr>
          </w:p>
          <w:p w14:paraId="33BB8DBE">
            <w:pPr>
              <w:spacing w:line="246" w:lineRule="auto"/>
              <w:rPr>
                <w:rFonts w:ascii="Arial"/>
                <w:sz w:val="21"/>
              </w:rPr>
            </w:pPr>
          </w:p>
          <w:p w14:paraId="2202C9A6">
            <w:pPr>
              <w:spacing w:line="246" w:lineRule="auto"/>
              <w:rPr>
                <w:rFonts w:ascii="Arial"/>
                <w:sz w:val="21"/>
              </w:rPr>
            </w:pPr>
          </w:p>
          <w:p w14:paraId="10B97836">
            <w:pPr>
              <w:spacing w:line="246" w:lineRule="auto"/>
              <w:rPr>
                <w:rFonts w:ascii="Arial"/>
                <w:sz w:val="21"/>
              </w:rPr>
            </w:pPr>
          </w:p>
          <w:p w14:paraId="7BB989FE">
            <w:pPr>
              <w:spacing w:line="246" w:lineRule="auto"/>
              <w:rPr>
                <w:rFonts w:ascii="Arial"/>
                <w:sz w:val="21"/>
              </w:rPr>
            </w:pPr>
          </w:p>
          <w:p w14:paraId="13E4DF80">
            <w:pPr>
              <w:spacing w:line="246" w:lineRule="auto"/>
              <w:rPr>
                <w:rFonts w:ascii="Arial"/>
                <w:sz w:val="21"/>
              </w:rPr>
            </w:pPr>
          </w:p>
          <w:p w14:paraId="6CC85E3D">
            <w:pPr>
              <w:spacing w:line="246" w:lineRule="auto"/>
              <w:rPr>
                <w:rFonts w:ascii="Arial"/>
                <w:sz w:val="21"/>
              </w:rPr>
            </w:pPr>
          </w:p>
          <w:p w14:paraId="11DA8BB9">
            <w:pPr>
              <w:spacing w:line="246" w:lineRule="auto"/>
              <w:rPr>
                <w:rFonts w:ascii="Arial"/>
                <w:sz w:val="21"/>
              </w:rPr>
            </w:pPr>
          </w:p>
          <w:p w14:paraId="1FBFB5D5">
            <w:pPr>
              <w:spacing w:line="246" w:lineRule="auto"/>
              <w:rPr>
                <w:rFonts w:ascii="Arial"/>
                <w:sz w:val="21"/>
              </w:rPr>
            </w:pPr>
          </w:p>
          <w:p w14:paraId="78E4C8FA">
            <w:pPr>
              <w:spacing w:line="246" w:lineRule="auto"/>
              <w:rPr>
                <w:rFonts w:ascii="Arial"/>
                <w:sz w:val="21"/>
              </w:rPr>
            </w:pPr>
          </w:p>
          <w:p w14:paraId="27025161">
            <w:pPr>
              <w:spacing w:line="246" w:lineRule="auto"/>
              <w:rPr>
                <w:rFonts w:ascii="Arial"/>
                <w:sz w:val="21"/>
              </w:rPr>
            </w:pPr>
          </w:p>
          <w:p w14:paraId="17247CC2">
            <w:pPr>
              <w:spacing w:line="246" w:lineRule="auto"/>
              <w:rPr>
                <w:rFonts w:ascii="Arial"/>
                <w:sz w:val="21"/>
              </w:rPr>
            </w:pPr>
          </w:p>
          <w:p w14:paraId="7B61BBDA">
            <w:pPr>
              <w:spacing w:line="246" w:lineRule="auto"/>
              <w:rPr>
                <w:rFonts w:ascii="Arial"/>
                <w:sz w:val="21"/>
              </w:rPr>
            </w:pPr>
          </w:p>
          <w:p w14:paraId="56012957">
            <w:pPr>
              <w:spacing w:line="246" w:lineRule="auto"/>
              <w:rPr>
                <w:rFonts w:ascii="Arial"/>
                <w:sz w:val="21"/>
              </w:rPr>
            </w:pPr>
          </w:p>
          <w:p w14:paraId="385DE08F">
            <w:pPr>
              <w:spacing w:line="246" w:lineRule="auto"/>
              <w:rPr>
                <w:rFonts w:ascii="Arial"/>
                <w:sz w:val="21"/>
              </w:rPr>
            </w:pPr>
          </w:p>
          <w:p w14:paraId="3E6D4B3C">
            <w:pPr>
              <w:spacing w:line="246" w:lineRule="auto"/>
              <w:rPr>
                <w:rFonts w:ascii="Arial"/>
                <w:sz w:val="21"/>
              </w:rPr>
            </w:pPr>
          </w:p>
          <w:p w14:paraId="6EC0435C">
            <w:pPr>
              <w:spacing w:line="246" w:lineRule="auto"/>
              <w:rPr>
                <w:rFonts w:ascii="Arial"/>
                <w:sz w:val="21"/>
              </w:rPr>
            </w:pPr>
          </w:p>
          <w:p w14:paraId="6E73D365">
            <w:pPr>
              <w:spacing w:line="246" w:lineRule="auto"/>
              <w:rPr>
                <w:rFonts w:ascii="Arial"/>
                <w:sz w:val="21"/>
              </w:rPr>
            </w:pPr>
          </w:p>
          <w:p w14:paraId="607E698F">
            <w:pPr>
              <w:pStyle w:val="6"/>
              <w:spacing w:before="52" w:line="183" w:lineRule="auto"/>
              <w:ind w:left="275"/>
              <w:rPr>
                <w:sz w:val="16"/>
                <w:szCs w:val="16"/>
              </w:rPr>
            </w:pPr>
            <w:r>
              <w:rPr>
                <w:spacing w:val="-3"/>
                <w:sz w:val="16"/>
                <w:szCs w:val="16"/>
              </w:rPr>
              <w:t>50</w:t>
            </w:r>
          </w:p>
          <w:p w14:paraId="52FD3C8D">
            <w:pPr>
              <w:spacing w:line="317" w:lineRule="auto"/>
              <w:rPr>
                <w:rFonts w:ascii="Arial"/>
                <w:sz w:val="21"/>
              </w:rPr>
            </w:pPr>
          </w:p>
          <w:p w14:paraId="3AF534D3">
            <w:pPr>
              <w:spacing w:line="318" w:lineRule="auto"/>
              <w:rPr>
                <w:rFonts w:ascii="Arial"/>
                <w:sz w:val="21"/>
              </w:rPr>
            </w:pPr>
          </w:p>
          <w:p w14:paraId="5FCB8F4F">
            <w:pPr>
              <w:spacing w:line="318" w:lineRule="auto"/>
              <w:rPr>
                <w:rFonts w:ascii="Arial"/>
                <w:sz w:val="21"/>
              </w:rPr>
            </w:pPr>
          </w:p>
          <w:p w14:paraId="0A3BAB65">
            <w:pPr>
              <w:pStyle w:val="6"/>
              <w:spacing w:before="52" w:line="183" w:lineRule="auto"/>
              <w:ind w:left="275"/>
              <w:rPr>
                <w:sz w:val="16"/>
                <w:szCs w:val="16"/>
              </w:rPr>
            </w:pPr>
            <w:r>
              <w:rPr>
                <w:spacing w:val="-3"/>
                <w:sz w:val="16"/>
                <w:szCs w:val="16"/>
              </w:rPr>
              <w:t>56</w:t>
            </w:r>
          </w:p>
          <w:p w14:paraId="35F93060">
            <w:pPr>
              <w:pStyle w:val="6"/>
              <w:spacing w:before="33" w:line="182" w:lineRule="auto"/>
              <w:ind w:left="275"/>
              <w:rPr>
                <w:sz w:val="16"/>
                <w:szCs w:val="16"/>
              </w:rPr>
            </w:pPr>
            <w:r>
              <w:rPr>
                <w:spacing w:val="-3"/>
                <w:sz w:val="16"/>
                <w:szCs w:val="16"/>
              </w:rPr>
              <w:t>57</w:t>
            </w:r>
          </w:p>
          <w:p w14:paraId="529ED8BD">
            <w:pPr>
              <w:pStyle w:val="6"/>
              <w:spacing w:before="41" w:line="183" w:lineRule="auto"/>
              <w:ind w:left="275"/>
              <w:rPr>
                <w:sz w:val="16"/>
                <w:szCs w:val="16"/>
              </w:rPr>
            </w:pPr>
            <w:r>
              <w:rPr>
                <w:spacing w:val="-3"/>
                <w:sz w:val="16"/>
                <w:szCs w:val="16"/>
              </w:rPr>
              <w:t>58</w:t>
            </w:r>
          </w:p>
          <w:p w14:paraId="6FB241A8">
            <w:pPr>
              <w:pStyle w:val="6"/>
              <w:spacing w:before="31" w:line="183" w:lineRule="auto"/>
              <w:ind w:left="275"/>
              <w:rPr>
                <w:sz w:val="16"/>
                <w:szCs w:val="16"/>
              </w:rPr>
            </w:pPr>
            <w:r>
              <w:rPr>
                <w:spacing w:val="-3"/>
                <w:sz w:val="16"/>
                <w:szCs w:val="16"/>
              </w:rPr>
              <w:t>59</w:t>
            </w:r>
          </w:p>
          <w:p w14:paraId="7BF792FB">
            <w:pPr>
              <w:pStyle w:val="6"/>
              <w:spacing w:before="12" w:line="183" w:lineRule="auto"/>
              <w:ind w:left="275"/>
              <w:rPr>
                <w:sz w:val="16"/>
                <w:szCs w:val="16"/>
              </w:rPr>
            </w:pPr>
            <w:r>
              <w:rPr>
                <w:spacing w:val="-2"/>
                <w:sz w:val="16"/>
                <w:szCs w:val="16"/>
              </w:rPr>
              <w:t>60</w:t>
            </w:r>
          </w:p>
          <w:p w14:paraId="1C213225">
            <w:pPr>
              <w:pStyle w:val="6"/>
              <w:spacing w:before="30" w:line="184" w:lineRule="auto"/>
              <w:ind w:left="275"/>
              <w:rPr>
                <w:sz w:val="16"/>
                <w:szCs w:val="16"/>
              </w:rPr>
            </w:pPr>
            <w:r>
              <w:rPr>
                <w:spacing w:val="-2"/>
                <w:sz w:val="16"/>
                <w:szCs w:val="16"/>
              </w:rPr>
              <w:t>61</w:t>
            </w:r>
          </w:p>
          <w:p w14:paraId="2CA8FD2E">
            <w:pPr>
              <w:pStyle w:val="6"/>
              <w:spacing w:before="42" w:line="183" w:lineRule="auto"/>
              <w:ind w:left="275"/>
              <w:rPr>
                <w:sz w:val="16"/>
                <w:szCs w:val="16"/>
              </w:rPr>
            </w:pPr>
            <w:r>
              <w:rPr>
                <w:spacing w:val="-2"/>
                <w:sz w:val="16"/>
                <w:szCs w:val="16"/>
              </w:rPr>
              <w:t>62</w:t>
            </w:r>
          </w:p>
          <w:p w14:paraId="1030F5A1">
            <w:pPr>
              <w:pStyle w:val="6"/>
              <w:spacing w:before="31" w:line="183" w:lineRule="auto"/>
              <w:ind w:left="275"/>
              <w:rPr>
                <w:sz w:val="16"/>
                <w:szCs w:val="16"/>
              </w:rPr>
            </w:pPr>
            <w:r>
              <w:rPr>
                <w:spacing w:val="-2"/>
                <w:sz w:val="16"/>
                <w:szCs w:val="16"/>
              </w:rPr>
              <w:t>63</w:t>
            </w:r>
          </w:p>
          <w:p w14:paraId="3C4F0F82">
            <w:pPr>
              <w:pStyle w:val="6"/>
              <w:spacing w:before="21" w:line="183" w:lineRule="auto"/>
              <w:ind w:left="275"/>
              <w:rPr>
                <w:sz w:val="16"/>
                <w:szCs w:val="16"/>
              </w:rPr>
            </w:pPr>
            <w:r>
              <w:rPr>
                <w:spacing w:val="-2"/>
                <w:sz w:val="16"/>
                <w:szCs w:val="16"/>
              </w:rPr>
              <w:t>64</w:t>
            </w:r>
          </w:p>
          <w:p w14:paraId="12406002">
            <w:pPr>
              <w:pStyle w:val="6"/>
              <w:spacing w:before="42" w:line="183" w:lineRule="auto"/>
              <w:ind w:left="275"/>
              <w:rPr>
                <w:sz w:val="16"/>
                <w:szCs w:val="16"/>
              </w:rPr>
            </w:pPr>
            <w:r>
              <w:rPr>
                <w:spacing w:val="-2"/>
                <w:sz w:val="16"/>
                <w:szCs w:val="16"/>
              </w:rPr>
              <w:t>65</w:t>
            </w:r>
          </w:p>
          <w:p w14:paraId="4FC33BF3">
            <w:pPr>
              <w:pStyle w:val="6"/>
              <w:spacing w:before="31" w:line="183" w:lineRule="auto"/>
              <w:ind w:left="275"/>
              <w:rPr>
                <w:sz w:val="16"/>
                <w:szCs w:val="16"/>
              </w:rPr>
            </w:pPr>
            <w:r>
              <w:rPr>
                <w:spacing w:val="-2"/>
                <w:sz w:val="16"/>
                <w:szCs w:val="16"/>
              </w:rPr>
              <w:t>66</w:t>
            </w:r>
          </w:p>
          <w:p w14:paraId="26C1C56A">
            <w:pPr>
              <w:pStyle w:val="6"/>
              <w:spacing w:before="12" w:line="183" w:lineRule="auto"/>
              <w:ind w:left="275"/>
              <w:rPr>
                <w:sz w:val="16"/>
                <w:szCs w:val="16"/>
              </w:rPr>
            </w:pPr>
            <w:r>
              <w:rPr>
                <w:spacing w:val="-2"/>
                <w:sz w:val="16"/>
                <w:szCs w:val="16"/>
              </w:rPr>
              <w:t>67</w:t>
            </w:r>
          </w:p>
          <w:p w14:paraId="75C705A6">
            <w:pPr>
              <w:pStyle w:val="6"/>
              <w:spacing w:before="24" w:line="104" w:lineRule="exact"/>
              <w:ind w:left="265"/>
              <w:rPr>
                <w:sz w:val="17"/>
                <w:szCs w:val="17"/>
              </w:rPr>
            </w:pPr>
            <w:r>
              <w:rPr>
                <w:spacing w:val="-2"/>
                <w:position w:val="-3"/>
                <w:sz w:val="17"/>
                <w:szCs w:val="17"/>
              </w:rPr>
              <w:t>68</w:t>
            </w:r>
          </w:p>
        </w:tc>
        <w:tc>
          <w:tcPr>
            <w:tcW w:w="4220" w:type="dxa"/>
            <w:vAlign w:val="top"/>
          </w:tcPr>
          <w:p w14:paraId="0BAA1D15">
            <w:pPr>
              <w:pStyle w:val="6"/>
              <w:spacing w:before="37" w:line="220" w:lineRule="auto"/>
              <w:ind w:left="415"/>
              <w:rPr>
                <w:sz w:val="16"/>
                <w:szCs w:val="16"/>
              </w:rPr>
            </w:pPr>
            <w:r>
              <w:rPr>
                <w:spacing w:val="-1"/>
                <w:sz w:val="16"/>
                <w:szCs w:val="16"/>
              </w:rPr>
              <w:t>23.专用设备制造业</w:t>
            </w:r>
          </w:p>
          <w:p w14:paraId="5076EB5B">
            <w:pPr>
              <w:pStyle w:val="6"/>
              <w:spacing w:before="8" w:line="208" w:lineRule="auto"/>
              <w:ind w:left="415"/>
              <w:rPr>
                <w:sz w:val="16"/>
                <w:szCs w:val="16"/>
              </w:rPr>
            </w:pPr>
            <w:r>
              <w:rPr>
                <w:spacing w:val="-1"/>
                <w:sz w:val="16"/>
                <w:szCs w:val="16"/>
              </w:rPr>
              <w:t>其中：医疗仪器设备及器械制造</w:t>
            </w:r>
          </w:p>
          <w:p w14:paraId="390E4F61">
            <w:pPr>
              <w:pStyle w:val="6"/>
              <w:spacing w:line="219" w:lineRule="auto"/>
              <w:ind w:left="415"/>
              <w:rPr>
                <w:sz w:val="16"/>
                <w:szCs w:val="16"/>
              </w:rPr>
            </w:pPr>
            <w:r>
              <w:rPr>
                <w:spacing w:val="-2"/>
                <w:sz w:val="16"/>
                <w:szCs w:val="16"/>
              </w:rPr>
              <w:t>24.汽车制造业</w:t>
            </w:r>
          </w:p>
          <w:p w14:paraId="31B73F59">
            <w:pPr>
              <w:pStyle w:val="6"/>
              <w:spacing w:before="10" w:line="219" w:lineRule="auto"/>
              <w:ind w:left="415"/>
              <w:rPr>
                <w:sz w:val="16"/>
                <w:szCs w:val="16"/>
              </w:rPr>
            </w:pPr>
            <w:r>
              <w:rPr>
                <w:spacing w:val="-1"/>
                <w:sz w:val="16"/>
                <w:szCs w:val="16"/>
              </w:rPr>
              <w:t>其中：新能源车整车制造</w:t>
            </w:r>
          </w:p>
          <w:p w14:paraId="632BD33D">
            <w:pPr>
              <w:pStyle w:val="6"/>
              <w:spacing w:before="10" w:line="213" w:lineRule="auto"/>
              <w:ind w:left="415" w:right="363"/>
              <w:rPr>
                <w:sz w:val="16"/>
                <w:szCs w:val="16"/>
              </w:rPr>
            </w:pPr>
            <w:r>
              <w:rPr>
                <w:spacing w:val="-1"/>
                <w:sz w:val="16"/>
                <w:szCs w:val="16"/>
              </w:rPr>
              <w:t>25.铁路、船舶、航空航天和其他运输设备制造业</w:t>
            </w:r>
            <w:r>
              <w:rPr>
                <w:spacing w:val="13"/>
                <w:sz w:val="16"/>
                <w:szCs w:val="16"/>
              </w:rPr>
              <w:t xml:space="preserve"> </w:t>
            </w:r>
            <w:r>
              <w:rPr>
                <w:spacing w:val="-1"/>
                <w:sz w:val="16"/>
                <w:szCs w:val="16"/>
              </w:rPr>
              <w:t>其中：铁路运输设备制造</w:t>
            </w:r>
          </w:p>
          <w:p w14:paraId="1D36E8E3">
            <w:pPr>
              <w:pStyle w:val="6"/>
              <w:spacing w:line="219" w:lineRule="auto"/>
              <w:ind w:left="975"/>
              <w:rPr>
                <w:sz w:val="16"/>
                <w:szCs w:val="16"/>
              </w:rPr>
            </w:pPr>
            <w:r>
              <w:rPr>
                <w:spacing w:val="-1"/>
                <w:sz w:val="16"/>
                <w:szCs w:val="16"/>
              </w:rPr>
              <w:t>城市轨道交通设备制造</w:t>
            </w:r>
          </w:p>
          <w:p w14:paraId="4ECD81C8">
            <w:pPr>
              <w:pStyle w:val="6"/>
              <w:spacing w:before="20" w:line="206" w:lineRule="auto"/>
              <w:ind w:left="995"/>
              <w:rPr>
                <w:sz w:val="16"/>
                <w:szCs w:val="16"/>
              </w:rPr>
            </w:pPr>
            <w:r>
              <w:rPr>
                <w:spacing w:val="-1"/>
                <w:sz w:val="16"/>
                <w:szCs w:val="16"/>
              </w:rPr>
              <w:t>航空、航天器及设备制造</w:t>
            </w:r>
          </w:p>
          <w:p w14:paraId="36375B02">
            <w:pPr>
              <w:pStyle w:val="6"/>
              <w:spacing w:before="1" w:line="218" w:lineRule="auto"/>
              <w:ind w:left="415"/>
              <w:rPr>
                <w:sz w:val="16"/>
                <w:szCs w:val="16"/>
              </w:rPr>
            </w:pPr>
            <w:r>
              <w:rPr>
                <w:spacing w:val="-1"/>
                <w:sz w:val="16"/>
                <w:szCs w:val="16"/>
              </w:rPr>
              <w:t>26.电气机械和器材制造业</w:t>
            </w:r>
          </w:p>
          <w:p w14:paraId="688A319B">
            <w:pPr>
              <w:pStyle w:val="6"/>
              <w:spacing w:before="20" w:line="208" w:lineRule="auto"/>
              <w:ind w:left="415"/>
              <w:rPr>
                <w:sz w:val="16"/>
                <w:szCs w:val="16"/>
              </w:rPr>
            </w:pPr>
            <w:r>
              <w:rPr>
                <w:spacing w:val="-1"/>
                <w:sz w:val="16"/>
                <w:szCs w:val="16"/>
              </w:rPr>
              <w:t>其中：光伏设备及元器件制造</w:t>
            </w:r>
          </w:p>
          <w:p w14:paraId="2CBBD608">
            <w:pPr>
              <w:pStyle w:val="6"/>
              <w:spacing w:line="219" w:lineRule="auto"/>
              <w:ind w:left="415"/>
              <w:rPr>
                <w:sz w:val="16"/>
                <w:szCs w:val="16"/>
              </w:rPr>
            </w:pPr>
            <w:r>
              <w:rPr>
                <w:spacing w:val="-1"/>
                <w:sz w:val="16"/>
                <w:szCs w:val="16"/>
              </w:rPr>
              <w:t>27.计算机、通信和其他电子设备制造业</w:t>
            </w:r>
          </w:p>
          <w:p w14:paraId="0CA11C42">
            <w:pPr>
              <w:pStyle w:val="6"/>
              <w:spacing w:before="1" w:line="208" w:lineRule="auto"/>
              <w:ind w:left="415"/>
              <w:rPr>
                <w:sz w:val="16"/>
                <w:szCs w:val="16"/>
              </w:rPr>
            </w:pPr>
            <w:r>
              <w:rPr>
                <w:spacing w:val="-1"/>
                <w:sz w:val="16"/>
                <w:szCs w:val="16"/>
              </w:rPr>
              <w:t>其中：计算机制造</w:t>
            </w:r>
          </w:p>
          <w:p w14:paraId="3EB790B1">
            <w:pPr>
              <w:pStyle w:val="6"/>
              <w:spacing w:line="230" w:lineRule="auto"/>
              <w:ind w:left="975"/>
              <w:rPr>
                <w:sz w:val="16"/>
                <w:szCs w:val="16"/>
              </w:rPr>
            </w:pPr>
            <w:r>
              <w:rPr>
                <w:spacing w:val="-1"/>
                <w:sz w:val="16"/>
                <w:szCs w:val="16"/>
              </w:rPr>
              <w:t>通信设备制造</w:t>
            </w:r>
          </w:p>
          <w:p w14:paraId="141C8D17">
            <w:pPr>
              <w:pStyle w:val="6"/>
              <w:spacing w:before="1" w:line="219" w:lineRule="auto"/>
              <w:ind w:left="415"/>
              <w:rPr>
                <w:sz w:val="16"/>
                <w:szCs w:val="16"/>
              </w:rPr>
            </w:pPr>
            <w:r>
              <w:rPr>
                <w:spacing w:val="-1"/>
                <w:sz w:val="16"/>
                <w:szCs w:val="16"/>
              </w:rPr>
              <w:t>28.仪器仪表制造业</w:t>
            </w:r>
          </w:p>
          <w:p w14:paraId="5ADAC7A2">
            <w:pPr>
              <w:pStyle w:val="6"/>
              <w:spacing w:before="10" w:line="220" w:lineRule="auto"/>
              <w:ind w:left="415"/>
              <w:rPr>
                <w:sz w:val="16"/>
                <w:szCs w:val="16"/>
              </w:rPr>
            </w:pPr>
            <w:r>
              <w:rPr>
                <w:spacing w:val="-2"/>
                <w:sz w:val="16"/>
                <w:szCs w:val="16"/>
              </w:rPr>
              <w:t>29.其他制造业</w:t>
            </w:r>
          </w:p>
          <w:p w14:paraId="1728BF52">
            <w:pPr>
              <w:pStyle w:val="6"/>
              <w:spacing w:before="9" w:line="219" w:lineRule="auto"/>
              <w:ind w:left="415"/>
              <w:rPr>
                <w:sz w:val="16"/>
                <w:szCs w:val="16"/>
              </w:rPr>
            </w:pPr>
            <w:r>
              <w:rPr>
                <w:spacing w:val="-1"/>
                <w:sz w:val="16"/>
                <w:szCs w:val="16"/>
              </w:rPr>
              <w:t>30.废弃资源综合利用业</w:t>
            </w:r>
          </w:p>
          <w:p w14:paraId="1F418C23">
            <w:pPr>
              <w:pStyle w:val="6"/>
              <w:spacing w:line="218" w:lineRule="auto"/>
              <w:ind w:left="415"/>
              <w:rPr>
                <w:sz w:val="16"/>
                <w:szCs w:val="16"/>
              </w:rPr>
            </w:pPr>
            <w:r>
              <w:rPr>
                <w:spacing w:val="-1"/>
                <w:sz w:val="16"/>
                <w:szCs w:val="16"/>
              </w:rPr>
              <w:t>31.金属制品、机械和设备修理业</w:t>
            </w:r>
          </w:p>
          <w:p w14:paraId="6A6BE879">
            <w:pPr>
              <w:pStyle w:val="6"/>
              <w:spacing w:line="219" w:lineRule="auto"/>
              <w:ind w:left="264"/>
              <w:rPr>
                <w:sz w:val="16"/>
                <w:szCs w:val="16"/>
              </w:rPr>
            </w:pPr>
            <w:r>
              <w:rPr>
                <w:sz w:val="16"/>
                <w:szCs w:val="16"/>
              </w:rPr>
              <w:t>(三)电力、热力、燃气及水生产和供应业</w:t>
            </w:r>
          </w:p>
          <w:p w14:paraId="3D3201EB">
            <w:pPr>
              <w:pStyle w:val="6"/>
              <w:spacing w:line="219" w:lineRule="auto"/>
              <w:ind w:left="445"/>
              <w:rPr>
                <w:sz w:val="16"/>
                <w:szCs w:val="16"/>
              </w:rPr>
            </w:pPr>
            <w:r>
              <w:rPr>
                <w:sz w:val="16"/>
                <w:szCs w:val="16"/>
              </w:rPr>
              <w:t>1.电力、热力生产和供应业</w:t>
            </w:r>
          </w:p>
          <w:p w14:paraId="2B607089">
            <w:pPr>
              <w:pStyle w:val="6"/>
              <w:spacing w:before="1" w:line="231" w:lineRule="auto"/>
              <w:ind w:left="505"/>
              <w:rPr>
                <w:sz w:val="16"/>
                <w:szCs w:val="16"/>
              </w:rPr>
            </w:pPr>
            <w:r>
              <w:rPr>
                <w:spacing w:val="-1"/>
                <w:sz w:val="16"/>
                <w:szCs w:val="16"/>
              </w:rPr>
              <w:t>其中：电厂生产全部耗用电量</w:t>
            </w:r>
          </w:p>
          <w:p w14:paraId="0F524845">
            <w:pPr>
              <w:pStyle w:val="6"/>
              <w:spacing w:before="1" w:line="219" w:lineRule="auto"/>
              <w:ind w:left="975"/>
              <w:rPr>
                <w:sz w:val="16"/>
                <w:szCs w:val="16"/>
              </w:rPr>
            </w:pPr>
            <w:r>
              <w:rPr>
                <w:spacing w:val="-2"/>
                <w:sz w:val="16"/>
                <w:szCs w:val="16"/>
              </w:rPr>
              <w:t>线路损失电量</w:t>
            </w:r>
          </w:p>
          <w:p w14:paraId="168E45C3">
            <w:pPr>
              <w:pStyle w:val="6"/>
              <w:spacing w:before="9" w:line="219" w:lineRule="auto"/>
              <w:ind w:left="975"/>
              <w:rPr>
                <w:sz w:val="16"/>
                <w:szCs w:val="16"/>
              </w:rPr>
            </w:pPr>
            <w:r>
              <w:rPr>
                <w:spacing w:val="-1"/>
                <w:sz w:val="16"/>
                <w:szCs w:val="16"/>
              </w:rPr>
              <w:t>抽水蓄能抽水耗用电量</w:t>
            </w:r>
          </w:p>
          <w:p w14:paraId="06F50D39">
            <w:pPr>
              <w:pStyle w:val="6"/>
              <w:spacing w:before="1" w:line="218" w:lineRule="auto"/>
              <w:ind w:left="415"/>
              <w:rPr>
                <w:sz w:val="16"/>
                <w:szCs w:val="16"/>
              </w:rPr>
            </w:pPr>
            <w:r>
              <w:rPr>
                <w:spacing w:val="-1"/>
                <w:sz w:val="16"/>
                <w:szCs w:val="16"/>
              </w:rPr>
              <w:t>2.燃气生产和供应业</w:t>
            </w:r>
          </w:p>
          <w:p w14:paraId="1E51DF8F">
            <w:pPr>
              <w:pStyle w:val="6"/>
              <w:spacing w:before="20" w:line="209" w:lineRule="auto"/>
              <w:ind w:left="415"/>
              <w:rPr>
                <w:sz w:val="16"/>
                <w:szCs w:val="16"/>
              </w:rPr>
            </w:pPr>
            <w:r>
              <w:rPr>
                <w:spacing w:val="-1"/>
                <w:sz w:val="16"/>
                <w:szCs w:val="16"/>
              </w:rPr>
              <w:t>3.水的生产和供应业</w:t>
            </w:r>
          </w:p>
          <w:p w14:paraId="68EA23E5">
            <w:pPr>
              <w:pStyle w:val="6"/>
              <w:spacing w:before="1" w:line="207" w:lineRule="auto"/>
              <w:ind w:left="264"/>
              <w:rPr>
                <w:sz w:val="16"/>
                <w:szCs w:val="16"/>
              </w:rPr>
            </w:pPr>
            <w:r>
              <w:rPr>
                <w:spacing w:val="-1"/>
                <w:sz w:val="16"/>
                <w:szCs w:val="16"/>
              </w:rPr>
              <w:t>三、建筑业</w:t>
            </w:r>
          </w:p>
          <w:p w14:paraId="5CF905F5">
            <w:pPr>
              <w:pStyle w:val="6"/>
              <w:spacing w:line="220" w:lineRule="auto"/>
              <w:ind w:left="415"/>
              <w:rPr>
                <w:sz w:val="16"/>
                <w:szCs w:val="16"/>
              </w:rPr>
            </w:pPr>
            <w:r>
              <w:rPr>
                <w:sz w:val="16"/>
                <w:szCs w:val="16"/>
              </w:rPr>
              <w:t>1.房屋建筑业</w:t>
            </w:r>
          </w:p>
          <w:p w14:paraId="7FB3B352">
            <w:pPr>
              <w:pStyle w:val="6"/>
              <w:spacing w:before="19" w:line="196" w:lineRule="auto"/>
              <w:ind w:left="415"/>
              <w:rPr>
                <w:sz w:val="16"/>
                <w:szCs w:val="16"/>
              </w:rPr>
            </w:pPr>
            <w:r>
              <w:rPr>
                <w:spacing w:val="-1"/>
                <w:sz w:val="16"/>
                <w:szCs w:val="16"/>
              </w:rPr>
              <w:t>2.土木工程建筑业</w:t>
            </w:r>
          </w:p>
          <w:p w14:paraId="59E661E6">
            <w:pPr>
              <w:pStyle w:val="6"/>
              <w:spacing w:line="220" w:lineRule="auto"/>
              <w:ind w:left="415"/>
              <w:rPr>
                <w:sz w:val="16"/>
                <w:szCs w:val="16"/>
              </w:rPr>
            </w:pPr>
            <w:r>
              <w:rPr>
                <w:spacing w:val="-2"/>
                <w:sz w:val="16"/>
                <w:szCs w:val="16"/>
              </w:rPr>
              <w:t>3.建筑安装业</w:t>
            </w:r>
          </w:p>
          <w:p w14:paraId="3E88E424">
            <w:pPr>
              <w:pStyle w:val="6"/>
              <w:spacing w:before="19" w:line="208" w:lineRule="auto"/>
              <w:ind w:left="415"/>
              <w:rPr>
                <w:sz w:val="16"/>
                <w:szCs w:val="16"/>
              </w:rPr>
            </w:pPr>
            <w:r>
              <w:rPr>
                <w:spacing w:val="-1"/>
                <w:sz w:val="16"/>
                <w:szCs w:val="16"/>
              </w:rPr>
              <w:t>4.建筑装饰、装修和其他建筑业</w:t>
            </w:r>
          </w:p>
          <w:p w14:paraId="1CB792B5">
            <w:pPr>
              <w:pStyle w:val="6"/>
              <w:spacing w:line="219" w:lineRule="auto"/>
              <w:ind w:left="264"/>
              <w:rPr>
                <w:sz w:val="16"/>
                <w:szCs w:val="16"/>
              </w:rPr>
            </w:pPr>
            <w:r>
              <w:rPr>
                <w:sz w:val="16"/>
                <w:szCs w:val="16"/>
              </w:rPr>
              <w:t>四、交通运输、仓储和邮政业</w:t>
            </w:r>
          </w:p>
          <w:p w14:paraId="01C383C1">
            <w:pPr>
              <w:pStyle w:val="6"/>
              <w:spacing w:line="219" w:lineRule="auto"/>
              <w:ind w:left="435"/>
              <w:rPr>
                <w:sz w:val="16"/>
                <w:szCs w:val="16"/>
              </w:rPr>
            </w:pPr>
            <w:r>
              <w:rPr>
                <w:sz w:val="16"/>
                <w:szCs w:val="16"/>
              </w:rPr>
              <w:t>1.铁路运输业</w:t>
            </w:r>
          </w:p>
          <w:p w14:paraId="290C0C84">
            <w:pPr>
              <w:pStyle w:val="6"/>
              <w:spacing w:line="242" w:lineRule="auto"/>
              <w:ind w:left="485"/>
              <w:rPr>
                <w:sz w:val="16"/>
                <w:szCs w:val="16"/>
              </w:rPr>
            </w:pPr>
            <w:r>
              <w:rPr>
                <w:spacing w:val="-1"/>
                <w:sz w:val="16"/>
                <w:szCs w:val="16"/>
              </w:rPr>
              <w:t>其中：电气化铁路</w:t>
            </w:r>
          </w:p>
          <w:p w14:paraId="527A7F03">
            <w:pPr>
              <w:pStyle w:val="6"/>
              <w:spacing w:before="1" w:line="219" w:lineRule="auto"/>
              <w:ind w:left="415"/>
              <w:rPr>
                <w:sz w:val="16"/>
                <w:szCs w:val="16"/>
              </w:rPr>
            </w:pPr>
            <w:r>
              <w:rPr>
                <w:spacing w:val="-2"/>
                <w:sz w:val="16"/>
                <w:szCs w:val="16"/>
              </w:rPr>
              <w:t>2.道路运输业</w:t>
            </w:r>
          </w:p>
          <w:p w14:paraId="3E4C7549">
            <w:pPr>
              <w:pStyle w:val="6"/>
              <w:spacing w:line="219" w:lineRule="auto"/>
              <w:ind w:left="485"/>
              <w:rPr>
                <w:sz w:val="16"/>
                <w:szCs w:val="16"/>
              </w:rPr>
            </w:pPr>
            <w:r>
              <w:rPr>
                <w:spacing w:val="-1"/>
                <w:sz w:val="16"/>
                <w:szCs w:val="16"/>
              </w:rPr>
              <w:t>其中：城市公共交通运输</w:t>
            </w:r>
          </w:p>
          <w:p w14:paraId="707ED6F4">
            <w:pPr>
              <w:pStyle w:val="6"/>
              <w:spacing w:line="219" w:lineRule="auto"/>
              <w:ind w:left="405"/>
              <w:rPr>
                <w:sz w:val="16"/>
                <w:szCs w:val="16"/>
              </w:rPr>
            </w:pPr>
            <w:r>
              <w:rPr>
                <w:spacing w:val="-2"/>
                <w:sz w:val="16"/>
                <w:szCs w:val="16"/>
              </w:rPr>
              <w:t>3.水上运输业</w:t>
            </w:r>
          </w:p>
          <w:p w14:paraId="3EF3C68E">
            <w:pPr>
              <w:pStyle w:val="6"/>
              <w:spacing w:before="11" w:line="218" w:lineRule="auto"/>
              <w:ind w:left="415"/>
              <w:rPr>
                <w:sz w:val="16"/>
                <w:szCs w:val="16"/>
              </w:rPr>
            </w:pPr>
            <w:r>
              <w:rPr>
                <w:spacing w:val="-1"/>
                <w:sz w:val="16"/>
                <w:szCs w:val="16"/>
              </w:rPr>
              <w:t>其中：港口岸电</w:t>
            </w:r>
          </w:p>
          <w:p w14:paraId="759C3B0B">
            <w:pPr>
              <w:pStyle w:val="6"/>
              <w:spacing w:line="219" w:lineRule="auto"/>
              <w:ind w:left="415"/>
              <w:rPr>
                <w:sz w:val="16"/>
                <w:szCs w:val="16"/>
              </w:rPr>
            </w:pPr>
            <w:r>
              <w:rPr>
                <w:spacing w:val="-1"/>
                <w:sz w:val="16"/>
                <w:szCs w:val="16"/>
              </w:rPr>
              <w:t>4.航空运输业</w:t>
            </w:r>
          </w:p>
          <w:p w14:paraId="0F17B620">
            <w:pPr>
              <w:pStyle w:val="6"/>
              <w:spacing w:line="219" w:lineRule="auto"/>
              <w:ind w:left="415"/>
              <w:rPr>
                <w:sz w:val="16"/>
                <w:szCs w:val="16"/>
              </w:rPr>
            </w:pPr>
            <w:r>
              <w:rPr>
                <w:spacing w:val="-2"/>
                <w:sz w:val="16"/>
                <w:szCs w:val="16"/>
              </w:rPr>
              <w:t>5.管道运输业</w:t>
            </w:r>
          </w:p>
          <w:p w14:paraId="341E1B40">
            <w:pPr>
              <w:pStyle w:val="6"/>
              <w:spacing w:before="10" w:line="220" w:lineRule="auto"/>
              <w:ind w:left="415"/>
              <w:rPr>
                <w:sz w:val="16"/>
                <w:szCs w:val="16"/>
              </w:rPr>
            </w:pPr>
            <w:r>
              <w:rPr>
                <w:spacing w:val="-1"/>
                <w:sz w:val="16"/>
                <w:szCs w:val="16"/>
              </w:rPr>
              <w:t>6.多式联运和运输代理业</w:t>
            </w:r>
          </w:p>
          <w:p w14:paraId="4D7038A9">
            <w:pPr>
              <w:pStyle w:val="6"/>
              <w:spacing w:before="1" w:line="208" w:lineRule="auto"/>
              <w:ind w:left="425"/>
              <w:rPr>
                <w:sz w:val="16"/>
                <w:szCs w:val="16"/>
              </w:rPr>
            </w:pPr>
            <w:r>
              <w:rPr>
                <w:spacing w:val="-2"/>
                <w:sz w:val="16"/>
                <w:szCs w:val="16"/>
              </w:rPr>
              <w:t>7.装卸搬运和仓储业</w:t>
            </w:r>
          </w:p>
          <w:p w14:paraId="041258F6">
            <w:pPr>
              <w:pStyle w:val="6"/>
              <w:spacing w:line="220" w:lineRule="auto"/>
              <w:ind w:left="415"/>
              <w:rPr>
                <w:sz w:val="16"/>
                <w:szCs w:val="16"/>
              </w:rPr>
            </w:pPr>
            <w:r>
              <w:rPr>
                <w:spacing w:val="-2"/>
                <w:sz w:val="16"/>
                <w:szCs w:val="16"/>
              </w:rPr>
              <w:t>8.邮政业</w:t>
            </w:r>
          </w:p>
          <w:p w14:paraId="67057EA6">
            <w:pPr>
              <w:pStyle w:val="6"/>
              <w:spacing w:before="17" w:line="208" w:lineRule="auto"/>
              <w:ind w:left="264"/>
              <w:rPr>
                <w:sz w:val="16"/>
                <w:szCs w:val="16"/>
              </w:rPr>
            </w:pPr>
            <w:r>
              <w:rPr>
                <w:spacing w:val="-1"/>
                <w:sz w:val="16"/>
                <w:szCs w:val="16"/>
              </w:rPr>
              <w:t>五、信息传输、软件和信息技术服务业</w:t>
            </w:r>
          </w:p>
          <w:p w14:paraId="19649D3C">
            <w:pPr>
              <w:pStyle w:val="6"/>
              <w:spacing w:before="1" w:line="218" w:lineRule="auto"/>
              <w:ind w:left="415"/>
              <w:rPr>
                <w:sz w:val="16"/>
                <w:szCs w:val="16"/>
              </w:rPr>
            </w:pPr>
            <w:r>
              <w:rPr>
                <w:sz w:val="16"/>
                <w:szCs w:val="16"/>
              </w:rPr>
              <w:t>1.电信、广播电视和卫星传输服务</w:t>
            </w:r>
          </w:p>
          <w:p w14:paraId="3FE4762A">
            <w:pPr>
              <w:pStyle w:val="6"/>
              <w:spacing w:before="31" w:line="196" w:lineRule="auto"/>
              <w:ind w:left="415"/>
              <w:rPr>
                <w:sz w:val="16"/>
                <w:szCs w:val="16"/>
              </w:rPr>
            </w:pPr>
            <w:r>
              <w:rPr>
                <w:spacing w:val="-1"/>
                <w:sz w:val="16"/>
                <w:szCs w:val="16"/>
              </w:rPr>
              <w:t>2.互联网和相关服务</w:t>
            </w:r>
          </w:p>
          <w:p w14:paraId="7D3A8689">
            <w:pPr>
              <w:pStyle w:val="6"/>
              <w:spacing w:line="219" w:lineRule="auto"/>
              <w:ind w:left="505"/>
              <w:rPr>
                <w:sz w:val="16"/>
                <w:szCs w:val="16"/>
              </w:rPr>
            </w:pPr>
            <w:r>
              <w:rPr>
                <w:spacing w:val="-1"/>
                <w:sz w:val="16"/>
                <w:szCs w:val="16"/>
              </w:rPr>
              <w:t>其中：互联网数据服务</w:t>
            </w:r>
          </w:p>
          <w:p w14:paraId="41BC4DD7">
            <w:pPr>
              <w:pStyle w:val="6"/>
              <w:spacing w:before="1" w:line="230" w:lineRule="auto"/>
              <w:ind w:left="415"/>
              <w:rPr>
                <w:sz w:val="16"/>
                <w:szCs w:val="16"/>
              </w:rPr>
            </w:pPr>
            <w:r>
              <w:rPr>
                <w:spacing w:val="-1"/>
                <w:sz w:val="16"/>
                <w:szCs w:val="16"/>
              </w:rPr>
              <w:t>3.软件和信息技术服务业</w:t>
            </w:r>
          </w:p>
          <w:p w14:paraId="3696859A">
            <w:pPr>
              <w:pStyle w:val="6"/>
              <w:spacing w:line="219" w:lineRule="auto"/>
              <w:ind w:left="264"/>
              <w:rPr>
                <w:sz w:val="16"/>
                <w:szCs w:val="16"/>
              </w:rPr>
            </w:pPr>
            <w:r>
              <w:rPr>
                <w:spacing w:val="-1"/>
                <w:sz w:val="16"/>
                <w:szCs w:val="16"/>
              </w:rPr>
              <w:t>六、批发和零售业</w:t>
            </w:r>
          </w:p>
          <w:p w14:paraId="47F15139">
            <w:pPr>
              <w:pStyle w:val="6"/>
              <w:spacing w:before="1" w:line="230" w:lineRule="auto"/>
              <w:ind w:left="505"/>
              <w:rPr>
                <w:sz w:val="16"/>
                <w:szCs w:val="16"/>
              </w:rPr>
            </w:pPr>
            <w:r>
              <w:rPr>
                <w:spacing w:val="-1"/>
                <w:sz w:val="16"/>
                <w:szCs w:val="16"/>
              </w:rPr>
              <w:t>其中：充换电服务业</w:t>
            </w:r>
          </w:p>
          <w:p w14:paraId="6DD3B13D">
            <w:pPr>
              <w:pStyle w:val="6"/>
              <w:spacing w:line="219" w:lineRule="auto"/>
              <w:ind w:left="264"/>
              <w:rPr>
                <w:sz w:val="16"/>
                <w:szCs w:val="16"/>
              </w:rPr>
            </w:pPr>
            <w:r>
              <w:rPr>
                <w:spacing w:val="-1"/>
                <w:sz w:val="16"/>
                <w:szCs w:val="16"/>
              </w:rPr>
              <w:t>七、住宿和餐饮业</w:t>
            </w:r>
          </w:p>
          <w:p w14:paraId="233235B1">
            <w:pPr>
              <w:pStyle w:val="6"/>
              <w:spacing w:line="207" w:lineRule="auto"/>
              <w:ind w:left="264"/>
              <w:rPr>
                <w:sz w:val="16"/>
                <w:szCs w:val="16"/>
              </w:rPr>
            </w:pPr>
            <w:r>
              <w:rPr>
                <w:spacing w:val="-2"/>
                <w:sz w:val="16"/>
                <w:szCs w:val="16"/>
              </w:rPr>
              <w:t>八、金融业</w:t>
            </w:r>
          </w:p>
          <w:p w14:paraId="6D1BED3A">
            <w:pPr>
              <w:pStyle w:val="6"/>
              <w:spacing w:before="1" w:line="219" w:lineRule="auto"/>
              <w:ind w:left="264"/>
              <w:rPr>
                <w:sz w:val="16"/>
                <w:szCs w:val="16"/>
              </w:rPr>
            </w:pPr>
            <w:r>
              <w:rPr>
                <w:spacing w:val="-2"/>
                <w:sz w:val="16"/>
                <w:szCs w:val="16"/>
              </w:rPr>
              <w:t>九、房地产业</w:t>
            </w:r>
          </w:p>
          <w:p w14:paraId="36BCF636">
            <w:pPr>
              <w:pStyle w:val="6"/>
              <w:spacing w:before="19" w:line="220" w:lineRule="auto"/>
              <w:ind w:left="274"/>
              <w:rPr>
                <w:sz w:val="16"/>
                <w:szCs w:val="16"/>
              </w:rPr>
            </w:pPr>
            <w:r>
              <w:rPr>
                <w:spacing w:val="-1"/>
                <w:sz w:val="16"/>
                <w:szCs w:val="16"/>
              </w:rPr>
              <w:t>十、租赁和商务服务业</w:t>
            </w:r>
          </w:p>
          <w:p w14:paraId="1C789336">
            <w:pPr>
              <w:pStyle w:val="6"/>
              <w:spacing w:line="220" w:lineRule="auto"/>
              <w:ind w:left="505"/>
              <w:rPr>
                <w:sz w:val="16"/>
                <w:szCs w:val="16"/>
              </w:rPr>
            </w:pPr>
            <w:r>
              <w:rPr>
                <w:spacing w:val="-1"/>
                <w:sz w:val="16"/>
                <w:szCs w:val="16"/>
              </w:rPr>
              <w:t>其中：租赁业</w:t>
            </w:r>
          </w:p>
          <w:p w14:paraId="6F368665">
            <w:pPr>
              <w:pStyle w:val="6"/>
              <w:spacing w:before="9" w:line="219" w:lineRule="auto"/>
              <w:ind w:left="264"/>
              <w:rPr>
                <w:sz w:val="16"/>
                <w:szCs w:val="16"/>
              </w:rPr>
            </w:pPr>
            <w:r>
              <w:rPr>
                <w:spacing w:val="-2"/>
                <w:sz w:val="16"/>
                <w:szCs w:val="16"/>
              </w:rPr>
              <w:t>十一、公共服务及管理组织</w:t>
            </w:r>
          </w:p>
          <w:p w14:paraId="66E10293">
            <w:pPr>
              <w:pStyle w:val="6"/>
              <w:spacing w:line="218" w:lineRule="auto"/>
              <w:ind w:left="415"/>
              <w:rPr>
                <w:sz w:val="16"/>
                <w:szCs w:val="16"/>
              </w:rPr>
            </w:pPr>
            <w:r>
              <w:rPr>
                <w:sz w:val="16"/>
                <w:szCs w:val="16"/>
              </w:rPr>
              <w:t>1.科学研究和技术服务业</w:t>
            </w:r>
          </w:p>
          <w:p w14:paraId="4A742DC3">
            <w:pPr>
              <w:pStyle w:val="6"/>
              <w:spacing w:before="1" w:line="219" w:lineRule="auto"/>
              <w:ind w:left="505"/>
              <w:rPr>
                <w:sz w:val="16"/>
                <w:szCs w:val="16"/>
              </w:rPr>
            </w:pPr>
            <w:r>
              <w:rPr>
                <w:spacing w:val="-1"/>
                <w:sz w:val="16"/>
                <w:szCs w:val="16"/>
              </w:rPr>
              <w:t>其中：地质勘查</w:t>
            </w:r>
          </w:p>
          <w:p w14:paraId="42C6D62E">
            <w:pPr>
              <w:pStyle w:val="6"/>
              <w:spacing w:before="1" w:line="196" w:lineRule="auto"/>
              <w:ind w:left="505"/>
              <w:rPr>
                <w:sz w:val="16"/>
                <w:szCs w:val="16"/>
              </w:rPr>
            </w:pPr>
            <w:r>
              <w:rPr>
                <w:spacing w:val="-1"/>
                <w:sz w:val="16"/>
                <w:szCs w:val="16"/>
              </w:rPr>
              <w:t>其中：科技推广和应用服务业</w:t>
            </w:r>
          </w:p>
          <w:p w14:paraId="6E6A9072">
            <w:pPr>
              <w:pStyle w:val="6"/>
              <w:spacing w:line="219" w:lineRule="auto"/>
              <w:ind w:left="425"/>
              <w:rPr>
                <w:sz w:val="16"/>
                <w:szCs w:val="16"/>
              </w:rPr>
            </w:pPr>
            <w:r>
              <w:rPr>
                <w:spacing w:val="-1"/>
                <w:sz w:val="16"/>
                <w:szCs w:val="16"/>
              </w:rPr>
              <w:t>2.水利、环境和公共设施管理业</w:t>
            </w:r>
          </w:p>
          <w:p w14:paraId="1B423E1A">
            <w:pPr>
              <w:pStyle w:val="6"/>
              <w:spacing w:before="30" w:line="208" w:lineRule="auto"/>
              <w:ind w:left="505"/>
              <w:rPr>
                <w:sz w:val="16"/>
                <w:szCs w:val="16"/>
              </w:rPr>
            </w:pPr>
            <w:r>
              <w:rPr>
                <w:spacing w:val="-1"/>
                <w:sz w:val="16"/>
                <w:szCs w:val="16"/>
              </w:rPr>
              <w:t>其中：水利管理业</w:t>
            </w:r>
          </w:p>
          <w:p w14:paraId="69935D34">
            <w:pPr>
              <w:pStyle w:val="6"/>
              <w:spacing w:line="219" w:lineRule="auto"/>
              <w:ind w:left="505"/>
              <w:rPr>
                <w:sz w:val="16"/>
                <w:szCs w:val="16"/>
              </w:rPr>
            </w:pPr>
            <w:r>
              <w:rPr>
                <w:spacing w:val="2"/>
                <w:sz w:val="16"/>
                <w:szCs w:val="16"/>
              </w:rPr>
              <w:t>其中：公共照明</w:t>
            </w:r>
          </w:p>
          <w:p w14:paraId="121C4D04">
            <w:pPr>
              <w:pStyle w:val="6"/>
              <w:spacing w:before="30" w:line="196" w:lineRule="auto"/>
              <w:ind w:left="415"/>
              <w:rPr>
                <w:sz w:val="16"/>
                <w:szCs w:val="16"/>
              </w:rPr>
            </w:pPr>
            <w:r>
              <w:rPr>
                <w:spacing w:val="-1"/>
                <w:sz w:val="16"/>
                <w:szCs w:val="16"/>
              </w:rPr>
              <w:t>3.居民服务、修理和其他服务业</w:t>
            </w:r>
          </w:p>
          <w:p w14:paraId="5E192141">
            <w:pPr>
              <w:pStyle w:val="6"/>
              <w:spacing w:line="219" w:lineRule="auto"/>
              <w:ind w:left="415"/>
              <w:rPr>
                <w:sz w:val="16"/>
                <w:szCs w:val="16"/>
              </w:rPr>
            </w:pPr>
            <w:r>
              <w:rPr>
                <w:spacing w:val="-1"/>
                <w:sz w:val="16"/>
                <w:szCs w:val="16"/>
              </w:rPr>
              <w:t>4.教育、文化、体育和娱乐业</w:t>
            </w:r>
          </w:p>
          <w:p w14:paraId="246F5D8A">
            <w:pPr>
              <w:pStyle w:val="6"/>
              <w:spacing w:before="10" w:line="219" w:lineRule="auto"/>
              <w:ind w:left="415"/>
              <w:rPr>
                <w:sz w:val="16"/>
                <w:szCs w:val="16"/>
              </w:rPr>
            </w:pPr>
            <w:r>
              <w:rPr>
                <w:spacing w:val="-2"/>
                <w:sz w:val="16"/>
                <w:szCs w:val="16"/>
              </w:rPr>
              <w:t>其中：教育</w:t>
            </w:r>
          </w:p>
          <w:p w14:paraId="1A42B794">
            <w:pPr>
              <w:pStyle w:val="6"/>
              <w:spacing w:line="218" w:lineRule="auto"/>
              <w:ind w:left="415"/>
              <w:rPr>
                <w:sz w:val="16"/>
                <w:szCs w:val="16"/>
              </w:rPr>
            </w:pPr>
            <w:r>
              <w:rPr>
                <w:spacing w:val="-2"/>
                <w:sz w:val="16"/>
                <w:szCs w:val="16"/>
              </w:rPr>
              <w:t>5.卫生和社会工作</w:t>
            </w:r>
          </w:p>
          <w:p w14:paraId="1A452726">
            <w:pPr>
              <w:pStyle w:val="6"/>
              <w:spacing w:before="1" w:line="219" w:lineRule="auto"/>
              <w:ind w:left="415"/>
              <w:rPr>
                <w:sz w:val="16"/>
                <w:szCs w:val="16"/>
              </w:rPr>
            </w:pPr>
            <w:r>
              <w:rPr>
                <w:spacing w:val="-1"/>
                <w:sz w:val="16"/>
                <w:szCs w:val="16"/>
              </w:rPr>
              <w:t>6.公共管理和社会组织、国际组织</w:t>
            </w:r>
          </w:p>
        </w:tc>
        <w:tc>
          <w:tcPr>
            <w:tcW w:w="600" w:type="dxa"/>
            <w:tcBorders>
              <w:right w:val="nil"/>
            </w:tcBorders>
            <w:vAlign w:val="top"/>
          </w:tcPr>
          <w:p w14:paraId="6A7DB189">
            <w:pPr>
              <w:pStyle w:val="6"/>
              <w:spacing w:before="137" w:line="183" w:lineRule="auto"/>
              <w:ind w:left="215"/>
              <w:rPr>
                <w:sz w:val="16"/>
                <w:szCs w:val="16"/>
              </w:rPr>
            </w:pPr>
            <w:r>
              <w:rPr>
                <w:spacing w:val="-2"/>
                <w:sz w:val="16"/>
                <w:szCs w:val="16"/>
              </w:rPr>
              <w:t>69</w:t>
            </w:r>
          </w:p>
          <w:p w14:paraId="28F3BBD2">
            <w:pPr>
              <w:pStyle w:val="6"/>
              <w:spacing w:before="11" w:line="183" w:lineRule="auto"/>
              <w:ind w:left="215"/>
              <w:rPr>
                <w:sz w:val="16"/>
                <w:szCs w:val="16"/>
              </w:rPr>
            </w:pPr>
            <w:r>
              <w:rPr>
                <w:spacing w:val="-3"/>
                <w:sz w:val="16"/>
                <w:szCs w:val="16"/>
              </w:rPr>
              <w:t>70</w:t>
            </w:r>
          </w:p>
          <w:p w14:paraId="09F4E584">
            <w:pPr>
              <w:pStyle w:val="6"/>
              <w:spacing w:before="30" w:line="184" w:lineRule="auto"/>
              <w:ind w:left="215"/>
              <w:rPr>
                <w:sz w:val="16"/>
                <w:szCs w:val="16"/>
              </w:rPr>
            </w:pPr>
            <w:r>
              <w:rPr>
                <w:spacing w:val="-3"/>
                <w:sz w:val="16"/>
                <w:szCs w:val="16"/>
              </w:rPr>
              <w:t>71</w:t>
            </w:r>
          </w:p>
          <w:p w14:paraId="7E19A9AA">
            <w:pPr>
              <w:pStyle w:val="6"/>
              <w:spacing w:before="31" w:line="183" w:lineRule="auto"/>
              <w:ind w:left="215"/>
              <w:rPr>
                <w:sz w:val="16"/>
                <w:szCs w:val="16"/>
              </w:rPr>
            </w:pPr>
            <w:r>
              <w:rPr>
                <w:spacing w:val="-3"/>
                <w:sz w:val="16"/>
                <w:szCs w:val="16"/>
              </w:rPr>
              <w:t>72</w:t>
            </w:r>
          </w:p>
          <w:p w14:paraId="71FFA0C4">
            <w:pPr>
              <w:pStyle w:val="6"/>
              <w:spacing w:before="41" w:line="183" w:lineRule="auto"/>
              <w:ind w:left="215"/>
              <w:rPr>
                <w:sz w:val="16"/>
                <w:szCs w:val="16"/>
              </w:rPr>
            </w:pPr>
            <w:r>
              <w:rPr>
                <w:spacing w:val="-3"/>
                <w:sz w:val="16"/>
                <w:szCs w:val="16"/>
              </w:rPr>
              <w:t>73</w:t>
            </w:r>
          </w:p>
          <w:p w14:paraId="3D01001F">
            <w:pPr>
              <w:pStyle w:val="6"/>
              <w:spacing w:before="32" w:line="183" w:lineRule="auto"/>
              <w:ind w:left="215"/>
              <w:rPr>
                <w:sz w:val="16"/>
                <w:szCs w:val="16"/>
              </w:rPr>
            </w:pPr>
            <w:r>
              <w:rPr>
                <w:spacing w:val="-3"/>
                <w:sz w:val="16"/>
                <w:szCs w:val="16"/>
              </w:rPr>
              <w:t>74</w:t>
            </w:r>
          </w:p>
          <w:p w14:paraId="5465C5DE">
            <w:pPr>
              <w:pStyle w:val="6"/>
              <w:spacing w:before="12" w:line="182" w:lineRule="auto"/>
              <w:ind w:left="245"/>
              <w:rPr>
                <w:sz w:val="16"/>
                <w:szCs w:val="16"/>
              </w:rPr>
            </w:pPr>
            <w:r>
              <w:rPr>
                <w:spacing w:val="-3"/>
                <w:sz w:val="16"/>
                <w:szCs w:val="16"/>
              </w:rPr>
              <w:t>75</w:t>
            </w:r>
          </w:p>
          <w:p w14:paraId="203F2E8C">
            <w:pPr>
              <w:pStyle w:val="6"/>
              <w:spacing w:before="41" w:line="183" w:lineRule="auto"/>
              <w:ind w:left="215"/>
              <w:rPr>
                <w:sz w:val="16"/>
                <w:szCs w:val="16"/>
              </w:rPr>
            </w:pPr>
            <w:r>
              <w:rPr>
                <w:spacing w:val="-3"/>
                <w:sz w:val="16"/>
                <w:szCs w:val="16"/>
              </w:rPr>
              <w:t>76</w:t>
            </w:r>
          </w:p>
          <w:p w14:paraId="0165146F">
            <w:pPr>
              <w:pStyle w:val="6"/>
              <w:spacing w:before="32" w:line="182" w:lineRule="auto"/>
              <w:ind w:left="245"/>
              <w:rPr>
                <w:sz w:val="16"/>
                <w:szCs w:val="16"/>
              </w:rPr>
            </w:pPr>
            <w:r>
              <w:rPr>
                <w:spacing w:val="-3"/>
                <w:sz w:val="16"/>
                <w:szCs w:val="16"/>
              </w:rPr>
              <w:t>77</w:t>
            </w:r>
          </w:p>
          <w:p w14:paraId="6A594982">
            <w:pPr>
              <w:pStyle w:val="6"/>
              <w:spacing w:before="52" w:line="183" w:lineRule="auto"/>
              <w:ind w:left="215"/>
              <w:rPr>
                <w:sz w:val="16"/>
                <w:szCs w:val="16"/>
              </w:rPr>
            </w:pPr>
            <w:r>
              <w:rPr>
                <w:spacing w:val="-3"/>
                <w:sz w:val="16"/>
                <w:szCs w:val="16"/>
              </w:rPr>
              <w:t>78</w:t>
            </w:r>
          </w:p>
          <w:p w14:paraId="5D6EC8D9">
            <w:pPr>
              <w:pStyle w:val="6"/>
              <w:spacing w:before="31" w:line="183" w:lineRule="auto"/>
              <w:ind w:left="215"/>
              <w:rPr>
                <w:sz w:val="16"/>
                <w:szCs w:val="16"/>
              </w:rPr>
            </w:pPr>
            <w:r>
              <w:rPr>
                <w:spacing w:val="-3"/>
                <w:sz w:val="16"/>
                <w:szCs w:val="16"/>
              </w:rPr>
              <w:t>79</w:t>
            </w:r>
          </w:p>
          <w:p w14:paraId="36C126A8">
            <w:pPr>
              <w:pStyle w:val="6"/>
              <w:spacing w:before="42" w:line="183" w:lineRule="auto"/>
              <w:ind w:left="215"/>
              <w:rPr>
                <w:sz w:val="16"/>
                <w:szCs w:val="16"/>
              </w:rPr>
            </w:pPr>
            <w:r>
              <w:rPr>
                <w:spacing w:val="-2"/>
                <w:sz w:val="16"/>
                <w:szCs w:val="16"/>
              </w:rPr>
              <w:t>80</w:t>
            </w:r>
          </w:p>
          <w:p w14:paraId="5D87D9F9">
            <w:pPr>
              <w:pStyle w:val="6"/>
              <w:spacing w:before="40" w:line="184" w:lineRule="auto"/>
              <w:ind w:left="215"/>
              <w:rPr>
                <w:sz w:val="16"/>
                <w:szCs w:val="16"/>
              </w:rPr>
            </w:pPr>
            <w:r>
              <w:rPr>
                <w:spacing w:val="-2"/>
                <w:sz w:val="16"/>
                <w:szCs w:val="16"/>
              </w:rPr>
              <w:t>81</w:t>
            </w:r>
          </w:p>
          <w:p w14:paraId="122A05D0">
            <w:pPr>
              <w:pStyle w:val="6"/>
              <w:spacing w:before="42" w:line="183" w:lineRule="auto"/>
              <w:ind w:left="215"/>
              <w:rPr>
                <w:sz w:val="16"/>
                <w:szCs w:val="16"/>
              </w:rPr>
            </w:pPr>
            <w:r>
              <w:rPr>
                <w:spacing w:val="-2"/>
                <w:sz w:val="16"/>
                <w:szCs w:val="16"/>
              </w:rPr>
              <w:t>82</w:t>
            </w:r>
          </w:p>
          <w:p w14:paraId="148DA9D0">
            <w:pPr>
              <w:pStyle w:val="6"/>
              <w:spacing w:before="31" w:line="183" w:lineRule="auto"/>
              <w:ind w:left="215"/>
              <w:rPr>
                <w:sz w:val="16"/>
                <w:szCs w:val="16"/>
              </w:rPr>
            </w:pPr>
            <w:r>
              <w:rPr>
                <w:spacing w:val="-2"/>
                <w:sz w:val="16"/>
                <w:szCs w:val="16"/>
              </w:rPr>
              <w:t>83</w:t>
            </w:r>
          </w:p>
          <w:p w14:paraId="3EFEC1A0">
            <w:pPr>
              <w:pStyle w:val="6"/>
              <w:spacing w:before="31" w:line="183" w:lineRule="auto"/>
              <w:ind w:left="215"/>
              <w:rPr>
                <w:sz w:val="16"/>
                <w:szCs w:val="16"/>
              </w:rPr>
            </w:pPr>
            <w:r>
              <w:rPr>
                <w:spacing w:val="-2"/>
                <w:sz w:val="16"/>
                <w:szCs w:val="16"/>
              </w:rPr>
              <w:t>84</w:t>
            </w:r>
          </w:p>
          <w:p w14:paraId="29EC3E88">
            <w:pPr>
              <w:pStyle w:val="6"/>
              <w:spacing w:before="22" w:line="183" w:lineRule="auto"/>
              <w:ind w:left="215"/>
              <w:rPr>
                <w:sz w:val="16"/>
                <w:szCs w:val="16"/>
              </w:rPr>
            </w:pPr>
            <w:r>
              <w:rPr>
                <w:spacing w:val="-2"/>
                <w:sz w:val="16"/>
                <w:szCs w:val="16"/>
              </w:rPr>
              <w:t>85</w:t>
            </w:r>
          </w:p>
          <w:p w14:paraId="07CCED2C">
            <w:pPr>
              <w:pStyle w:val="6"/>
              <w:spacing w:before="41" w:line="183" w:lineRule="auto"/>
              <w:ind w:left="215"/>
              <w:rPr>
                <w:sz w:val="16"/>
                <w:szCs w:val="16"/>
              </w:rPr>
            </w:pPr>
            <w:r>
              <w:rPr>
                <w:spacing w:val="-2"/>
                <w:sz w:val="16"/>
                <w:szCs w:val="16"/>
              </w:rPr>
              <w:t>86</w:t>
            </w:r>
          </w:p>
          <w:p w14:paraId="761E7F6E">
            <w:pPr>
              <w:pStyle w:val="6"/>
              <w:spacing w:before="52" w:line="183" w:lineRule="auto"/>
              <w:ind w:left="215"/>
              <w:rPr>
                <w:sz w:val="16"/>
                <w:szCs w:val="16"/>
              </w:rPr>
            </w:pPr>
            <w:r>
              <w:rPr>
                <w:spacing w:val="-2"/>
                <w:sz w:val="16"/>
                <w:szCs w:val="16"/>
              </w:rPr>
              <w:t>87</w:t>
            </w:r>
          </w:p>
          <w:p w14:paraId="0ABC3EBA">
            <w:pPr>
              <w:pStyle w:val="6"/>
              <w:spacing w:before="21" w:line="183" w:lineRule="auto"/>
              <w:ind w:left="215"/>
              <w:rPr>
                <w:sz w:val="16"/>
                <w:szCs w:val="16"/>
              </w:rPr>
            </w:pPr>
            <w:r>
              <w:rPr>
                <w:spacing w:val="-2"/>
                <w:sz w:val="16"/>
                <w:szCs w:val="16"/>
              </w:rPr>
              <w:t>88</w:t>
            </w:r>
          </w:p>
          <w:p w14:paraId="3AA61DCE">
            <w:pPr>
              <w:pStyle w:val="6"/>
              <w:spacing w:before="41" w:line="183" w:lineRule="auto"/>
              <w:ind w:left="215"/>
              <w:rPr>
                <w:sz w:val="16"/>
                <w:szCs w:val="16"/>
              </w:rPr>
            </w:pPr>
            <w:r>
              <w:rPr>
                <w:spacing w:val="-2"/>
                <w:sz w:val="16"/>
                <w:szCs w:val="16"/>
              </w:rPr>
              <w:t>89</w:t>
            </w:r>
          </w:p>
          <w:p w14:paraId="57E18435">
            <w:pPr>
              <w:pStyle w:val="6"/>
              <w:spacing w:before="12" w:line="183" w:lineRule="auto"/>
              <w:ind w:left="215"/>
              <w:rPr>
                <w:sz w:val="16"/>
                <w:szCs w:val="16"/>
              </w:rPr>
            </w:pPr>
            <w:r>
              <w:rPr>
                <w:spacing w:val="-2"/>
                <w:sz w:val="16"/>
                <w:szCs w:val="16"/>
              </w:rPr>
              <w:t>90</w:t>
            </w:r>
          </w:p>
          <w:p w14:paraId="12BEE184">
            <w:pPr>
              <w:pStyle w:val="6"/>
              <w:spacing w:before="30" w:line="184" w:lineRule="auto"/>
              <w:ind w:left="215"/>
              <w:rPr>
                <w:sz w:val="16"/>
                <w:szCs w:val="16"/>
              </w:rPr>
            </w:pPr>
            <w:r>
              <w:rPr>
                <w:spacing w:val="-2"/>
                <w:sz w:val="16"/>
                <w:szCs w:val="16"/>
              </w:rPr>
              <w:t>91</w:t>
            </w:r>
          </w:p>
          <w:p w14:paraId="14822593">
            <w:pPr>
              <w:pStyle w:val="6"/>
              <w:spacing w:before="42" w:line="183" w:lineRule="auto"/>
              <w:ind w:left="215"/>
              <w:rPr>
                <w:sz w:val="16"/>
                <w:szCs w:val="16"/>
              </w:rPr>
            </w:pPr>
            <w:r>
              <w:rPr>
                <w:spacing w:val="-2"/>
                <w:sz w:val="16"/>
                <w:szCs w:val="16"/>
              </w:rPr>
              <w:t>92</w:t>
            </w:r>
          </w:p>
          <w:p w14:paraId="63C7DC48">
            <w:pPr>
              <w:pStyle w:val="6"/>
              <w:spacing w:before="41" w:line="183" w:lineRule="auto"/>
              <w:ind w:left="215"/>
              <w:rPr>
                <w:sz w:val="16"/>
                <w:szCs w:val="16"/>
              </w:rPr>
            </w:pPr>
            <w:r>
              <w:rPr>
                <w:spacing w:val="-2"/>
                <w:sz w:val="16"/>
                <w:szCs w:val="16"/>
              </w:rPr>
              <w:t>93</w:t>
            </w:r>
          </w:p>
          <w:p w14:paraId="7CA2C7F8">
            <w:pPr>
              <w:pStyle w:val="6"/>
              <w:spacing w:before="31" w:line="183" w:lineRule="auto"/>
              <w:ind w:left="215"/>
              <w:rPr>
                <w:sz w:val="16"/>
                <w:szCs w:val="16"/>
              </w:rPr>
            </w:pPr>
            <w:r>
              <w:rPr>
                <w:spacing w:val="-2"/>
                <w:sz w:val="16"/>
                <w:szCs w:val="16"/>
              </w:rPr>
              <w:t>94</w:t>
            </w:r>
          </w:p>
          <w:p w14:paraId="5A24F6B3">
            <w:pPr>
              <w:pStyle w:val="6"/>
              <w:spacing w:before="42" w:line="183" w:lineRule="auto"/>
              <w:ind w:left="215"/>
              <w:rPr>
                <w:sz w:val="16"/>
                <w:szCs w:val="16"/>
              </w:rPr>
            </w:pPr>
            <w:r>
              <w:rPr>
                <w:spacing w:val="-2"/>
                <w:sz w:val="16"/>
                <w:szCs w:val="16"/>
              </w:rPr>
              <w:t>95</w:t>
            </w:r>
          </w:p>
          <w:p w14:paraId="115D828C">
            <w:pPr>
              <w:pStyle w:val="6"/>
              <w:spacing w:before="31" w:line="183" w:lineRule="auto"/>
              <w:ind w:left="215"/>
              <w:rPr>
                <w:sz w:val="16"/>
                <w:szCs w:val="16"/>
              </w:rPr>
            </w:pPr>
            <w:r>
              <w:rPr>
                <w:spacing w:val="-2"/>
                <w:sz w:val="16"/>
                <w:szCs w:val="16"/>
              </w:rPr>
              <w:t>96</w:t>
            </w:r>
          </w:p>
          <w:p w14:paraId="0E3B2863">
            <w:pPr>
              <w:pStyle w:val="6"/>
              <w:spacing w:before="32" w:line="183" w:lineRule="auto"/>
              <w:ind w:left="215"/>
              <w:rPr>
                <w:sz w:val="16"/>
                <w:szCs w:val="16"/>
              </w:rPr>
            </w:pPr>
            <w:r>
              <w:rPr>
                <w:spacing w:val="-2"/>
                <w:sz w:val="16"/>
                <w:szCs w:val="16"/>
              </w:rPr>
              <w:t>97</w:t>
            </w:r>
          </w:p>
          <w:p w14:paraId="11AE3BFB">
            <w:pPr>
              <w:pStyle w:val="6"/>
              <w:spacing w:before="31" w:line="183" w:lineRule="auto"/>
              <w:ind w:left="215"/>
              <w:rPr>
                <w:sz w:val="16"/>
                <w:szCs w:val="16"/>
              </w:rPr>
            </w:pPr>
            <w:r>
              <w:rPr>
                <w:spacing w:val="-2"/>
                <w:sz w:val="16"/>
                <w:szCs w:val="16"/>
              </w:rPr>
              <w:t>98</w:t>
            </w:r>
          </w:p>
          <w:p w14:paraId="227B21C4">
            <w:pPr>
              <w:pStyle w:val="6"/>
              <w:spacing w:before="61" w:line="183" w:lineRule="auto"/>
              <w:ind w:left="215"/>
              <w:rPr>
                <w:sz w:val="16"/>
                <w:szCs w:val="16"/>
              </w:rPr>
            </w:pPr>
            <w:r>
              <w:rPr>
                <w:spacing w:val="-2"/>
                <w:sz w:val="16"/>
                <w:szCs w:val="16"/>
              </w:rPr>
              <w:t>99</w:t>
            </w:r>
          </w:p>
          <w:p w14:paraId="0C8D0D64">
            <w:pPr>
              <w:pStyle w:val="6"/>
              <w:spacing w:before="21" w:line="184" w:lineRule="auto"/>
              <w:ind w:left="175"/>
              <w:rPr>
                <w:sz w:val="16"/>
                <w:szCs w:val="16"/>
              </w:rPr>
            </w:pPr>
            <w:r>
              <w:rPr>
                <w:spacing w:val="-5"/>
                <w:sz w:val="16"/>
                <w:szCs w:val="16"/>
              </w:rPr>
              <w:t>100</w:t>
            </w:r>
          </w:p>
          <w:p w14:paraId="485C92C5">
            <w:pPr>
              <w:pStyle w:val="6"/>
              <w:spacing w:before="31" w:line="184" w:lineRule="auto"/>
              <w:ind w:left="175"/>
              <w:rPr>
                <w:sz w:val="16"/>
                <w:szCs w:val="16"/>
              </w:rPr>
            </w:pPr>
            <w:r>
              <w:rPr>
                <w:spacing w:val="-5"/>
                <w:sz w:val="16"/>
                <w:szCs w:val="16"/>
              </w:rPr>
              <w:t>101</w:t>
            </w:r>
          </w:p>
          <w:p w14:paraId="5D87A16C">
            <w:pPr>
              <w:pStyle w:val="6"/>
              <w:spacing w:before="40" w:line="184" w:lineRule="auto"/>
              <w:ind w:left="175"/>
              <w:rPr>
                <w:sz w:val="16"/>
                <w:szCs w:val="16"/>
              </w:rPr>
            </w:pPr>
            <w:r>
              <w:rPr>
                <w:spacing w:val="-5"/>
                <w:sz w:val="16"/>
                <w:szCs w:val="16"/>
              </w:rPr>
              <w:t>102</w:t>
            </w:r>
          </w:p>
          <w:p w14:paraId="2934D7C3">
            <w:pPr>
              <w:pStyle w:val="6"/>
              <w:spacing w:before="11" w:line="184" w:lineRule="auto"/>
              <w:ind w:left="175"/>
              <w:rPr>
                <w:sz w:val="16"/>
                <w:szCs w:val="16"/>
              </w:rPr>
            </w:pPr>
            <w:r>
              <w:rPr>
                <w:spacing w:val="-5"/>
                <w:sz w:val="16"/>
                <w:szCs w:val="16"/>
              </w:rPr>
              <w:t>103</w:t>
            </w:r>
          </w:p>
          <w:p w14:paraId="6CC68F6A">
            <w:pPr>
              <w:pStyle w:val="6"/>
              <w:spacing w:before="40" w:line="184" w:lineRule="auto"/>
              <w:ind w:left="175"/>
              <w:rPr>
                <w:sz w:val="16"/>
                <w:szCs w:val="16"/>
              </w:rPr>
            </w:pPr>
            <w:r>
              <w:rPr>
                <w:spacing w:val="-5"/>
                <w:sz w:val="16"/>
                <w:szCs w:val="16"/>
              </w:rPr>
              <w:t>104</w:t>
            </w:r>
          </w:p>
          <w:p w14:paraId="6011F8E3">
            <w:pPr>
              <w:pStyle w:val="6"/>
              <w:spacing w:before="31" w:line="184" w:lineRule="auto"/>
              <w:ind w:left="175"/>
              <w:rPr>
                <w:sz w:val="16"/>
                <w:szCs w:val="16"/>
              </w:rPr>
            </w:pPr>
            <w:r>
              <w:rPr>
                <w:spacing w:val="-5"/>
                <w:sz w:val="16"/>
                <w:szCs w:val="16"/>
              </w:rPr>
              <w:t>105</w:t>
            </w:r>
          </w:p>
          <w:p w14:paraId="6BDAC1ED">
            <w:pPr>
              <w:pStyle w:val="6"/>
              <w:spacing w:before="40" w:line="184" w:lineRule="auto"/>
              <w:ind w:left="175"/>
              <w:rPr>
                <w:sz w:val="16"/>
                <w:szCs w:val="16"/>
              </w:rPr>
            </w:pPr>
            <w:r>
              <w:rPr>
                <w:spacing w:val="-5"/>
                <w:sz w:val="16"/>
                <w:szCs w:val="16"/>
              </w:rPr>
              <w:t>106</w:t>
            </w:r>
          </w:p>
          <w:p w14:paraId="556A55E6">
            <w:pPr>
              <w:pStyle w:val="6"/>
              <w:spacing w:before="51" w:line="184" w:lineRule="auto"/>
              <w:ind w:left="175"/>
              <w:rPr>
                <w:sz w:val="16"/>
                <w:szCs w:val="16"/>
              </w:rPr>
            </w:pPr>
            <w:r>
              <w:rPr>
                <w:spacing w:val="-5"/>
                <w:sz w:val="16"/>
                <w:szCs w:val="16"/>
              </w:rPr>
              <w:t>107</w:t>
            </w:r>
          </w:p>
          <w:p w14:paraId="0C9D3530">
            <w:pPr>
              <w:pStyle w:val="6"/>
              <w:spacing w:before="20" w:line="184" w:lineRule="auto"/>
              <w:ind w:left="175"/>
              <w:rPr>
                <w:sz w:val="16"/>
                <w:szCs w:val="16"/>
              </w:rPr>
            </w:pPr>
            <w:r>
              <w:rPr>
                <w:spacing w:val="-5"/>
                <w:sz w:val="16"/>
                <w:szCs w:val="16"/>
              </w:rPr>
              <w:t>108</w:t>
            </w:r>
          </w:p>
          <w:p w14:paraId="62743799">
            <w:pPr>
              <w:pStyle w:val="6"/>
              <w:spacing w:before="31" w:line="184" w:lineRule="auto"/>
              <w:ind w:left="175"/>
              <w:rPr>
                <w:sz w:val="16"/>
                <w:szCs w:val="16"/>
              </w:rPr>
            </w:pPr>
            <w:r>
              <w:rPr>
                <w:spacing w:val="-5"/>
                <w:sz w:val="16"/>
                <w:szCs w:val="16"/>
              </w:rPr>
              <w:t>109</w:t>
            </w:r>
          </w:p>
          <w:p w14:paraId="7E86FC7C">
            <w:pPr>
              <w:pStyle w:val="6"/>
              <w:spacing w:before="30" w:line="184" w:lineRule="auto"/>
              <w:ind w:left="175"/>
              <w:rPr>
                <w:sz w:val="16"/>
                <w:szCs w:val="16"/>
              </w:rPr>
            </w:pPr>
            <w:r>
              <w:rPr>
                <w:spacing w:val="-5"/>
                <w:sz w:val="16"/>
                <w:szCs w:val="16"/>
              </w:rPr>
              <w:t>110</w:t>
            </w:r>
          </w:p>
          <w:p w14:paraId="7A7B0850">
            <w:pPr>
              <w:pStyle w:val="6"/>
              <w:spacing w:before="31" w:line="184" w:lineRule="auto"/>
              <w:ind w:left="175"/>
              <w:rPr>
                <w:sz w:val="16"/>
                <w:szCs w:val="16"/>
              </w:rPr>
            </w:pPr>
            <w:r>
              <w:rPr>
                <w:spacing w:val="-5"/>
                <w:sz w:val="16"/>
                <w:szCs w:val="16"/>
              </w:rPr>
              <w:t>111</w:t>
            </w:r>
          </w:p>
          <w:p w14:paraId="6A4ABF43">
            <w:pPr>
              <w:pStyle w:val="6"/>
              <w:spacing w:before="40" w:line="184" w:lineRule="auto"/>
              <w:ind w:left="175"/>
              <w:rPr>
                <w:sz w:val="16"/>
                <w:szCs w:val="16"/>
              </w:rPr>
            </w:pPr>
            <w:r>
              <w:rPr>
                <w:spacing w:val="-5"/>
                <w:sz w:val="16"/>
                <w:szCs w:val="16"/>
              </w:rPr>
              <w:t>112</w:t>
            </w:r>
          </w:p>
          <w:p w14:paraId="2E9FCCE6">
            <w:pPr>
              <w:pStyle w:val="6"/>
              <w:spacing w:before="41" w:line="184" w:lineRule="auto"/>
              <w:ind w:left="175"/>
              <w:rPr>
                <w:sz w:val="16"/>
                <w:szCs w:val="16"/>
              </w:rPr>
            </w:pPr>
            <w:r>
              <w:rPr>
                <w:spacing w:val="-5"/>
                <w:sz w:val="16"/>
                <w:szCs w:val="16"/>
              </w:rPr>
              <w:t>113</w:t>
            </w:r>
          </w:p>
          <w:p w14:paraId="336A4CA7">
            <w:pPr>
              <w:pStyle w:val="6"/>
              <w:spacing w:before="30" w:line="184" w:lineRule="auto"/>
              <w:ind w:left="175"/>
              <w:rPr>
                <w:sz w:val="16"/>
                <w:szCs w:val="16"/>
              </w:rPr>
            </w:pPr>
            <w:r>
              <w:rPr>
                <w:spacing w:val="-5"/>
                <w:sz w:val="16"/>
                <w:szCs w:val="16"/>
              </w:rPr>
              <w:t>114</w:t>
            </w:r>
          </w:p>
          <w:p w14:paraId="6697458F">
            <w:pPr>
              <w:pStyle w:val="6"/>
              <w:spacing w:before="31" w:line="184" w:lineRule="auto"/>
              <w:ind w:left="175"/>
              <w:rPr>
                <w:sz w:val="16"/>
                <w:szCs w:val="16"/>
              </w:rPr>
            </w:pPr>
            <w:r>
              <w:rPr>
                <w:spacing w:val="-5"/>
                <w:sz w:val="16"/>
                <w:szCs w:val="16"/>
              </w:rPr>
              <w:t>115</w:t>
            </w:r>
          </w:p>
          <w:p w14:paraId="0C1A50BB">
            <w:pPr>
              <w:pStyle w:val="6"/>
              <w:spacing w:before="31" w:line="184" w:lineRule="auto"/>
              <w:ind w:left="175"/>
              <w:rPr>
                <w:sz w:val="16"/>
                <w:szCs w:val="16"/>
              </w:rPr>
            </w:pPr>
            <w:r>
              <w:rPr>
                <w:spacing w:val="-5"/>
                <w:sz w:val="16"/>
                <w:szCs w:val="16"/>
              </w:rPr>
              <w:t>116</w:t>
            </w:r>
          </w:p>
          <w:p w14:paraId="248F147F">
            <w:pPr>
              <w:pStyle w:val="6"/>
              <w:spacing w:before="30" w:line="184" w:lineRule="auto"/>
              <w:ind w:left="175"/>
              <w:rPr>
                <w:sz w:val="16"/>
                <w:szCs w:val="16"/>
              </w:rPr>
            </w:pPr>
            <w:r>
              <w:rPr>
                <w:spacing w:val="-5"/>
                <w:sz w:val="16"/>
                <w:szCs w:val="16"/>
              </w:rPr>
              <w:t>117</w:t>
            </w:r>
          </w:p>
          <w:p w14:paraId="6FCFEE34">
            <w:pPr>
              <w:pStyle w:val="6"/>
              <w:spacing w:before="41" w:line="184" w:lineRule="auto"/>
              <w:ind w:left="175"/>
              <w:rPr>
                <w:sz w:val="16"/>
                <w:szCs w:val="16"/>
              </w:rPr>
            </w:pPr>
            <w:r>
              <w:rPr>
                <w:spacing w:val="-5"/>
                <w:sz w:val="16"/>
                <w:szCs w:val="16"/>
              </w:rPr>
              <w:t>118</w:t>
            </w:r>
          </w:p>
          <w:p w14:paraId="2D38CE1D">
            <w:pPr>
              <w:pStyle w:val="6"/>
              <w:spacing w:before="40" w:line="184" w:lineRule="auto"/>
              <w:ind w:left="175"/>
              <w:rPr>
                <w:sz w:val="16"/>
                <w:szCs w:val="16"/>
              </w:rPr>
            </w:pPr>
            <w:r>
              <w:rPr>
                <w:spacing w:val="-5"/>
                <w:sz w:val="16"/>
                <w:szCs w:val="16"/>
              </w:rPr>
              <w:t>119</w:t>
            </w:r>
          </w:p>
          <w:p w14:paraId="595DB3FA">
            <w:pPr>
              <w:pStyle w:val="6"/>
              <w:spacing w:before="31" w:line="184" w:lineRule="auto"/>
              <w:ind w:left="175"/>
              <w:rPr>
                <w:sz w:val="16"/>
                <w:szCs w:val="16"/>
              </w:rPr>
            </w:pPr>
            <w:r>
              <w:rPr>
                <w:spacing w:val="-5"/>
                <w:sz w:val="16"/>
                <w:szCs w:val="16"/>
              </w:rPr>
              <w:t>120</w:t>
            </w:r>
          </w:p>
          <w:p w14:paraId="08B80D72">
            <w:pPr>
              <w:pStyle w:val="6"/>
              <w:spacing w:before="20" w:line="184" w:lineRule="auto"/>
              <w:ind w:left="175"/>
              <w:rPr>
                <w:sz w:val="16"/>
                <w:szCs w:val="16"/>
              </w:rPr>
            </w:pPr>
            <w:r>
              <w:rPr>
                <w:spacing w:val="-5"/>
                <w:sz w:val="16"/>
                <w:szCs w:val="16"/>
              </w:rPr>
              <w:t>121</w:t>
            </w:r>
          </w:p>
          <w:p w14:paraId="7AF17716">
            <w:pPr>
              <w:pStyle w:val="6"/>
              <w:spacing w:before="51" w:line="184" w:lineRule="auto"/>
              <w:ind w:left="175"/>
              <w:rPr>
                <w:sz w:val="16"/>
                <w:szCs w:val="16"/>
              </w:rPr>
            </w:pPr>
            <w:r>
              <w:rPr>
                <w:spacing w:val="-5"/>
                <w:sz w:val="16"/>
                <w:szCs w:val="16"/>
              </w:rPr>
              <w:t>122</w:t>
            </w:r>
          </w:p>
          <w:p w14:paraId="3C132F37">
            <w:pPr>
              <w:pStyle w:val="6"/>
              <w:spacing w:before="20" w:line="184" w:lineRule="auto"/>
              <w:ind w:left="175"/>
              <w:rPr>
                <w:sz w:val="16"/>
                <w:szCs w:val="16"/>
              </w:rPr>
            </w:pPr>
            <w:r>
              <w:rPr>
                <w:spacing w:val="-5"/>
                <w:sz w:val="16"/>
                <w:szCs w:val="16"/>
              </w:rPr>
              <w:t>123</w:t>
            </w:r>
          </w:p>
          <w:p w14:paraId="1617DE54">
            <w:pPr>
              <w:pStyle w:val="6"/>
              <w:spacing w:before="51" w:line="184" w:lineRule="auto"/>
              <w:ind w:left="175"/>
              <w:rPr>
                <w:sz w:val="16"/>
                <w:szCs w:val="16"/>
              </w:rPr>
            </w:pPr>
            <w:r>
              <w:rPr>
                <w:spacing w:val="-5"/>
                <w:sz w:val="16"/>
                <w:szCs w:val="16"/>
              </w:rPr>
              <w:t>124</w:t>
            </w:r>
          </w:p>
          <w:p w14:paraId="3E604E65">
            <w:pPr>
              <w:pStyle w:val="6"/>
              <w:spacing w:before="20" w:line="184" w:lineRule="auto"/>
              <w:ind w:left="175"/>
              <w:rPr>
                <w:sz w:val="16"/>
                <w:szCs w:val="16"/>
              </w:rPr>
            </w:pPr>
            <w:r>
              <w:rPr>
                <w:spacing w:val="-5"/>
                <w:sz w:val="16"/>
                <w:szCs w:val="16"/>
              </w:rPr>
              <w:t>125</w:t>
            </w:r>
          </w:p>
          <w:p w14:paraId="1910D1D0">
            <w:pPr>
              <w:pStyle w:val="6"/>
              <w:spacing w:before="31" w:line="184" w:lineRule="auto"/>
              <w:ind w:left="175"/>
              <w:rPr>
                <w:sz w:val="16"/>
                <w:szCs w:val="16"/>
              </w:rPr>
            </w:pPr>
            <w:r>
              <w:rPr>
                <w:spacing w:val="-5"/>
                <w:sz w:val="16"/>
                <w:szCs w:val="16"/>
              </w:rPr>
              <w:t>126</w:t>
            </w:r>
          </w:p>
          <w:p w14:paraId="396B56EC">
            <w:pPr>
              <w:pStyle w:val="6"/>
              <w:spacing w:before="30" w:line="184" w:lineRule="auto"/>
              <w:ind w:left="175"/>
              <w:rPr>
                <w:sz w:val="16"/>
                <w:szCs w:val="16"/>
              </w:rPr>
            </w:pPr>
            <w:r>
              <w:rPr>
                <w:spacing w:val="-5"/>
                <w:sz w:val="16"/>
                <w:szCs w:val="16"/>
              </w:rPr>
              <w:t>127</w:t>
            </w:r>
          </w:p>
          <w:p w14:paraId="6567C69F">
            <w:pPr>
              <w:pStyle w:val="6"/>
              <w:spacing w:before="41" w:line="184" w:lineRule="auto"/>
              <w:ind w:left="175"/>
              <w:rPr>
                <w:sz w:val="16"/>
                <w:szCs w:val="16"/>
              </w:rPr>
            </w:pPr>
            <w:r>
              <w:rPr>
                <w:spacing w:val="-5"/>
                <w:sz w:val="16"/>
                <w:szCs w:val="16"/>
              </w:rPr>
              <w:t>128</w:t>
            </w:r>
          </w:p>
          <w:p w14:paraId="39917805">
            <w:pPr>
              <w:pStyle w:val="6"/>
              <w:spacing w:before="31" w:line="184" w:lineRule="auto"/>
              <w:ind w:left="175"/>
              <w:rPr>
                <w:sz w:val="16"/>
                <w:szCs w:val="16"/>
              </w:rPr>
            </w:pPr>
            <w:r>
              <w:rPr>
                <w:spacing w:val="-5"/>
                <w:sz w:val="16"/>
                <w:szCs w:val="16"/>
              </w:rPr>
              <w:t>129</w:t>
            </w:r>
          </w:p>
          <w:p w14:paraId="7D8751F1">
            <w:pPr>
              <w:pStyle w:val="6"/>
              <w:spacing w:before="30" w:line="184" w:lineRule="auto"/>
              <w:ind w:left="175"/>
              <w:rPr>
                <w:sz w:val="16"/>
                <w:szCs w:val="16"/>
              </w:rPr>
            </w:pPr>
            <w:r>
              <w:rPr>
                <w:spacing w:val="-5"/>
                <w:sz w:val="16"/>
                <w:szCs w:val="16"/>
              </w:rPr>
              <w:t>130</w:t>
            </w:r>
          </w:p>
          <w:p w14:paraId="22FC51A9">
            <w:pPr>
              <w:pStyle w:val="6"/>
              <w:spacing w:before="41" w:line="184" w:lineRule="auto"/>
              <w:ind w:left="175"/>
              <w:rPr>
                <w:sz w:val="16"/>
                <w:szCs w:val="16"/>
              </w:rPr>
            </w:pPr>
            <w:r>
              <w:rPr>
                <w:spacing w:val="-5"/>
                <w:sz w:val="16"/>
                <w:szCs w:val="16"/>
              </w:rPr>
              <w:t>131</w:t>
            </w:r>
          </w:p>
          <w:p w14:paraId="04ED27C4">
            <w:pPr>
              <w:pStyle w:val="6"/>
              <w:spacing w:before="30" w:line="184" w:lineRule="auto"/>
              <w:ind w:left="175"/>
              <w:rPr>
                <w:sz w:val="16"/>
                <w:szCs w:val="16"/>
              </w:rPr>
            </w:pPr>
            <w:r>
              <w:rPr>
                <w:spacing w:val="-5"/>
                <w:sz w:val="16"/>
                <w:szCs w:val="16"/>
              </w:rPr>
              <w:t>132</w:t>
            </w:r>
          </w:p>
          <w:p w14:paraId="7B127B12">
            <w:pPr>
              <w:pStyle w:val="6"/>
              <w:spacing w:before="31" w:line="184" w:lineRule="auto"/>
              <w:ind w:left="175"/>
              <w:rPr>
                <w:sz w:val="16"/>
                <w:szCs w:val="16"/>
              </w:rPr>
            </w:pPr>
            <w:r>
              <w:rPr>
                <w:spacing w:val="-5"/>
                <w:sz w:val="16"/>
                <w:szCs w:val="16"/>
              </w:rPr>
              <w:t>133</w:t>
            </w:r>
          </w:p>
        </w:tc>
      </w:tr>
    </w:tbl>
    <w:p w14:paraId="31386404">
      <w:pPr>
        <w:pStyle w:val="2"/>
      </w:pPr>
    </w:p>
    <w:p w14:paraId="33946053">
      <w:pPr>
        <w:sectPr>
          <w:headerReference r:id="rId65" w:type="default"/>
          <w:pgSz w:w="11910" w:h="16840"/>
          <w:pgMar w:top="1109" w:right="1239" w:bottom="400" w:left="1239" w:header="857" w:footer="0" w:gutter="0"/>
          <w:cols w:space="720" w:num="1"/>
        </w:sectPr>
      </w:pPr>
    </w:p>
    <w:p w14:paraId="27C8C56E">
      <w:pPr>
        <w:pStyle w:val="2"/>
        <w:spacing w:line="259" w:lineRule="auto"/>
      </w:pPr>
      <w:r>
        <w:drawing>
          <wp:anchor distT="0" distB="0" distL="0" distR="0" simplePos="0" relativeHeight="251755520" behindDoc="0" locked="0" layoutInCell="0" allowOverlap="1">
            <wp:simplePos x="0" y="0"/>
            <wp:positionH relativeFrom="page">
              <wp:posOffset>768350</wp:posOffset>
            </wp:positionH>
            <wp:positionV relativeFrom="page">
              <wp:posOffset>9658350</wp:posOffset>
            </wp:positionV>
            <wp:extent cx="1860550" cy="6350"/>
            <wp:effectExtent l="0" t="0" r="0" b="0"/>
            <wp:wrapNone/>
            <wp:docPr id="108" name="IM 108"/>
            <wp:cNvGraphicFramePr/>
            <a:graphic xmlns:a="http://schemas.openxmlformats.org/drawingml/2006/main">
              <a:graphicData uri="http://schemas.openxmlformats.org/drawingml/2006/picture">
                <pic:pic xmlns:pic="http://schemas.openxmlformats.org/drawingml/2006/picture">
                  <pic:nvPicPr>
                    <pic:cNvPr id="108" name="IM 108"/>
                    <pic:cNvPicPr/>
                  </pic:nvPicPr>
                  <pic:blipFill>
                    <a:blip r:embed="rId98"/>
                    <a:stretch>
                      <a:fillRect/>
                    </a:stretch>
                  </pic:blipFill>
                  <pic:spPr>
                    <a:xfrm>
                      <a:off x="0" y="0"/>
                      <a:ext cx="1860537" cy="6350"/>
                    </a:xfrm>
                    <a:prstGeom prst="rect">
                      <a:avLst/>
                    </a:prstGeom>
                  </pic:spPr>
                </pic:pic>
              </a:graphicData>
            </a:graphic>
          </wp:anchor>
        </w:drawing>
      </w:r>
    </w:p>
    <w:p w14:paraId="2D1692B0">
      <w:pPr>
        <w:spacing w:before="97" w:line="222" w:lineRule="auto"/>
        <w:ind w:left="3494"/>
        <w:outlineLvl w:val="0"/>
        <w:rPr>
          <w:rFonts w:ascii="黑体" w:hAnsi="黑体" w:eastAsia="黑体" w:cs="黑体"/>
          <w:sz w:val="30"/>
          <w:szCs w:val="30"/>
        </w:rPr>
      </w:pPr>
      <w:bookmarkStart w:id="21" w:name="bookmark26"/>
      <w:bookmarkEnd w:id="21"/>
      <w:r>
        <w:rPr>
          <w:rFonts w:ascii="黑体" w:hAnsi="黑体" w:eastAsia="黑体" w:cs="黑体"/>
          <w:b/>
          <w:bCs/>
          <w:spacing w:val="-2"/>
          <w:sz w:val="30"/>
          <w:szCs w:val="30"/>
        </w:rPr>
        <w:t>五</w:t>
      </w:r>
      <w:r>
        <w:rPr>
          <w:rFonts w:ascii="黑体" w:hAnsi="黑体" w:eastAsia="黑体" w:cs="黑体"/>
          <w:spacing w:val="-38"/>
          <w:sz w:val="30"/>
          <w:szCs w:val="30"/>
        </w:rPr>
        <w:t xml:space="preserve"> </w:t>
      </w:r>
      <w:r>
        <w:rPr>
          <w:rFonts w:ascii="黑体" w:hAnsi="黑体" w:eastAsia="黑体" w:cs="黑体"/>
          <w:b/>
          <w:bCs/>
          <w:spacing w:val="-2"/>
          <w:sz w:val="30"/>
          <w:szCs w:val="30"/>
        </w:rPr>
        <w:t>、主要指标解释</w:t>
      </w:r>
    </w:p>
    <w:p w14:paraId="271BD926">
      <w:pPr>
        <w:pStyle w:val="2"/>
        <w:spacing w:line="386" w:lineRule="auto"/>
      </w:pPr>
    </w:p>
    <w:p w14:paraId="108A72D1">
      <w:pPr>
        <w:spacing w:before="98" w:line="221" w:lineRule="auto"/>
        <w:ind w:left="2314"/>
        <w:rPr>
          <w:rFonts w:ascii="黑体" w:hAnsi="黑体" w:eastAsia="黑体" w:cs="黑体"/>
          <w:sz w:val="30"/>
          <w:szCs w:val="30"/>
        </w:rPr>
      </w:pPr>
      <w:r>
        <w:rPr>
          <w:rFonts w:ascii="黑体" w:hAnsi="黑体" w:eastAsia="黑体" w:cs="黑体"/>
          <w:b/>
          <w:bCs/>
          <w:spacing w:val="-5"/>
          <w:sz w:val="30"/>
          <w:szCs w:val="30"/>
        </w:rPr>
        <w:t>(一)能源购进、消费与库存(205-1表)</w:t>
      </w:r>
    </w:p>
    <w:p w14:paraId="48641CE2">
      <w:pPr>
        <w:spacing w:before="295" w:line="271" w:lineRule="auto"/>
        <w:ind w:left="39" w:right="69" w:firstLine="400"/>
        <w:rPr>
          <w:rFonts w:ascii="宋体" w:hAnsi="宋体" w:eastAsia="宋体" w:cs="宋体"/>
          <w:sz w:val="21"/>
          <w:szCs w:val="21"/>
        </w:rPr>
      </w:pPr>
      <w:r>
        <w:rPr>
          <w:rFonts w:ascii="黑体" w:hAnsi="黑体" w:eastAsia="黑体" w:cs="黑体"/>
          <w:spacing w:val="10"/>
          <w:sz w:val="21"/>
          <w:szCs w:val="21"/>
        </w:rPr>
        <w:t>★</w:t>
      </w:r>
      <w:r>
        <w:rPr>
          <w:rFonts w:ascii="黑体" w:hAnsi="黑体" w:eastAsia="黑体" w:cs="黑体"/>
          <w:b/>
          <w:bCs/>
          <w:spacing w:val="10"/>
          <w:sz w:val="21"/>
          <w:szCs w:val="21"/>
        </w:rPr>
        <w:t>|能源库存量</w:t>
      </w:r>
      <w:r>
        <w:rPr>
          <w:rFonts w:ascii="黑体" w:hAnsi="黑体" w:eastAsia="黑体" w:cs="黑体"/>
          <w:spacing w:val="2"/>
          <w:sz w:val="21"/>
          <w:szCs w:val="21"/>
        </w:rPr>
        <w:t xml:space="preserve">  </w:t>
      </w:r>
      <w:r>
        <w:rPr>
          <w:rFonts w:ascii="宋体" w:hAnsi="宋体" w:eastAsia="宋体" w:cs="宋体"/>
          <w:spacing w:val="10"/>
          <w:sz w:val="21"/>
          <w:szCs w:val="21"/>
        </w:rPr>
        <w:t>指能源使用企业(单位)在报告期的某时间点所拥有的、用于企业(单位)</w:t>
      </w:r>
      <w:r>
        <w:rPr>
          <w:rFonts w:ascii="宋体" w:hAnsi="宋体" w:eastAsia="宋体" w:cs="宋体"/>
          <w:spacing w:val="9"/>
          <w:sz w:val="21"/>
          <w:szCs w:val="21"/>
        </w:rPr>
        <w:t>消费</w:t>
      </w:r>
      <w:r>
        <w:rPr>
          <w:rFonts w:ascii="宋体" w:hAnsi="宋体" w:eastAsia="宋体" w:cs="宋体"/>
          <w:spacing w:val="1"/>
          <w:sz w:val="21"/>
          <w:szCs w:val="21"/>
        </w:rPr>
        <w:t xml:space="preserve"> </w:t>
      </w:r>
      <w:r>
        <w:rPr>
          <w:rFonts w:ascii="宋体" w:hAnsi="宋体" w:eastAsia="宋体" w:cs="宋体"/>
          <w:spacing w:val="6"/>
          <w:sz w:val="21"/>
          <w:szCs w:val="21"/>
        </w:rPr>
        <w:t>或转卖(不包括本企业自己生产)的各种能源的库存量。</w:t>
      </w:r>
    </w:p>
    <w:p w14:paraId="7B740D5F">
      <w:pPr>
        <w:spacing w:before="112" w:line="219" w:lineRule="auto"/>
        <w:ind w:left="579"/>
        <w:rPr>
          <w:rFonts w:ascii="宋体" w:hAnsi="宋体" w:eastAsia="宋体" w:cs="宋体"/>
          <w:sz w:val="21"/>
          <w:szCs w:val="21"/>
        </w:rPr>
      </w:pPr>
      <w:r>
        <w:rPr>
          <w:rFonts w:ascii="宋体" w:hAnsi="宋体" w:eastAsia="宋体" w:cs="宋体"/>
          <w:spacing w:val="2"/>
          <w:sz w:val="21"/>
          <w:szCs w:val="21"/>
        </w:rPr>
        <w:t>(1)库存量的核算原则：</w:t>
      </w:r>
    </w:p>
    <w:p w14:paraId="0B057EC7">
      <w:pPr>
        <w:spacing w:before="128" w:line="260" w:lineRule="auto"/>
        <w:ind w:left="39" w:right="35" w:firstLine="400"/>
        <w:rPr>
          <w:rFonts w:ascii="宋体" w:hAnsi="宋体" w:eastAsia="宋体" w:cs="宋体"/>
          <w:sz w:val="21"/>
          <w:szCs w:val="21"/>
        </w:rPr>
      </w:pPr>
      <w:r>
        <w:rPr>
          <w:rFonts w:ascii="宋体" w:hAnsi="宋体" w:eastAsia="宋体" w:cs="宋体"/>
          <w:spacing w:val="-1"/>
          <w:sz w:val="21"/>
          <w:szCs w:val="21"/>
        </w:rPr>
        <w:t>①时点性原则。库存量是指企业在报告期的某时间点所拥有的各种能源数</w:t>
      </w:r>
      <w:r>
        <w:rPr>
          <w:rFonts w:ascii="宋体" w:hAnsi="宋体" w:eastAsia="宋体" w:cs="宋体"/>
          <w:spacing w:val="-2"/>
          <w:sz w:val="21"/>
          <w:szCs w:val="21"/>
        </w:rPr>
        <w:t>量，所以必须按照制度所</w:t>
      </w:r>
      <w:r>
        <w:rPr>
          <w:rFonts w:ascii="宋体" w:hAnsi="宋体" w:eastAsia="宋体" w:cs="宋体"/>
          <w:sz w:val="21"/>
          <w:szCs w:val="21"/>
        </w:rPr>
        <w:t xml:space="preserve"> </w:t>
      </w:r>
      <w:r>
        <w:rPr>
          <w:rFonts w:ascii="宋体" w:hAnsi="宋体" w:eastAsia="宋体" w:cs="宋体"/>
          <w:spacing w:val="-2"/>
          <w:sz w:val="21"/>
          <w:szCs w:val="21"/>
        </w:rPr>
        <w:t>规定的时间点盘点库存，不得提前或推后。</w:t>
      </w:r>
    </w:p>
    <w:p w14:paraId="048BAD66">
      <w:pPr>
        <w:spacing w:before="138" w:line="260" w:lineRule="auto"/>
        <w:ind w:left="39" w:right="32" w:firstLine="400"/>
        <w:rPr>
          <w:rFonts w:ascii="宋体" w:hAnsi="宋体" w:eastAsia="宋体" w:cs="宋体"/>
          <w:sz w:val="21"/>
          <w:szCs w:val="21"/>
        </w:rPr>
      </w:pPr>
      <w:r>
        <w:rPr>
          <w:rFonts w:ascii="宋体" w:hAnsi="宋体" w:eastAsia="宋体" w:cs="宋体"/>
          <w:spacing w:val="-1"/>
          <w:sz w:val="21"/>
          <w:szCs w:val="21"/>
        </w:rPr>
        <w:t>②实际数量原则。企业在库存盘点后，可能出现账面数量与实际库存数量不一</w:t>
      </w:r>
      <w:r>
        <w:rPr>
          <w:rFonts w:ascii="宋体" w:hAnsi="宋体" w:eastAsia="宋体" w:cs="宋体"/>
          <w:spacing w:val="-2"/>
          <w:sz w:val="21"/>
          <w:szCs w:val="21"/>
        </w:rPr>
        <w:t>致的现象，在这种情</w:t>
      </w:r>
      <w:r>
        <w:rPr>
          <w:rFonts w:ascii="宋体" w:hAnsi="宋体" w:eastAsia="宋体" w:cs="宋体"/>
          <w:sz w:val="21"/>
          <w:szCs w:val="21"/>
        </w:rPr>
        <w:t xml:space="preserve"> </w:t>
      </w:r>
      <w:r>
        <w:rPr>
          <w:rFonts w:ascii="宋体" w:hAnsi="宋体" w:eastAsia="宋体" w:cs="宋体"/>
          <w:spacing w:val="-1"/>
          <w:sz w:val="21"/>
          <w:szCs w:val="21"/>
        </w:rPr>
        <w:t>况下，应以盘点数量为准来调整账面数量，差</w:t>
      </w:r>
      <w:r>
        <w:rPr>
          <w:rFonts w:ascii="宋体" w:hAnsi="宋体" w:eastAsia="宋体" w:cs="宋体"/>
          <w:spacing w:val="-2"/>
          <w:sz w:val="21"/>
          <w:szCs w:val="21"/>
        </w:rPr>
        <w:t>额作盘盈或盘亏处理。</w:t>
      </w:r>
    </w:p>
    <w:p w14:paraId="46DE7D0E">
      <w:pPr>
        <w:spacing w:before="98" w:line="217" w:lineRule="auto"/>
        <w:ind w:left="439"/>
        <w:rPr>
          <w:rFonts w:ascii="宋体" w:hAnsi="宋体" w:eastAsia="宋体" w:cs="宋体"/>
          <w:sz w:val="21"/>
          <w:szCs w:val="21"/>
        </w:rPr>
      </w:pPr>
      <w:r>
        <w:rPr>
          <w:rFonts w:ascii="宋体" w:hAnsi="宋体" w:eastAsia="宋体" w:cs="宋体"/>
          <w:spacing w:val="-1"/>
          <w:sz w:val="21"/>
          <w:szCs w:val="21"/>
        </w:rPr>
        <w:t>③库存量的核算，以验收合格、办理完入库手续为准，未经验收或不合格的，不能计入库存。</w:t>
      </w:r>
    </w:p>
    <w:p w14:paraId="22DF74D0">
      <w:pPr>
        <w:spacing w:before="123" w:line="353" w:lineRule="exact"/>
        <w:ind w:left="439"/>
        <w:rPr>
          <w:rFonts w:ascii="宋体" w:hAnsi="宋体" w:eastAsia="宋体" w:cs="宋体"/>
          <w:sz w:val="21"/>
          <w:szCs w:val="21"/>
        </w:rPr>
      </w:pPr>
      <w:r>
        <w:rPr>
          <w:rFonts w:ascii="宋体" w:hAnsi="宋体" w:eastAsia="宋体" w:cs="宋体"/>
          <w:spacing w:val="5"/>
          <w:position w:val="10"/>
          <w:sz w:val="21"/>
          <w:szCs w:val="21"/>
        </w:rPr>
        <w:t>④能源使用企业(单位)用于消费的能源库存按</w:t>
      </w:r>
      <w:r>
        <w:rPr>
          <w:rFonts w:ascii="宋体" w:hAnsi="宋体" w:eastAsia="宋体" w:cs="宋体"/>
          <w:spacing w:val="4"/>
          <w:position w:val="10"/>
          <w:sz w:val="21"/>
          <w:szCs w:val="21"/>
        </w:rPr>
        <w:t>照能源的使用权原则统计。</w:t>
      </w:r>
    </w:p>
    <w:p w14:paraId="4FA379C6">
      <w:pPr>
        <w:spacing w:line="219" w:lineRule="auto"/>
        <w:ind w:left="579"/>
        <w:rPr>
          <w:rFonts w:ascii="宋体" w:hAnsi="宋体" w:eastAsia="宋体" w:cs="宋体"/>
          <w:sz w:val="21"/>
          <w:szCs w:val="21"/>
        </w:rPr>
      </w:pPr>
      <w:r>
        <w:rPr>
          <w:rFonts w:ascii="宋体" w:hAnsi="宋体" w:eastAsia="宋体" w:cs="宋体"/>
          <w:spacing w:val="2"/>
          <w:sz w:val="21"/>
          <w:szCs w:val="21"/>
        </w:rPr>
        <w:t>(2)库存量的统计范围：</w:t>
      </w:r>
    </w:p>
    <w:p w14:paraId="62C1960A">
      <w:pPr>
        <w:spacing w:before="107" w:line="287" w:lineRule="auto"/>
        <w:ind w:left="39" w:right="31" w:firstLine="400"/>
        <w:rPr>
          <w:rFonts w:ascii="宋体" w:hAnsi="宋体" w:eastAsia="宋体" w:cs="宋体"/>
          <w:sz w:val="21"/>
          <w:szCs w:val="21"/>
        </w:rPr>
      </w:pPr>
      <w:r>
        <w:rPr>
          <w:rFonts w:ascii="宋体" w:hAnsi="宋体" w:eastAsia="宋体" w:cs="宋体"/>
          <w:spacing w:val="8"/>
          <w:sz w:val="21"/>
          <w:szCs w:val="21"/>
        </w:rPr>
        <w:t>能源使用企业(单位)的能源库存统计范围，是企业购进和调入(加工</w:t>
      </w:r>
      <w:r>
        <w:rPr>
          <w:rFonts w:ascii="宋体" w:hAnsi="宋体" w:eastAsia="宋体" w:cs="宋体"/>
          <w:spacing w:val="7"/>
          <w:sz w:val="21"/>
          <w:szCs w:val="21"/>
        </w:rPr>
        <w:t>来料和借入)的、在报告期</w:t>
      </w:r>
      <w:r>
        <w:rPr>
          <w:rFonts w:ascii="宋体" w:hAnsi="宋体" w:eastAsia="宋体" w:cs="宋体"/>
          <w:sz w:val="21"/>
          <w:szCs w:val="21"/>
        </w:rPr>
        <w:t xml:space="preserve"> </w:t>
      </w:r>
      <w:r>
        <w:rPr>
          <w:rFonts w:ascii="宋体" w:hAnsi="宋体" w:eastAsia="宋体" w:cs="宋体"/>
          <w:spacing w:val="3"/>
          <w:sz w:val="21"/>
          <w:szCs w:val="21"/>
        </w:rPr>
        <w:t>某一时点尚未消费或转卖、存放在原材料、能源供应仓库(或场地)、车间、工地中的各种能源，主要</w:t>
      </w:r>
      <w:r>
        <w:rPr>
          <w:rFonts w:ascii="宋体" w:hAnsi="宋体" w:eastAsia="宋体" w:cs="宋体"/>
          <w:spacing w:val="4"/>
          <w:sz w:val="21"/>
          <w:szCs w:val="21"/>
        </w:rPr>
        <w:t xml:space="preserve"> </w:t>
      </w:r>
      <w:r>
        <w:rPr>
          <w:rFonts w:ascii="宋体" w:hAnsi="宋体" w:eastAsia="宋体" w:cs="宋体"/>
          <w:spacing w:val="-13"/>
          <w:sz w:val="21"/>
          <w:szCs w:val="21"/>
        </w:rPr>
        <w:t>包括：</w:t>
      </w:r>
    </w:p>
    <w:p w14:paraId="145147AC">
      <w:pPr>
        <w:spacing w:before="121" w:line="262" w:lineRule="auto"/>
        <w:ind w:left="39" w:right="33" w:firstLine="400"/>
        <w:rPr>
          <w:rFonts w:ascii="宋体" w:hAnsi="宋体" w:eastAsia="宋体" w:cs="宋体"/>
          <w:sz w:val="21"/>
          <w:szCs w:val="21"/>
        </w:rPr>
      </w:pPr>
      <w:r>
        <w:rPr>
          <w:rFonts w:ascii="宋体" w:hAnsi="宋体" w:eastAsia="宋体" w:cs="宋体"/>
          <w:spacing w:val="6"/>
          <w:sz w:val="21"/>
          <w:szCs w:val="21"/>
        </w:rPr>
        <w:t>①凡是本单位有权支配的，不论来源(自行采购的、借用的、外单位拨来的等),也不论存放在什</w:t>
      </w:r>
      <w:r>
        <w:rPr>
          <w:rFonts w:ascii="宋体" w:hAnsi="宋体" w:eastAsia="宋体" w:cs="宋体"/>
          <w:spacing w:val="4"/>
          <w:sz w:val="21"/>
          <w:szCs w:val="21"/>
        </w:rPr>
        <w:t xml:space="preserve"> </w:t>
      </w:r>
      <w:r>
        <w:rPr>
          <w:rFonts w:ascii="宋体" w:hAnsi="宋体" w:eastAsia="宋体" w:cs="宋体"/>
          <w:spacing w:val="6"/>
          <w:sz w:val="21"/>
          <w:szCs w:val="21"/>
        </w:rPr>
        <w:t>么地方(总库、分库、车间、工地、本单位之外的其他地方等),均应统计在</w:t>
      </w:r>
      <w:r>
        <w:rPr>
          <w:rFonts w:ascii="宋体" w:hAnsi="宋体" w:eastAsia="宋体" w:cs="宋体"/>
          <w:spacing w:val="5"/>
          <w:sz w:val="21"/>
          <w:szCs w:val="21"/>
        </w:rPr>
        <w:t>本单位的库存量中；</w:t>
      </w:r>
    </w:p>
    <w:p w14:paraId="298361A2">
      <w:pPr>
        <w:spacing w:before="105" w:line="217" w:lineRule="auto"/>
        <w:jc w:val="right"/>
        <w:rPr>
          <w:rFonts w:ascii="宋体" w:hAnsi="宋体" w:eastAsia="宋体" w:cs="宋体"/>
          <w:sz w:val="21"/>
          <w:szCs w:val="21"/>
        </w:rPr>
      </w:pPr>
      <w:r>
        <w:rPr>
          <w:rFonts w:ascii="宋体" w:hAnsi="宋体" w:eastAsia="宋体" w:cs="宋体"/>
          <w:sz w:val="21"/>
          <w:szCs w:val="21"/>
        </w:rPr>
        <w:t>②在统计时点上尚未投入消费的，包括车间、工地、班</w:t>
      </w:r>
      <w:r>
        <w:rPr>
          <w:rFonts w:ascii="宋体" w:hAnsi="宋体" w:eastAsia="宋体" w:cs="宋体"/>
          <w:spacing w:val="-1"/>
          <w:sz w:val="21"/>
          <w:szCs w:val="21"/>
        </w:rPr>
        <w:t>组从仓库已领取但尚未投入第一道生产工序</w:t>
      </w:r>
    </w:p>
    <w:p w14:paraId="054AAA6E">
      <w:pPr>
        <w:spacing w:before="104" w:line="219" w:lineRule="auto"/>
        <w:ind w:left="39"/>
        <w:rPr>
          <w:rFonts w:ascii="宋体" w:hAnsi="宋体" w:eastAsia="宋体" w:cs="宋体"/>
          <w:sz w:val="21"/>
          <w:szCs w:val="21"/>
        </w:rPr>
      </w:pPr>
      <w:r>
        <w:rPr>
          <w:rFonts w:ascii="宋体" w:hAnsi="宋体" w:eastAsia="宋体" w:cs="宋体"/>
          <w:spacing w:val="14"/>
          <w:sz w:val="21"/>
          <w:szCs w:val="21"/>
        </w:rPr>
        <w:t>的(应办理假退料手续);</w:t>
      </w:r>
    </w:p>
    <w:p w14:paraId="00ED7142">
      <w:pPr>
        <w:spacing w:before="130" w:line="217" w:lineRule="auto"/>
        <w:ind w:left="439"/>
        <w:rPr>
          <w:rFonts w:ascii="宋体" w:hAnsi="宋体" w:eastAsia="宋体" w:cs="宋体"/>
          <w:sz w:val="21"/>
          <w:szCs w:val="21"/>
        </w:rPr>
      </w:pPr>
      <w:r>
        <w:rPr>
          <w:rFonts w:ascii="宋体" w:hAnsi="宋体" w:eastAsia="宋体" w:cs="宋体"/>
          <w:spacing w:val="-2"/>
          <w:sz w:val="21"/>
          <w:szCs w:val="21"/>
        </w:rPr>
        <w:t>③外单位来料加工或自外单位借入的，在报告</w:t>
      </w:r>
      <w:r>
        <w:rPr>
          <w:rFonts w:ascii="宋体" w:hAnsi="宋体" w:eastAsia="宋体" w:cs="宋体"/>
          <w:spacing w:val="-3"/>
          <w:sz w:val="21"/>
          <w:szCs w:val="21"/>
        </w:rPr>
        <w:t>期末尚未消费的；</w:t>
      </w:r>
    </w:p>
    <w:p w14:paraId="183910D2">
      <w:pPr>
        <w:spacing w:before="132" w:line="351" w:lineRule="exact"/>
        <w:ind w:left="439"/>
        <w:rPr>
          <w:rFonts w:ascii="宋体" w:hAnsi="宋体" w:eastAsia="宋体" w:cs="宋体"/>
          <w:sz w:val="21"/>
          <w:szCs w:val="21"/>
        </w:rPr>
      </w:pPr>
      <w:r>
        <w:rPr>
          <w:rFonts w:ascii="宋体" w:hAnsi="宋体" w:eastAsia="宋体" w:cs="宋体"/>
          <w:spacing w:val="9"/>
          <w:position w:val="10"/>
          <w:sz w:val="21"/>
          <w:szCs w:val="21"/>
        </w:rPr>
        <w:t>④已决定外调(卖出、借出、捐赠等),但尚未办理出库手续的；</w:t>
      </w:r>
    </w:p>
    <w:p w14:paraId="2B406C5A">
      <w:pPr>
        <w:spacing w:line="217" w:lineRule="auto"/>
        <w:ind w:left="439"/>
        <w:rPr>
          <w:rFonts w:ascii="宋体" w:hAnsi="宋体" w:eastAsia="宋体" w:cs="宋体"/>
          <w:sz w:val="21"/>
          <w:szCs w:val="21"/>
        </w:rPr>
      </w:pPr>
      <w:r>
        <w:rPr>
          <w:rFonts w:ascii="宋体" w:hAnsi="宋体" w:eastAsia="宋体" w:cs="宋体"/>
          <w:spacing w:val="-5"/>
          <w:sz w:val="21"/>
          <w:szCs w:val="21"/>
        </w:rPr>
        <w:t>⑤委托外单位代保管的；</w:t>
      </w:r>
    </w:p>
    <w:p w14:paraId="5DC16513">
      <w:pPr>
        <w:spacing w:before="123" w:line="217" w:lineRule="auto"/>
        <w:ind w:left="439"/>
        <w:rPr>
          <w:rFonts w:ascii="宋体" w:hAnsi="宋体" w:eastAsia="宋体" w:cs="宋体"/>
          <w:sz w:val="21"/>
          <w:szCs w:val="21"/>
        </w:rPr>
      </w:pPr>
      <w:r>
        <w:rPr>
          <w:rFonts w:ascii="宋体" w:hAnsi="宋体" w:eastAsia="宋体" w:cs="宋体"/>
          <w:spacing w:val="-3"/>
          <w:sz w:val="21"/>
          <w:szCs w:val="21"/>
        </w:rPr>
        <w:t>⑥不属于正常周转库存的超出积压或特准储备、战略储备；</w:t>
      </w:r>
    </w:p>
    <w:p w14:paraId="14F038AB">
      <w:pPr>
        <w:spacing w:before="103" w:line="356" w:lineRule="exact"/>
        <w:ind w:left="439"/>
        <w:rPr>
          <w:rFonts w:ascii="宋体" w:hAnsi="宋体" w:eastAsia="宋体" w:cs="宋体"/>
          <w:sz w:val="21"/>
          <w:szCs w:val="21"/>
        </w:rPr>
      </w:pPr>
      <w:r>
        <w:rPr>
          <w:rFonts w:ascii="宋体" w:hAnsi="宋体" w:eastAsia="宋体" w:cs="宋体"/>
          <w:spacing w:val="-4"/>
          <w:position w:val="11"/>
          <w:sz w:val="21"/>
          <w:szCs w:val="21"/>
        </w:rPr>
        <w:t>⑦清点盘库时查出属于账外的。</w:t>
      </w:r>
    </w:p>
    <w:p w14:paraId="7AF671D8">
      <w:pPr>
        <w:spacing w:line="222" w:lineRule="auto"/>
        <w:ind w:left="439"/>
        <w:rPr>
          <w:rFonts w:ascii="宋体" w:hAnsi="宋体" w:eastAsia="宋体" w:cs="宋体"/>
          <w:sz w:val="21"/>
          <w:szCs w:val="21"/>
        </w:rPr>
      </w:pPr>
      <w:r>
        <w:rPr>
          <w:rFonts w:ascii="宋体" w:hAnsi="宋体" w:eastAsia="宋体" w:cs="宋体"/>
          <w:spacing w:val="-12"/>
          <w:sz w:val="21"/>
          <w:szCs w:val="21"/>
        </w:rPr>
        <w:t>不包括：</w:t>
      </w:r>
    </w:p>
    <w:p w14:paraId="3E84D280">
      <w:pPr>
        <w:spacing w:before="102" w:line="217" w:lineRule="auto"/>
        <w:ind w:left="439"/>
        <w:rPr>
          <w:rFonts w:ascii="宋体" w:hAnsi="宋体" w:eastAsia="宋体" w:cs="宋体"/>
          <w:sz w:val="21"/>
          <w:szCs w:val="21"/>
        </w:rPr>
      </w:pPr>
      <w:r>
        <w:rPr>
          <w:rFonts w:ascii="宋体" w:hAnsi="宋体" w:eastAsia="宋体" w:cs="宋体"/>
          <w:spacing w:val="-5"/>
          <w:sz w:val="21"/>
          <w:szCs w:val="21"/>
        </w:rPr>
        <w:t>①已拨交外单位委托加工的；</w:t>
      </w:r>
    </w:p>
    <w:p w14:paraId="03EF79D7">
      <w:pPr>
        <w:spacing w:before="123" w:line="216" w:lineRule="auto"/>
        <w:ind w:left="439"/>
        <w:rPr>
          <w:rFonts w:ascii="宋体" w:hAnsi="宋体" w:eastAsia="宋体" w:cs="宋体"/>
          <w:sz w:val="21"/>
          <w:szCs w:val="21"/>
        </w:rPr>
      </w:pPr>
      <w:r>
        <w:rPr>
          <w:rFonts w:ascii="宋体" w:hAnsi="宋体" w:eastAsia="宋体" w:cs="宋体"/>
          <w:spacing w:val="11"/>
          <w:sz w:val="21"/>
          <w:szCs w:val="21"/>
        </w:rPr>
        <w:t>②已外调(借出、捐赠等),已经办理出库手续的；</w:t>
      </w:r>
    </w:p>
    <w:p w14:paraId="07F8DB04">
      <w:pPr>
        <w:spacing w:before="114" w:line="360" w:lineRule="exact"/>
        <w:ind w:left="439"/>
        <w:rPr>
          <w:rFonts w:ascii="宋体" w:hAnsi="宋体" w:eastAsia="宋体" w:cs="宋体"/>
          <w:sz w:val="21"/>
          <w:szCs w:val="21"/>
        </w:rPr>
      </w:pPr>
      <w:r>
        <w:rPr>
          <w:rFonts w:ascii="宋体" w:hAnsi="宋体" w:eastAsia="宋体" w:cs="宋体"/>
          <w:spacing w:val="-4"/>
          <w:position w:val="11"/>
          <w:sz w:val="21"/>
          <w:szCs w:val="21"/>
        </w:rPr>
        <w:t>③供货单位错发到本单位的；</w:t>
      </w:r>
    </w:p>
    <w:p w14:paraId="7B7B558B">
      <w:pPr>
        <w:spacing w:line="217" w:lineRule="auto"/>
        <w:ind w:left="439"/>
        <w:rPr>
          <w:rFonts w:ascii="宋体" w:hAnsi="宋体" w:eastAsia="宋体" w:cs="宋体"/>
          <w:sz w:val="21"/>
          <w:szCs w:val="21"/>
        </w:rPr>
      </w:pPr>
      <w:r>
        <w:rPr>
          <w:rFonts w:ascii="宋体" w:hAnsi="宋体" w:eastAsia="宋体" w:cs="宋体"/>
          <w:spacing w:val="-9"/>
          <w:sz w:val="21"/>
          <w:szCs w:val="21"/>
        </w:rPr>
        <w:t>④代外单位保管的；</w:t>
      </w:r>
    </w:p>
    <w:p w14:paraId="3304F18B">
      <w:pPr>
        <w:spacing w:before="114" w:line="217" w:lineRule="auto"/>
        <w:ind w:left="439"/>
        <w:rPr>
          <w:rFonts w:ascii="宋体" w:hAnsi="宋体" w:eastAsia="宋体" w:cs="宋体"/>
          <w:sz w:val="21"/>
          <w:szCs w:val="21"/>
        </w:rPr>
      </w:pPr>
      <w:r>
        <w:rPr>
          <w:rFonts w:ascii="宋体" w:hAnsi="宋体" w:eastAsia="宋体" w:cs="宋体"/>
          <w:spacing w:val="-4"/>
          <w:sz w:val="21"/>
          <w:szCs w:val="21"/>
        </w:rPr>
        <w:t>⑤已查实确属损失或丢失的；</w:t>
      </w:r>
    </w:p>
    <w:p w14:paraId="2878C29F">
      <w:pPr>
        <w:spacing w:before="113" w:line="217" w:lineRule="auto"/>
        <w:ind w:left="439"/>
        <w:rPr>
          <w:rFonts w:ascii="宋体" w:hAnsi="宋体" w:eastAsia="宋体" w:cs="宋体"/>
          <w:sz w:val="21"/>
          <w:szCs w:val="21"/>
        </w:rPr>
      </w:pPr>
      <w:r>
        <w:rPr>
          <w:rFonts w:ascii="宋体" w:hAnsi="宋体" w:eastAsia="宋体" w:cs="宋体"/>
          <w:spacing w:val="-4"/>
          <w:sz w:val="21"/>
          <w:szCs w:val="21"/>
        </w:rPr>
        <w:t>⑥已付货款，但还在运输途中的；</w:t>
      </w:r>
    </w:p>
    <w:p w14:paraId="411A3F7F">
      <w:pPr>
        <w:spacing w:before="123" w:line="350" w:lineRule="exact"/>
        <w:ind w:left="439"/>
        <w:rPr>
          <w:rFonts w:ascii="宋体" w:hAnsi="宋体" w:eastAsia="宋体" w:cs="宋体"/>
          <w:sz w:val="21"/>
          <w:szCs w:val="21"/>
        </w:rPr>
      </w:pPr>
      <w:r>
        <w:rPr>
          <w:rFonts w:ascii="宋体" w:hAnsi="宋体" w:eastAsia="宋体" w:cs="宋体"/>
          <w:spacing w:val="-3"/>
          <w:position w:val="10"/>
          <w:sz w:val="21"/>
          <w:szCs w:val="21"/>
        </w:rPr>
        <w:t>⑦已运到本单位，但尚未办理或尚未办完验收入库手续的；</w:t>
      </w:r>
    </w:p>
    <w:p w14:paraId="3676F0DE">
      <w:pPr>
        <w:spacing w:line="217" w:lineRule="auto"/>
        <w:ind w:left="439"/>
        <w:rPr>
          <w:rFonts w:ascii="宋体" w:hAnsi="宋体" w:eastAsia="宋体" w:cs="宋体"/>
          <w:sz w:val="21"/>
          <w:szCs w:val="21"/>
        </w:rPr>
      </w:pPr>
      <w:r>
        <w:rPr>
          <w:rFonts w:ascii="宋体" w:hAnsi="宋体" w:eastAsia="宋体" w:cs="宋体"/>
          <w:spacing w:val="-4"/>
          <w:sz w:val="21"/>
          <w:szCs w:val="21"/>
        </w:rPr>
        <w:t>⑧能源生产企业的产成品库存。</w:t>
      </w:r>
    </w:p>
    <w:p w14:paraId="1BD36CE9">
      <w:pPr>
        <w:spacing w:before="102" w:line="265" w:lineRule="auto"/>
        <w:ind w:left="578" w:right="467" w:hanging="136"/>
        <w:rPr>
          <w:rFonts w:ascii="宋体" w:hAnsi="宋体" w:eastAsia="宋体" w:cs="宋体"/>
          <w:sz w:val="21"/>
          <w:szCs w:val="21"/>
        </w:rPr>
      </w:pPr>
      <w:r>
        <w:rPr>
          <w:rFonts w:ascii="黑体" w:hAnsi="黑体" w:eastAsia="黑体" w:cs="黑体"/>
          <w:b/>
          <w:bCs/>
          <w:spacing w:val="3"/>
          <w:sz w:val="21"/>
          <w:szCs w:val="21"/>
        </w:rPr>
        <w:t>★能源购进量</w:t>
      </w:r>
      <w:r>
        <w:rPr>
          <w:rFonts w:ascii="黑体" w:hAnsi="黑体" w:eastAsia="黑体" w:cs="黑体"/>
          <w:spacing w:val="4"/>
          <w:sz w:val="21"/>
          <w:szCs w:val="21"/>
        </w:rPr>
        <w:t xml:space="preserve">  </w:t>
      </w:r>
      <w:r>
        <w:rPr>
          <w:rFonts w:ascii="宋体" w:hAnsi="宋体" w:eastAsia="宋体" w:cs="宋体"/>
          <w:spacing w:val="3"/>
          <w:sz w:val="21"/>
          <w:szCs w:val="21"/>
        </w:rPr>
        <w:t>指能源使用企业(单位)在报告期购进的各种能源数量。购进量的核算原则：</w:t>
      </w:r>
      <w:r>
        <w:rPr>
          <w:rFonts w:ascii="宋体" w:hAnsi="宋体" w:eastAsia="宋体" w:cs="宋体"/>
          <w:sz w:val="21"/>
          <w:szCs w:val="21"/>
        </w:rPr>
        <w:t xml:space="preserve"> </w:t>
      </w:r>
      <w:r>
        <w:rPr>
          <w:rFonts w:ascii="宋体" w:hAnsi="宋体" w:eastAsia="宋体" w:cs="宋体"/>
          <w:spacing w:val="1"/>
          <w:sz w:val="21"/>
          <w:szCs w:val="21"/>
        </w:rPr>
        <w:t>(1)计算购进量的能源必须具备以下三个条件：</w:t>
      </w:r>
    </w:p>
    <w:p w14:paraId="02016F6E">
      <w:pPr>
        <w:pStyle w:val="2"/>
        <w:spacing w:line="264" w:lineRule="auto"/>
      </w:pPr>
    </w:p>
    <w:p w14:paraId="51FE2408">
      <w:pPr>
        <w:pStyle w:val="2"/>
        <w:spacing w:line="265" w:lineRule="auto"/>
      </w:pPr>
    </w:p>
    <w:p w14:paraId="02E965A5">
      <w:pPr>
        <w:spacing w:before="69" w:line="219" w:lineRule="auto"/>
        <w:ind w:left="39"/>
        <w:rPr>
          <w:rFonts w:ascii="宋体" w:hAnsi="宋体" w:eastAsia="宋体" w:cs="宋体"/>
          <w:sz w:val="21"/>
          <w:szCs w:val="21"/>
        </w:rPr>
      </w:pPr>
      <w:r>
        <w:rPr>
          <w:rFonts w:ascii="宋体" w:hAnsi="宋体" w:eastAsia="宋体" w:cs="宋体"/>
          <w:spacing w:val="-23"/>
          <w:sz w:val="21"/>
          <w:szCs w:val="21"/>
        </w:rPr>
        <w:t>1 注：标★的为“能源购进、消费与库存”</w:t>
      </w:r>
      <w:r>
        <w:rPr>
          <w:rFonts w:ascii="宋体" w:hAnsi="宋体" w:eastAsia="宋体" w:cs="宋体"/>
          <w:spacing w:val="-32"/>
          <w:sz w:val="21"/>
          <w:szCs w:val="21"/>
        </w:rPr>
        <w:t xml:space="preserve"> </w:t>
      </w:r>
      <w:r>
        <w:rPr>
          <w:rFonts w:ascii="宋体" w:hAnsi="宋体" w:eastAsia="宋体" w:cs="宋体"/>
          <w:spacing w:val="-23"/>
          <w:sz w:val="21"/>
          <w:szCs w:val="21"/>
        </w:rPr>
        <w:t>(</w:t>
      </w:r>
      <w:r>
        <w:rPr>
          <w:rFonts w:ascii="宋体" w:hAnsi="宋体" w:eastAsia="宋体" w:cs="宋体"/>
          <w:spacing w:val="-24"/>
          <w:sz w:val="21"/>
          <w:szCs w:val="21"/>
        </w:rPr>
        <w:t>205-1表)中包含的指标。</w:t>
      </w:r>
    </w:p>
    <w:p w14:paraId="1AE7603D">
      <w:pPr>
        <w:spacing w:line="219" w:lineRule="auto"/>
        <w:rPr>
          <w:rFonts w:ascii="宋体" w:hAnsi="宋体" w:eastAsia="宋体" w:cs="宋体"/>
          <w:sz w:val="21"/>
          <w:szCs w:val="21"/>
        </w:rPr>
        <w:sectPr>
          <w:headerReference r:id="rId66" w:type="default"/>
          <w:pgSz w:w="11910" w:h="16840"/>
          <w:pgMar w:top="1109" w:right="1247" w:bottom="400" w:left="1210" w:header="838" w:footer="0" w:gutter="0"/>
          <w:cols w:space="720" w:num="1"/>
        </w:sectPr>
      </w:pPr>
    </w:p>
    <w:p w14:paraId="4B359C53">
      <w:pPr>
        <w:pStyle w:val="2"/>
        <w:spacing w:line="297" w:lineRule="auto"/>
      </w:pPr>
    </w:p>
    <w:p w14:paraId="7A43D1A7">
      <w:pPr>
        <w:spacing w:before="68" w:line="361" w:lineRule="exact"/>
        <w:ind w:left="440"/>
        <w:rPr>
          <w:rFonts w:ascii="宋体" w:hAnsi="宋体" w:eastAsia="宋体" w:cs="宋体"/>
          <w:sz w:val="21"/>
          <w:szCs w:val="21"/>
        </w:rPr>
      </w:pPr>
      <w:r>
        <w:rPr>
          <w:rFonts w:ascii="宋体" w:hAnsi="宋体" w:eastAsia="宋体" w:cs="宋体"/>
          <w:spacing w:val="-6"/>
          <w:position w:val="11"/>
          <w:sz w:val="21"/>
          <w:szCs w:val="21"/>
        </w:rPr>
        <w:t>一是已实际到达本单位；</w:t>
      </w:r>
    </w:p>
    <w:p w14:paraId="5B853AC7">
      <w:pPr>
        <w:spacing w:line="219" w:lineRule="auto"/>
        <w:ind w:left="440"/>
        <w:rPr>
          <w:rFonts w:ascii="宋体" w:hAnsi="宋体" w:eastAsia="宋体" w:cs="宋体"/>
          <w:sz w:val="21"/>
          <w:szCs w:val="21"/>
        </w:rPr>
      </w:pPr>
      <w:r>
        <w:rPr>
          <w:rFonts w:ascii="宋体" w:hAnsi="宋体" w:eastAsia="宋体" w:cs="宋体"/>
          <w:spacing w:val="-6"/>
          <w:sz w:val="21"/>
          <w:szCs w:val="21"/>
        </w:rPr>
        <w:t>二是经过验收、检验；</w:t>
      </w:r>
    </w:p>
    <w:p w14:paraId="6EF078A8">
      <w:pPr>
        <w:spacing w:before="120" w:line="268" w:lineRule="auto"/>
        <w:ind w:right="29" w:firstLine="440"/>
        <w:rPr>
          <w:rFonts w:ascii="宋体" w:hAnsi="宋体" w:eastAsia="宋体" w:cs="宋体"/>
          <w:sz w:val="21"/>
          <w:szCs w:val="21"/>
        </w:rPr>
      </w:pPr>
      <w:r>
        <w:rPr>
          <w:rFonts w:ascii="宋体" w:hAnsi="宋体" w:eastAsia="宋体" w:cs="宋体"/>
          <w:spacing w:val="-5"/>
          <w:sz w:val="21"/>
          <w:szCs w:val="21"/>
        </w:rPr>
        <w:t>三是办理完入库手续。但是，在未办理完入库手续前已经投入使用，要计算在购进量中；使用多少，</w:t>
      </w:r>
      <w:r>
        <w:rPr>
          <w:rFonts w:ascii="宋体" w:hAnsi="宋体" w:eastAsia="宋体" w:cs="宋体"/>
          <w:spacing w:val="3"/>
          <w:sz w:val="21"/>
          <w:szCs w:val="21"/>
        </w:rPr>
        <w:t xml:space="preserve"> </w:t>
      </w:r>
      <w:r>
        <w:rPr>
          <w:rFonts w:ascii="宋体" w:hAnsi="宋体" w:eastAsia="宋体" w:cs="宋体"/>
          <w:spacing w:val="-12"/>
          <w:sz w:val="21"/>
          <w:szCs w:val="21"/>
        </w:rPr>
        <w:t>计算多少。</w:t>
      </w:r>
    </w:p>
    <w:p w14:paraId="3B34663C">
      <w:pPr>
        <w:spacing w:before="101" w:line="220" w:lineRule="auto"/>
        <w:ind w:left="550"/>
        <w:rPr>
          <w:rFonts w:ascii="宋体" w:hAnsi="宋体" w:eastAsia="宋体" w:cs="宋体"/>
          <w:sz w:val="21"/>
          <w:szCs w:val="21"/>
        </w:rPr>
      </w:pPr>
      <w:r>
        <w:rPr>
          <w:rFonts w:ascii="宋体" w:hAnsi="宋体" w:eastAsia="宋体" w:cs="宋体"/>
          <w:spacing w:val="-10"/>
          <w:sz w:val="21"/>
          <w:szCs w:val="21"/>
        </w:rPr>
        <w:t>(2)  “谁购进，谁统计”。</w:t>
      </w:r>
    </w:p>
    <w:p w14:paraId="3F1833A7">
      <w:pPr>
        <w:spacing w:before="97" w:line="218" w:lineRule="auto"/>
        <w:ind w:left="440"/>
        <w:rPr>
          <w:rFonts w:ascii="宋体" w:hAnsi="宋体" w:eastAsia="宋体" w:cs="宋体"/>
          <w:sz w:val="21"/>
          <w:szCs w:val="21"/>
        </w:rPr>
      </w:pPr>
      <w:r>
        <w:rPr>
          <w:rFonts w:ascii="宋体" w:hAnsi="宋体" w:eastAsia="宋体" w:cs="宋体"/>
          <w:spacing w:val="-1"/>
          <w:sz w:val="21"/>
          <w:szCs w:val="21"/>
        </w:rPr>
        <w:t>凡属本单位实际购进的，符合上述原则，不论从</w:t>
      </w:r>
      <w:r>
        <w:rPr>
          <w:rFonts w:ascii="宋体" w:hAnsi="宋体" w:eastAsia="宋体" w:cs="宋体"/>
          <w:spacing w:val="-2"/>
          <w:sz w:val="21"/>
          <w:szCs w:val="21"/>
        </w:rPr>
        <w:t>何处购进，均应计算在内，包括作价的加工来料。</w:t>
      </w:r>
    </w:p>
    <w:p w14:paraId="4A620CEA">
      <w:pPr>
        <w:spacing w:before="111" w:line="269" w:lineRule="auto"/>
        <w:ind w:right="95" w:firstLine="440"/>
        <w:rPr>
          <w:rFonts w:ascii="宋体" w:hAnsi="宋体" w:eastAsia="宋体" w:cs="宋体"/>
          <w:sz w:val="21"/>
          <w:szCs w:val="21"/>
        </w:rPr>
      </w:pPr>
      <w:r>
        <w:rPr>
          <w:rFonts w:ascii="宋体" w:hAnsi="宋体" w:eastAsia="宋体" w:cs="宋体"/>
          <w:spacing w:val="-2"/>
          <w:sz w:val="21"/>
          <w:szCs w:val="21"/>
        </w:rPr>
        <w:t>凡属本报告期实际购进的，办理完入库手续，即计算购进量；什么时间办理入库手续，什么时间计</w:t>
      </w:r>
      <w:r>
        <w:rPr>
          <w:rFonts w:ascii="宋体" w:hAnsi="宋体" w:eastAsia="宋体" w:cs="宋体"/>
          <w:spacing w:val="13"/>
          <w:sz w:val="21"/>
          <w:szCs w:val="21"/>
        </w:rPr>
        <w:t xml:space="preserve"> </w:t>
      </w:r>
      <w:r>
        <w:rPr>
          <w:rFonts w:ascii="宋体" w:hAnsi="宋体" w:eastAsia="宋体" w:cs="宋体"/>
          <w:spacing w:val="-7"/>
          <w:sz w:val="21"/>
          <w:szCs w:val="21"/>
        </w:rPr>
        <w:t>算购进量。</w:t>
      </w:r>
    </w:p>
    <w:p w14:paraId="0DEE0C13">
      <w:pPr>
        <w:spacing w:before="131" w:line="219" w:lineRule="auto"/>
        <w:ind w:left="440"/>
        <w:rPr>
          <w:rFonts w:ascii="宋体" w:hAnsi="宋体" w:eastAsia="宋体" w:cs="宋体"/>
          <w:sz w:val="21"/>
          <w:szCs w:val="21"/>
        </w:rPr>
      </w:pPr>
      <w:r>
        <w:rPr>
          <w:rFonts w:ascii="宋体" w:hAnsi="宋体" w:eastAsia="宋体" w:cs="宋体"/>
          <w:spacing w:val="-3"/>
          <w:sz w:val="21"/>
          <w:szCs w:val="21"/>
        </w:rPr>
        <w:t>根据以上原则，下述情况不能计算在购进量内：</w:t>
      </w:r>
    </w:p>
    <w:p w14:paraId="63D96F6A">
      <w:pPr>
        <w:spacing w:before="109" w:line="360" w:lineRule="exact"/>
        <w:ind w:left="550"/>
        <w:rPr>
          <w:rFonts w:ascii="宋体" w:hAnsi="宋体" w:eastAsia="宋体" w:cs="宋体"/>
          <w:sz w:val="21"/>
          <w:szCs w:val="21"/>
        </w:rPr>
      </w:pPr>
      <w:r>
        <w:rPr>
          <w:rFonts w:ascii="宋体" w:hAnsi="宋体" w:eastAsia="宋体" w:cs="宋体"/>
          <w:spacing w:val="1"/>
          <w:position w:val="11"/>
          <w:sz w:val="21"/>
          <w:szCs w:val="21"/>
        </w:rPr>
        <w:t>(1)供货单位已发货，但尚未运到本单位，即使已经付款；</w:t>
      </w:r>
    </w:p>
    <w:p w14:paraId="223FF3A2">
      <w:pPr>
        <w:spacing w:before="1" w:line="218" w:lineRule="auto"/>
        <w:ind w:left="550"/>
        <w:rPr>
          <w:rFonts w:ascii="宋体" w:hAnsi="宋体" w:eastAsia="宋体" w:cs="宋体"/>
          <w:sz w:val="21"/>
          <w:szCs w:val="21"/>
        </w:rPr>
      </w:pPr>
      <w:r>
        <w:rPr>
          <w:rFonts w:ascii="宋体" w:hAnsi="宋体" w:eastAsia="宋体" w:cs="宋体"/>
          <w:spacing w:val="1"/>
          <w:sz w:val="21"/>
          <w:szCs w:val="21"/>
        </w:rPr>
        <w:t>(2)货已运到本单位，但尚未办理验收、入库手续；</w:t>
      </w:r>
    </w:p>
    <w:p w14:paraId="6DD8A1FB">
      <w:pPr>
        <w:spacing w:before="112" w:line="219" w:lineRule="auto"/>
        <w:ind w:left="550"/>
        <w:rPr>
          <w:rFonts w:ascii="宋体" w:hAnsi="宋体" w:eastAsia="宋体" w:cs="宋体"/>
          <w:sz w:val="21"/>
          <w:szCs w:val="21"/>
        </w:rPr>
      </w:pPr>
      <w:r>
        <w:rPr>
          <w:rFonts w:ascii="宋体" w:hAnsi="宋体" w:eastAsia="宋体" w:cs="宋体"/>
          <w:spacing w:val="10"/>
          <w:sz w:val="21"/>
          <w:szCs w:val="21"/>
        </w:rPr>
        <w:t>(3)经验收发现的亏吨(按验收后的实际数量计算购进量);</w:t>
      </w:r>
    </w:p>
    <w:p w14:paraId="540BB207">
      <w:pPr>
        <w:spacing w:before="109" w:line="218" w:lineRule="auto"/>
        <w:ind w:left="550"/>
        <w:rPr>
          <w:rFonts w:ascii="宋体" w:hAnsi="宋体" w:eastAsia="宋体" w:cs="宋体"/>
          <w:sz w:val="21"/>
          <w:szCs w:val="21"/>
        </w:rPr>
      </w:pPr>
      <w:r>
        <w:rPr>
          <w:rFonts w:ascii="宋体" w:hAnsi="宋体" w:eastAsia="宋体" w:cs="宋体"/>
          <w:spacing w:val="6"/>
          <w:sz w:val="21"/>
          <w:szCs w:val="21"/>
        </w:rPr>
        <w:t>(4)借入的，自产自用的，车间、工地上年领用今年退回的，以及加工来料(作价的除外)。</w:t>
      </w:r>
    </w:p>
    <w:p w14:paraId="7B0E1AD9">
      <w:pPr>
        <w:spacing w:before="114" w:line="268" w:lineRule="auto"/>
        <w:ind w:right="96" w:firstLine="440"/>
        <w:rPr>
          <w:rFonts w:ascii="宋体" w:hAnsi="宋体" w:eastAsia="宋体" w:cs="宋体"/>
          <w:sz w:val="21"/>
          <w:szCs w:val="21"/>
        </w:rPr>
      </w:pPr>
      <w:r>
        <w:rPr>
          <w:rFonts w:ascii="宋体" w:hAnsi="宋体" w:eastAsia="宋体" w:cs="宋体"/>
          <w:spacing w:val="-2"/>
          <w:sz w:val="21"/>
          <w:szCs w:val="21"/>
        </w:rPr>
        <w:t>能源购进量按照实物量填报。各种能源的能源购进实物量分别按照报表规定的、体现物质形态属性</w:t>
      </w:r>
      <w:r>
        <w:rPr>
          <w:rFonts w:ascii="宋体" w:hAnsi="宋体" w:eastAsia="宋体" w:cs="宋体"/>
          <w:spacing w:val="13"/>
          <w:sz w:val="21"/>
          <w:szCs w:val="21"/>
        </w:rPr>
        <w:t xml:space="preserve"> </w:t>
      </w:r>
      <w:r>
        <w:rPr>
          <w:rFonts w:ascii="宋体" w:hAnsi="宋体" w:eastAsia="宋体" w:cs="宋体"/>
          <w:spacing w:val="6"/>
          <w:sz w:val="21"/>
          <w:szCs w:val="21"/>
        </w:rPr>
        <w:t>的计量单位(如：吨、立方米)计算的能源购进量。</w:t>
      </w:r>
    </w:p>
    <w:p w14:paraId="70BB9E0A">
      <w:pPr>
        <w:spacing w:before="106" w:line="264" w:lineRule="auto"/>
        <w:ind w:left="440" w:firstLine="2"/>
        <w:rPr>
          <w:rFonts w:ascii="宋体" w:hAnsi="宋体" w:eastAsia="宋体" w:cs="宋体"/>
          <w:sz w:val="21"/>
          <w:szCs w:val="21"/>
        </w:rPr>
      </w:pPr>
      <w:r>
        <w:rPr>
          <w:rFonts w:ascii="黑体" w:hAnsi="黑体" w:eastAsia="黑体" w:cs="黑体"/>
          <w:b/>
          <w:bCs/>
          <w:spacing w:val="5"/>
          <w:sz w:val="21"/>
          <w:szCs w:val="21"/>
        </w:rPr>
        <w:t>★购自省外</w:t>
      </w:r>
      <w:r>
        <w:rPr>
          <w:rFonts w:ascii="黑体" w:hAnsi="黑体" w:eastAsia="黑体" w:cs="黑体"/>
          <w:spacing w:val="2"/>
          <w:sz w:val="21"/>
          <w:szCs w:val="21"/>
        </w:rPr>
        <w:t xml:space="preserve">  </w:t>
      </w:r>
      <w:r>
        <w:rPr>
          <w:rFonts w:ascii="宋体" w:hAnsi="宋体" w:eastAsia="宋体" w:cs="宋体"/>
          <w:spacing w:val="5"/>
          <w:sz w:val="21"/>
          <w:szCs w:val="21"/>
        </w:rPr>
        <w:t>指企业在报告期内从本省(自治区、直辖市)以外(包括进口)购进的能源产品数量。</w:t>
      </w:r>
      <w:r>
        <w:rPr>
          <w:rFonts w:ascii="宋体" w:hAnsi="宋体" w:eastAsia="宋体" w:cs="宋体"/>
          <w:sz w:val="21"/>
          <w:szCs w:val="21"/>
        </w:rPr>
        <w:t xml:space="preserve"> </w:t>
      </w:r>
      <w:r>
        <w:rPr>
          <w:rFonts w:ascii="黑体" w:hAnsi="黑体" w:eastAsia="黑体" w:cs="黑体"/>
          <w:sz w:val="21"/>
          <w:szCs w:val="21"/>
        </w:rPr>
        <w:t>★</w:t>
      </w:r>
      <w:r>
        <w:rPr>
          <w:rFonts w:ascii="黑体" w:hAnsi="黑体" w:eastAsia="黑体" w:cs="黑体"/>
          <w:b/>
          <w:bCs/>
          <w:sz w:val="21"/>
          <w:szCs w:val="21"/>
        </w:rPr>
        <w:t>能源购进金额</w:t>
      </w:r>
      <w:r>
        <w:rPr>
          <w:rFonts w:ascii="黑体" w:hAnsi="黑体" w:eastAsia="黑体" w:cs="黑体"/>
          <w:sz w:val="21"/>
          <w:szCs w:val="21"/>
        </w:rPr>
        <w:t xml:space="preserve">  </w:t>
      </w:r>
      <w:r>
        <w:rPr>
          <w:rFonts w:ascii="宋体" w:hAnsi="宋体" w:eastAsia="宋体" w:cs="宋体"/>
          <w:sz w:val="21"/>
          <w:szCs w:val="21"/>
        </w:rPr>
        <w:t>指各种能源按照购进价格计算的能源</w:t>
      </w:r>
      <w:r>
        <w:rPr>
          <w:rFonts w:ascii="宋体" w:hAnsi="宋体" w:eastAsia="宋体" w:cs="宋体"/>
          <w:spacing w:val="-1"/>
          <w:sz w:val="21"/>
          <w:szCs w:val="21"/>
        </w:rPr>
        <w:t>购进量，以价值量(金额)表示，含增值税。</w:t>
      </w:r>
    </w:p>
    <w:p w14:paraId="2432B7F7">
      <w:pPr>
        <w:spacing w:before="114" w:line="219" w:lineRule="auto"/>
        <w:rPr>
          <w:rFonts w:ascii="宋体" w:hAnsi="宋体" w:eastAsia="宋体" w:cs="宋体"/>
          <w:sz w:val="21"/>
          <w:szCs w:val="21"/>
        </w:rPr>
      </w:pPr>
      <w:r>
        <w:rPr>
          <w:rFonts w:ascii="宋体" w:hAnsi="宋体" w:eastAsia="宋体" w:cs="宋体"/>
          <w:spacing w:val="-5"/>
          <w:sz w:val="21"/>
          <w:szCs w:val="21"/>
        </w:rPr>
        <w:t>计算能源购进金额时要注意：</w:t>
      </w:r>
    </w:p>
    <w:p w14:paraId="7408402C">
      <w:pPr>
        <w:spacing w:before="119" w:line="218" w:lineRule="auto"/>
        <w:ind w:left="550"/>
        <w:rPr>
          <w:rFonts w:ascii="宋体" w:hAnsi="宋体" w:eastAsia="宋体" w:cs="宋体"/>
          <w:sz w:val="21"/>
          <w:szCs w:val="21"/>
        </w:rPr>
      </w:pPr>
      <w:r>
        <w:rPr>
          <w:rFonts w:ascii="宋体" w:hAnsi="宋体" w:eastAsia="宋体" w:cs="宋体"/>
          <w:spacing w:val="1"/>
          <w:sz w:val="21"/>
          <w:szCs w:val="21"/>
        </w:rPr>
        <w:t>(1)价值量指标要与实物量指标相一致，即计算实物量的，亦计</w:t>
      </w:r>
      <w:r>
        <w:rPr>
          <w:rFonts w:ascii="宋体" w:hAnsi="宋体" w:eastAsia="宋体" w:cs="宋体"/>
          <w:sz w:val="21"/>
          <w:szCs w:val="21"/>
        </w:rPr>
        <w:t>算价值量，反之亦然；</w:t>
      </w:r>
    </w:p>
    <w:p w14:paraId="155ECE7F">
      <w:pPr>
        <w:spacing w:before="92" w:line="219" w:lineRule="auto"/>
        <w:ind w:left="550"/>
        <w:rPr>
          <w:rFonts w:ascii="宋体" w:hAnsi="宋体" w:eastAsia="宋体" w:cs="宋体"/>
          <w:sz w:val="21"/>
          <w:szCs w:val="21"/>
        </w:rPr>
      </w:pPr>
      <w:r>
        <w:rPr>
          <w:rFonts w:ascii="宋体" w:hAnsi="宋体" w:eastAsia="宋体" w:cs="宋体"/>
          <w:spacing w:val="3"/>
          <w:sz w:val="21"/>
          <w:szCs w:val="21"/>
        </w:rPr>
        <w:t>(2)已验收入库尚未结算，购货发票未到，购进量以实际验收数量计算，购进金额以货物的上期</w:t>
      </w:r>
    </w:p>
    <w:p w14:paraId="7BF83247">
      <w:pPr>
        <w:spacing w:before="131" w:line="218" w:lineRule="auto"/>
        <w:rPr>
          <w:rFonts w:ascii="宋体" w:hAnsi="宋体" w:eastAsia="宋体" w:cs="宋体"/>
          <w:sz w:val="21"/>
          <w:szCs w:val="21"/>
        </w:rPr>
      </w:pPr>
      <w:r>
        <w:rPr>
          <w:rFonts w:ascii="宋体" w:hAnsi="宋体" w:eastAsia="宋体" w:cs="宋体"/>
          <w:spacing w:val="-2"/>
          <w:sz w:val="21"/>
          <w:szCs w:val="21"/>
        </w:rPr>
        <w:t>平均价或合同价格乘购进量计算，待结算后再作调整。</w:t>
      </w:r>
    </w:p>
    <w:p w14:paraId="1D4A7951">
      <w:pPr>
        <w:spacing w:before="114" w:line="219" w:lineRule="auto"/>
        <w:ind w:left="550"/>
        <w:rPr>
          <w:rFonts w:ascii="宋体" w:hAnsi="宋体" w:eastAsia="宋体" w:cs="宋体"/>
          <w:sz w:val="21"/>
          <w:szCs w:val="21"/>
        </w:rPr>
      </w:pPr>
      <w:r>
        <w:rPr>
          <w:rFonts w:ascii="宋体" w:hAnsi="宋体" w:eastAsia="宋体" w:cs="宋体"/>
          <w:spacing w:val="2"/>
          <w:sz w:val="21"/>
          <w:szCs w:val="21"/>
        </w:rPr>
        <w:t>(3)能源购进金额不包括运输、装卸费用。</w:t>
      </w:r>
    </w:p>
    <w:p w14:paraId="23CDF2A0">
      <w:pPr>
        <w:spacing w:before="97" w:line="285" w:lineRule="auto"/>
        <w:ind w:right="53" w:firstLine="442"/>
        <w:jc w:val="both"/>
        <w:rPr>
          <w:rFonts w:ascii="宋体" w:hAnsi="宋体" w:eastAsia="宋体" w:cs="宋体"/>
          <w:sz w:val="21"/>
          <w:szCs w:val="21"/>
        </w:rPr>
      </w:pPr>
      <w:r>
        <w:rPr>
          <w:rFonts w:ascii="黑体" w:hAnsi="黑体" w:eastAsia="黑体" w:cs="黑体"/>
          <w:b/>
          <w:bCs/>
          <w:spacing w:val="3"/>
          <w:sz w:val="21"/>
          <w:szCs w:val="21"/>
        </w:rPr>
        <w:t>能源消费量</w:t>
      </w:r>
      <w:r>
        <w:rPr>
          <w:rFonts w:ascii="黑体" w:hAnsi="黑体" w:eastAsia="黑体" w:cs="黑体"/>
          <w:sz w:val="21"/>
          <w:szCs w:val="21"/>
        </w:rPr>
        <w:t xml:space="preserve">  </w:t>
      </w:r>
      <w:r>
        <w:rPr>
          <w:rFonts w:ascii="宋体" w:hAnsi="宋体" w:eastAsia="宋体" w:cs="宋体"/>
          <w:spacing w:val="3"/>
          <w:sz w:val="21"/>
          <w:szCs w:val="21"/>
        </w:rPr>
        <w:t>指能源使用企业(单位)在报告期内实际消费的各种能源的数量。能源消费量分实物</w:t>
      </w:r>
      <w:r>
        <w:rPr>
          <w:rFonts w:ascii="宋体" w:hAnsi="宋体" w:eastAsia="宋体" w:cs="宋体"/>
          <w:sz w:val="21"/>
          <w:szCs w:val="21"/>
        </w:rPr>
        <w:t xml:space="preserve"> 量和标准量两种。能源消费实物量是按照报表规定的、体现物质形态属性的计量单</w:t>
      </w:r>
      <w:r>
        <w:rPr>
          <w:rFonts w:ascii="宋体" w:hAnsi="宋体" w:eastAsia="宋体" w:cs="宋体"/>
          <w:spacing w:val="-1"/>
          <w:sz w:val="21"/>
          <w:szCs w:val="21"/>
        </w:rPr>
        <w:t>位(如：吨、立方米)</w:t>
      </w:r>
      <w:r>
        <w:rPr>
          <w:rFonts w:ascii="宋体" w:hAnsi="宋体" w:eastAsia="宋体" w:cs="宋体"/>
          <w:sz w:val="21"/>
          <w:szCs w:val="21"/>
        </w:rPr>
        <w:t xml:space="preserve"> </w:t>
      </w:r>
      <w:r>
        <w:rPr>
          <w:rFonts w:ascii="宋体" w:hAnsi="宋体" w:eastAsia="宋体" w:cs="宋体"/>
          <w:spacing w:val="4"/>
          <w:sz w:val="21"/>
          <w:szCs w:val="21"/>
        </w:rPr>
        <w:t>计算的能源消费量；能源消费标准量是按照能源标准计量单位(如：吨标</w:t>
      </w:r>
      <w:r>
        <w:rPr>
          <w:rFonts w:ascii="宋体" w:hAnsi="宋体" w:eastAsia="宋体" w:cs="宋体"/>
          <w:spacing w:val="3"/>
          <w:sz w:val="21"/>
          <w:szCs w:val="21"/>
        </w:rPr>
        <w:t>准煤)计算的能源消费量。</w:t>
      </w:r>
    </w:p>
    <w:p w14:paraId="5017162A">
      <w:pPr>
        <w:spacing w:before="122" w:line="220" w:lineRule="auto"/>
        <w:ind w:left="440"/>
        <w:rPr>
          <w:rFonts w:ascii="宋体" w:hAnsi="宋体" w:eastAsia="宋体" w:cs="宋体"/>
          <w:sz w:val="21"/>
          <w:szCs w:val="21"/>
        </w:rPr>
      </w:pPr>
      <w:r>
        <w:rPr>
          <w:rFonts w:ascii="宋体" w:hAnsi="宋体" w:eastAsia="宋体" w:cs="宋体"/>
          <w:spacing w:val="-6"/>
          <w:sz w:val="21"/>
          <w:szCs w:val="21"/>
        </w:rPr>
        <w:t>能源消费量的统计原则：</w:t>
      </w:r>
    </w:p>
    <w:p w14:paraId="1B4949D8">
      <w:pPr>
        <w:spacing w:before="109" w:line="219" w:lineRule="auto"/>
        <w:ind w:left="550"/>
        <w:rPr>
          <w:rFonts w:ascii="宋体" w:hAnsi="宋体" w:eastAsia="宋体" w:cs="宋体"/>
          <w:sz w:val="21"/>
          <w:szCs w:val="21"/>
        </w:rPr>
      </w:pPr>
      <w:r>
        <w:rPr>
          <w:rFonts w:ascii="宋体" w:hAnsi="宋体" w:eastAsia="宋体" w:cs="宋体"/>
          <w:spacing w:val="1"/>
          <w:sz w:val="21"/>
          <w:szCs w:val="21"/>
        </w:rPr>
        <w:t>(1)谁消费、谁统计。即不论其所有权的归属，由哪个单位消费，就由哪个单位统计其消费量。</w:t>
      </w:r>
    </w:p>
    <w:p w14:paraId="6029377D">
      <w:pPr>
        <w:spacing w:before="110" w:line="268" w:lineRule="auto"/>
        <w:ind w:right="75" w:firstLine="550"/>
        <w:rPr>
          <w:rFonts w:ascii="宋体" w:hAnsi="宋体" w:eastAsia="宋体" w:cs="宋体"/>
          <w:sz w:val="21"/>
          <w:szCs w:val="21"/>
        </w:rPr>
      </w:pPr>
      <w:r>
        <w:rPr>
          <w:rFonts w:ascii="宋体" w:hAnsi="宋体" w:eastAsia="宋体" w:cs="宋体"/>
          <w:spacing w:val="4"/>
          <w:sz w:val="21"/>
          <w:szCs w:val="21"/>
        </w:rPr>
        <w:t>(2)何时投入使用，何时计算消费量。企业的能源消</w:t>
      </w:r>
      <w:r>
        <w:rPr>
          <w:rFonts w:ascii="宋体" w:hAnsi="宋体" w:eastAsia="宋体" w:cs="宋体"/>
          <w:spacing w:val="3"/>
          <w:sz w:val="21"/>
          <w:szCs w:val="21"/>
        </w:rPr>
        <w:t>费，在时间、工艺界限上，以投入第一道生</w:t>
      </w:r>
      <w:r>
        <w:rPr>
          <w:rFonts w:ascii="宋体" w:hAnsi="宋体" w:eastAsia="宋体" w:cs="宋体"/>
          <w:sz w:val="21"/>
          <w:szCs w:val="21"/>
        </w:rPr>
        <w:t xml:space="preserve"> </w:t>
      </w:r>
      <w:r>
        <w:rPr>
          <w:rFonts w:ascii="宋体" w:hAnsi="宋体" w:eastAsia="宋体" w:cs="宋体"/>
          <w:spacing w:val="-1"/>
          <w:sz w:val="21"/>
          <w:szCs w:val="21"/>
        </w:rPr>
        <w:t>产工序为标志，即投入第一道生产工序即计算消费；何时投入第一道生产工序，何时计算消费量。</w:t>
      </w:r>
    </w:p>
    <w:p w14:paraId="652D48E4">
      <w:pPr>
        <w:spacing w:before="111" w:line="268" w:lineRule="auto"/>
        <w:ind w:firstLine="550"/>
        <w:rPr>
          <w:rFonts w:ascii="宋体" w:hAnsi="宋体" w:eastAsia="宋体" w:cs="宋体"/>
          <w:sz w:val="21"/>
          <w:szCs w:val="21"/>
        </w:rPr>
      </w:pPr>
      <w:r>
        <w:rPr>
          <w:rFonts w:ascii="宋体" w:hAnsi="宋体" w:eastAsia="宋体" w:cs="宋体"/>
          <w:spacing w:val="5"/>
          <w:sz w:val="21"/>
          <w:szCs w:val="21"/>
        </w:rPr>
        <w:t>(3)在计算企业(单位)的综合能源消费量时，不得重复计算，要扣除二次能源的产出量和余热、</w:t>
      </w:r>
      <w:r>
        <w:rPr>
          <w:rFonts w:ascii="宋体" w:hAnsi="宋体" w:eastAsia="宋体" w:cs="宋体"/>
          <w:spacing w:val="8"/>
          <w:sz w:val="21"/>
          <w:szCs w:val="21"/>
        </w:rPr>
        <w:t xml:space="preserve"> </w:t>
      </w:r>
      <w:r>
        <w:rPr>
          <w:rFonts w:ascii="宋体" w:hAnsi="宋体" w:eastAsia="宋体" w:cs="宋体"/>
          <w:spacing w:val="-4"/>
          <w:sz w:val="21"/>
          <w:szCs w:val="21"/>
        </w:rPr>
        <w:t>余能的回收利用量。</w:t>
      </w:r>
    </w:p>
    <w:p w14:paraId="6795C95B">
      <w:pPr>
        <w:spacing w:before="108" w:line="269" w:lineRule="auto"/>
        <w:ind w:right="84" w:firstLine="550"/>
        <w:rPr>
          <w:rFonts w:ascii="宋体" w:hAnsi="宋体" w:eastAsia="宋体" w:cs="宋体"/>
          <w:sz w:val="21"/>
          <w:szCs w:val="21"/>
        </w:rPr>
      </w:pPr>
      <w:r>
        <w:rPr>
          <w:rFonts w:ascii="宋体" w:hAnsi="宋体" w:eastAsia="宋体" w:cs="宋体"/>
          <w:spacing w:val="11"/>
          <w:sz w:val="21"/>
          <w:szCs w:val="21"/>
        </w:rPr>
        <w:t>(4)耗能工质(如水、氧气、压缩空气等),不论是外购的还是</w:t>
      </w:r>
      <w:r>
        <w:rPr>
          <w:rFonts w:ascii="宋体" w:hAnsi="宋体" w:eastAsia="宋体" w:cs="宋体"/>
          <w:spacing w:val="10"/>
          <w:sz w:val="21"/>
          <w:szCs w:val="21"/>
        </w:rPr>
        <w:t>自产自用的，均不统计在能源消</w:t>
      </w:r>
      <w:r>
        <w:rPr>
          <w:rFonts w:ascii="宋体" w:hAnsi="宋体" w:eastAsia="宋体" w:cs="宋体"/>
          <w:sz w:val="21"/>
          <w:szCs w:val="21"/>
        </w:rPr>
        <w:t xml:space="preserve"> </w:t>
      </w:r>
      <w:r>
        <w:rPr>
          <w:rFonts w:ascii="宋体" w:hAnsi="宋体" w:eastAsia="宋体" w:cs="宋体"/>
          <w:spacing w:val="5"/>
          <w:sz w:val="21"/>
          <w:szCs w:val="21"/>
        </w:rPr>
        <w:t>费量中(计算单位产品能耗时是否包括耗能</w:t>
      </w:r>
      <w:r>
        <w:rPr>
          <w:rFonts w:ascii="宋体" w:hAnsi="宋体" w:eastAsia="宋体" w:cs="宋体"/>
          <w:spacing w:val="4"/>
          <w:sz w:val="21"/>
          <w:szCs w:val="21"/>
        </w:rPr>
        <w:t>工质，视统计指标的具体规定而定)。</w:t>
      </w:r>
    </w:p>
    <w:p w14:paraId="1B6430ED">
      <w:pPr>
        <w:spacing w:before="111" w:line="292" w:lineRule="auto"/>
        <w:ind w:right="75" w:firstLine="550"/>
        <w:rPr>
          <w:rFonts w:ascii="宋体" w:hAnsi="宋体" w:eastAsia="宋体" w:cs="宋体"/>
          <w:sz w:val="21"/>
          <w:szCs w:val="21"/>
        </w:rPr>
      </w:pPr>
      <w:r>
        <w:rPr>
          <w:rFonts w:ascii="宋体" w:hAnsi="宋体" w:eastAsia="宋体" w:cs="宋体"/>
          <w:spacing w:val="4"/>
          <w:sz w:val="21"/>
          <w:szCs w:val="21"/>
        </w:rPr>
        <w:t>(5)企业自产的能源，作为企业生产另一种产品的原</w:t>
      </w:r>
      <w:r>
        <w:rPr>
          <w:rFonts w:ascii="宋体" w:hAnsi="宋体" w:eastAsia="宋体" w:cs="宋体"/>
          <w:spacing w:val="3"/>
          <w:sz w:val="21"/>
          <w:szCs w:val="21"/>
        </w:rPr>
        <w:t>料或燃料，是否计算消费量，视以下两种情</w:t>
      </w:r>
      <w:r>
        <w:rPr>
          <w:rFonts w:ascii="宋体" w:hAnsi="宋体" w:eastAsia="宋体" w:cs="宋体"/>
          <w:sz w:val="21"/>
          <w:szCs w:val="21"/>
        </w:rPr>
        <w:t xml:space="preserve"> </w:t>
      </w:r>
      <w:r>
        <w:rPr>
          <w:rFonts w:ascii="宋体" w:hAnsi="宋体" w:eastAsia="宋体" w:cs="宋体"/>
          <w:spacing w:val="-4"/>
          <w:sz w:val="21"/>
          <w:szCs w:val="21"/>
        </w:rPr>
        <w:t>况而定： 一是自产的能源如果计算产量，消费时则计算消费量，二是自产的能源如果不计算产量，消费</w:t>
      </w:r>
      <w:r>
        <w:rPr>
          <w:rFonts w:ascii="宋体" w:hAnsi="宋体" w:eastAsia="宋体" w:cs="宋体"/>
          <w:spacing w:val="1"/>
          <w:sz w:val="21"/>
          <w:szCs w:val="21"/>
        </w:rPr>
        <w:t xml:space="preserve"> </w:t>
      </w:r>
      <w:r>
        <w:rPr>
          <w:rFonts w:ascii="宋体" w:hAnsi="宋体" w:eastAsia="宋体" w:cs="宋体"/>
          <w:spacing w:val="-1"/>
          <w:sz w:val="21"/>
          <w:szCs w:val="21"/>
        </w:rPr>
        <w:t>时则不计算消费量，视同产品生产过程中的半成品和中间产品。原则是：计算产量，则</w:t>
      </w:r>
      <w:r>
        <w:rPr>
          <w:rFonts w:ascii="宋体" w:hAnsi="宋体" w:eastAsia="宋体" w:cs="宋体"/>
          <w:spacing w:val="-2"/>
          <w:sz w:val="21"/>
          <w:szCs w:val="21"/>
        </w:rPr>
        <w:t>计算消费；不计</w:t>
      </w:r>
      <w:r>
        <w:rPr>
          <w:rFonts w:ascii="宋体" w:hAnsi="宋体" w:eastAsia="宋体" w:cs="宋体"/>
          <w:sz w:val="21"/>
          <w:szCs w:val="21"/>
        </w:rPr>
        <w:t xml:space="preserve"> </w:t>
      </w:r>
      <w:r>
        <w:rPr>
          <w:rFonts w:ascii="宋体" w:hAnsi="宋体" w:eastAsia="宋体" w:cs="宋体"/>
          <w:spacing w:val="-4"/>
          <w:sz w:val="21"/>
          <w:szCs w:val="21"/>
        </w:rPr>
        <w:t>算产量，则不计算消费。</w:t>
      </w:r>
    </w:p>
    <w:p w14:paraId="64C52B3C">
      <w:pPr>
        <w:spacing w:before="106" w:line="221" w:lineRule="auto"/>
        <w:ind w:left="440"/>
        <w:rPr>
          <w:rFonts w:ascii="宋体" w:hAnsi="宋体" w:eastAsia="宋体" w:cs="宋体"/>
          <w:sz w:val="21"/>
          <w:szCs w:val="21"/>
        </w:rPr>
      </w:pPr>
      <w:r>
        <w:rPr>
          <w:rFonts w:ascii="黑体" w:hAnsi="黑体" w:eastAsia="黑体" w:cs="黑体"/>
          <w:spacing w:val="-2"/>
          <w:sz w:val="21"/>
          <w:szCs w:val="21"/>
        </w:rPr>
        <w:t>★</w:t>
      </w:r>
      <w:r>
        <w:rPr>
          <w:rFonts w:ascii="黑体" w:hAnsi="黑体" w:eastAsia="黑体" w:cs="黑体"/>
          <w:b/>
          <w:bCs/>
          <w:spacing w:val="-2"/>
          <w:sz w:val="21"/>
          <w:szCs w:val="21"/>
        </w:rPr>
        <w:t>工业生产能源消费量</w:t>
      </w:r>
      <w:r>
        <w:rPr>
          <w:rFonts w:ascii="黑体" w:hAnsi="黑体" w:eastAsia="黑体" w:cs="黑体"/>
          <w:spacing w:val="-2"/>
          <w:sz w:val="21"/>
          <w:szCs w:val="21"/>
        </w:rPr>
        <w:t xml:space="preserve">  </w:t>
      </w:r>
      <w:r>
        <w:rPr>
          <w:rFonts w:ascii="宋体" w:hAnsi="宋体" w:eastAsia="宋体" w:cs="宋体"/>
          <w:spacing w:val="-2"/>
          <w:sz w:val="21"/>
          <w:szCs w:val="21"/>
        </w:rPr>
        <w:t>指工业企业为进行工业生产活动所消费</w:t>
      </w:r>
      <w:r>
        <w:rPr>
          <w:rFonts w:ascii="宋体" w:hAnsi="宋体" w:eastAsia="宋体" w:cs="宋体"/>
          <w:spacing w:val="-3"/>
          <w:sz w:val="21"/>
          <w:szCs w:val="21"/>
        </w:rPr>
        <w:t>的能源。主要包括：</w:t>
      </w:r>
    </w:p>
    <w:p w14:paraId="24F6AF2F">
      <w:pPr>
        <w:spacing w:before="112" w:line="219" w:lineRule="auto"/>
        <w:ind w:left="550"/>
        <w:rPr>
          <w:rFonts w:ascii="宋体" w:hAnsi="宋体" w:eastAsia="宋体" w:cs="宋体"/>
          <w:sz w:val="21"/>
          <w:szCs w:val="21"/>
        </w:rPr>
      </w:pPr>
      <w:r>
        <w:rPr>
          <w:rFonts w:ascii="宋体" w:hAnsi="宋体" w:eastAsia="宋体" w:cs="宋体"/>
          <w:spacing w:val="3"/>
          <w:sz w:val="21"/>
          <w:szCs w:val="21"/>
        </w:rPr>
        <w:t>(1)用于本企业产品生产、工业性作业的能源，包括用作原料、材料、燃料、动力的能源；作为</w:t>
      </w:r>
    </w:p>
    <w:p w14:paraId="3105B0E1">
      <w:pPr>
        <w:spacing w:line="219" w:lineRule="auto"/>
        <w:rPr>
          <w:rFonts w:ascii="宋体" w:hAnsi="宋体" w:eastAsia="宋体" w:cs="宋体"/>
          <w:sz w:val="21"/>
          <w:szCs w:val="21"/>
        </w:rPr>
        <w:sectPr>
          <w:headerReference r:id="rId67" w:type="default"/>
          <w:pgSz w:w="11910" w:h="16840"/>
          <w:pgMar w:top="1109" w:right="1185" w:bottom="400" w:left="1229" w:header="838" w:footer="0" w:gutter="0"/>
          <w:cols w:space="720" w:num="1"/>
        </w:sectPr>
      </w:pPr>
    </w:p>
    <w:p w14:paraId="76940108">
      <w:pPr>
        <w:pStyle w:val="2"/>
        <w:spacing w:line="348" w:lineRule="auto"/>
      </w:pPr>
    </w:p>
    <w:p w14:paraId="7F6B0783">
      <w:pPr>
        <w:spacing w:before="68" w:line="219" w:lineRule="auto"/>
        <w:rPr>
          <w:rFonts w:ascii="宋体" w:hAnsi="宋体" w:eastAsia="宋体" w:cs="宋体"/>
          <w:sz w:val="21"/>
          <w:szCs w:val="21"/>
        </w:rPr>
      </w:pPr>
      <w:r>
        <w:rPr>
          <w:rFonts w:ascii="宋体" w:hAnsi="宋体" w:eastAsia="宋体" w:cs="宋体"/>
          <w:spacing w:val="1"/>
          <w:sz w:val="21"/>
          <w:szCs w:val="21"/>
        </w:rPr>
        <w:t>能源加工转换企业，还包括用作加工转换的能源(这部分能源不能理解</w:t>
      </w:r>
      <w:r>
        <w:rPr>
          <w:rFonts w:ascii="宋体" w:hAnsi="宋体" w:eastAsia="宋体" w:cs="宋体"/>
          <w:sz w:val="21"/>
          <w:szCs w:val="21"/>
        </w:rPr>
        <w:t>为用作原材料，用作原材料的概</w:t>
      </w:r>
    </w:p>
    <w:p w14:paraId="15B9343E">
      <w:pPr>
        <w:spacing w:before="132" w:line="219" w:lineRule="auto"/>
        <w:rPr>
          <w:rFonts w:ascii="宋体" w:hAnsi="宋体" w:eastAsia="宋体" w:cs="宋体"/>
          <w:sz w:val="21"/>
          <w:szCs w:val="21"/>
        </w:rPr>
      </w:pPr>
      <w:r>
        <w:rPr>
          <w:rFonts w:ascii="宋体" w:hAnsi="宋体" w:eastAsia="宋体" w:cs="宋体"/>
          <w:spacing w:val="9"/>
          <w:sz w:val="21"/>
          <w:szCs w:val="21"/>
        </w:rPr>
        <w:t>念见后面的解释);</w:t>
      </w:r>
    </w:p>
    <w:p w14:paraId="65AE259F">
      <w:pPr>
        <w:spacing w:before="99" w:line="219" w:lineRule="auto"/>
        <w:ind w:left="430"/>
        <w:rPr>
          <w:rFonts w:ascii="宋体" w:hAnsi="宋体" w:eastAsia="宋体" w:cs="宋体"/>
          <w:sz w:val="21"/>
          <w:szCs w:val="21"/>
        </w:rPr>
      </w:pPr>
      <w:r>
        <w:rPr>
          <w:rFonts w:ascii="宋体" w:hAnsi="宋体" w:eastAsia="宋体" w:cs="宋体"/>
          <w:spacing w:val="1"/>
          <w:sz w:val="21"/>
          <w:szCs w:val="21"/>
        </w:rPr>
        <w:t>(2)产品生产过程中作为辅助材料使用的能源；</w:t>
      </w:r>
    </w:p>
    <w:p w14:paraId="59DDE665">
      <w:pPr>
        <w:spacing w:before="112" w:line="219" w:lineRule="auto"/>
        <w:ind w:left="430"/>
        <w:rPr>
          <w:rFonts w:ascii="宋体" w:hAnsi="宋体" w:eastAsia="宋体" w:cs="宋体"/>
          <w:sz w:val="21"/>
          <w:szCs w:val="21"/>
        </w:rPr>
      </w:pPr>
      <w:r>
        <w:rPr>
          <w:rFonts w:ascii="宋体" w:hAnsi="宋体" w:eastAsia="宋体" w:cs="宋体"/>
          <w:spacing w:val="2"/>
          <w:sz w:val="21"/>
          <w:szCs w:val="21"/>
        </w:rPr>
        <w:t>(3)生产工艺过程使用的能源；</w:t>
      </w:r>
    </w:p>
    <w:p w14:paraId="5C760E63">
      <w:pPr>
        <w:spacing w:before="119" w:line="219" w:lineRule="auto"/>
        <w:ind w:left="430"/>
        <w:rPr>
          <w:rFonts w:ascii="宋体" w:hAnsi="宋体" w:eastAsia="宋体" w:cs="宋体"/>
          <w:sz w:val="21"/>
          <w:szCs w:val="21"/>
        </w:rPr>
      </w:pPr>
      <w:r>
        <w:rPr>
          <w:rFonts w:ascii="宋体" w:hAnsi="宋体" w:eastAsia="宋体" w:cs="宋体"/>
          <w:sz w:val="21"/>
          <w:szCs w:val="21"/>
        </w:rPr>
        <w:t>(4)新技术研究、新产品试制、科学试验使用的能源；</w:t>
      </w:r>
    </w:p>
    <w:p w14:paraId="578FF087">
      <w:pPr>
        <w:spacing w:before="102" w:line="360" w:lineRule="exact"/>
        <w:ind w:left="430"/>
        <w:rPr>
          <w:rFonts w:ascii="宋体" w:hAnsi="宋体" w:eastAsia="宋体" w:cs="宋体"/>
          <w:sz w:val="21"/>
          <w:szCs w:val="21"/>
        </w:rPr>
      </w:pPr>
      <w:r>
        <w:rPr>
          <w:rFonts w:ascii="宋体" w:hAnsi="宋体" w:eastAsia="宋体" w:cs="宋体"/>
          <w:spacing w:val="1"/>
          <w:position w:val="11"/>
          <w:sz w:val="21"/>
          <w:szCs w:val="21"/>
        </w:rPr>
        <w:t>(5)为了工业生产活动而在进行的各种修理过程中使用的能源；</w:t>
      </w:r>
    </w:p>
    <w:p w14:paraId="25E655E2">
      <w:pPr>
        <w:spacing w:line="219" w:lineRule="auto"/>
        <w:ind w:left="430"/>
        <w:rPr>
          <w:rFonts w:ascii="宋体" w:hAnsi="宋体" w:eastAsia="宋体" w:cs="宋体"/>
          <w:sz w:val="21"/>
          <w:szCs w:val="21"/>
        </w:rPr>
      </w:pPr>
      <w:r>
        <w:rPr>
          <w:rFonts w:ascii="宋体" w:hAnsi="宋体" w:eastAsia="宋体" w:cs="宋体"/>
          <w:spacing w:val="1"/>
          <w:sz w:val="21"/>
          <w:szCs w:val="21"/>
        </w:rPr>
        <w:t>(6)生产区内的劳动保护用能等；</w:t>
      </w:r>
    </w:p>
    <w:p w14:paraId="3BD026EB">
      <w:pPr>
        <w:spacing w:before="151" w:line="268" w:lineRule="auto"/>
        <w:ind w:right="154" w:firstLine="430"/>
        <w:rPr>
          <w:rFonts w:ascii="宋体" w:hAnsi="宋体" w:eastAsia="宋体" w:cs="宋体"/>
          <w:sz w:val="21"/>
          <w:szCs w:val="21"/>
        </w:rPr>
      </w:pPr>
      <w:r>
        <w:rPr>
          <w:rFonts w:ascii="宋体" w:hAnsi="宋体" w:eastAsia="宋体" w:cs="宋体"/>
          <w:color w:val="0202FF"/>
          <w:spacing w:val="3"/>
          <w:sz w:val="21"/>
          <w:szCs w:val="21"/>
        </w:rPr>
        <w:t>(7)辅助工业生产的能源消费，如企业厂部、管理办公楼消费的能源、天然气输配装置消费的能</w:t>
      </w:r>
      <w:r>
        <w:rPr>
          <w:rFonts w:ascii="宋体" w:hAnsi="宋体" w:eastAsia="宋体" w:cs="宋体"/>
          <w:color w:val="0202FF"/>
          <w:spacing w:val="5"/>
          <w:sz w:val="21"/>
          <w:szCs w:val="21"/>
        </w:rPr>
        <w:t xml:space="preserve"> </w:t>
      </w:r>
      <w:r>
        <w:rPr>
          <w:rFonts w:ascii="宋体" w:hAnsi="宋体" w:eastAsia="宋体" w:cs="宋体"/>
          <w:color w:val="0202FF"/>
          <w:spacing w:val="-9"/>
          <w:sz w:val="21"/>
          <w:szCs w:val="21"/>
        </w:rPr>
        <w:t>源等。</w:t>
      </w:r>
    </w:p>
    <w:p w14:paraId="2CCE2ED6">
      <w:pPr>
        <w:spacing w:before="64" w:line="297" w:lineRule="auto"/>
        <w:ind w:right="52" w:firstLine="433"/>
        <w:rPr>
          <w:rFonts w:ascii="宋体" w:hAnsi="宋体" w:eastAsia="宋体" w:cs="宋体"/>
          <w:sz w:val="21"/>
          <w:szCs w:val="21"/>
        </w:rPr>
      </w:pPr>
      <w:r>
        <w:rPr>
          <w:rFonts w:ascii="黑体" w:hAnsi="黑体" w:eastAsia="黑体" w:cs="黑体"/>
          <w:b/>
          <w:bCs/>
          <w:spacing w:val="-2"/>
          <w:sz w:val="21"/>
          <w:szCs w:val="21"/>
        </w:rPr>
        <w:t>★用于原材料的能源消费量</w:t>
      </w:r>
      <w:r>
        <w:rPr>
          <w:rFonts w:ascii="黑体" w:hAnsi="黑体" w:eastAsia="黑体" w:cs="黑体"/>
          <w:spacing w:val="-2"/>
          <w:sz w:val="21"/>
          <w:szCs w:val="21"/>
        </w:rPr>
        <w:t xml:space="preserve">  </w:t>
      </w:r>
      <w:r>
        <w:rPr>
          <w:rFonts w:ascii="宋体" w:hAnsi="宋体" w:eastAsia="宋体" w:cs="宋体"/>
          <w:spacing w:val="-2"/>
          <w:sz w:val="21"/>
          <w:szCs w:val="21"/>
        </w:rPr>
        <w:t>指能源产品不作能源使</w:t>
      </w:r>
      <w:r>
        <w:rPr>
          <w:rFonts w:ascii="宋体" w:hAnsi="宋体" w:eastAsia="宋体" w:cs="宋体"/>
          <w:spacing w:val="-3"/>
          <w:sz w:val="21"/>
          <w:szCs w:val="21"/>
        </w:rPr>
        <w:t>用，即不作燃料、动力使用，而作为生产另外</w:t>
      </w:r>
      <w:r>
        <w:rPr>
          <w:rFonts w:ascii="宋体" w:hAnsi="宋体" w:eastAsia="宋体" w:cs="宋体"/>
          <w:sz w:val="21"/>
          <w:szCs w:val="21"/>
        </w:rPr>
        <w:t xml:space="preserve"> </w:t>
      </w:r>
      <w:r>
        <w:rPr>
          <w:rFonts w:ascii="宋体" w:hAnsi="宋体" w:eastAsia="宋体" w:cs="宋体"/>
          <w:spacing w:val="3"/>
          <w:sz w:val="21"/>
          <w:szCs w:val="21"/>
        </w:rPr>
        <w:t>一种产品(非能源产品)的原料或作为辅助材料使用，作原料使用时通常构成这种产品的实体。它与用</w:t>
      </w:r>
      <w:r>
        <w:rPr>
          <w:rFonts w:ascii="宋体" w:hAnsi="宋体" w:eastAsia="宋体" w:cs="宋体"/>
          <w:sz w:val="21"/>
          <w:szCs w:val="21"/>
        </w:rPr>
        <w:t xml:space="preserve"> </w:t>
      </w:r>
      <w:r>
        <w:rPr>
          <w:rFonts w:ascii="宋体" w:hAnsi="宋体" w:eastAsia="宋体" w:cs="宋体"/>
          <w:spacing w:val="-2"/>
          <w:sz w:val="21"/>
          <w:szCs w:val="21"/>
        </w:rPr>
        <w:t>作加工转换的区别是：用作加工转换，投入的是能源，产出的主要产品还是能源；而用作原材料时，投</w:t>
      </w:r>
      <w:r>
        <w:rPr>
          <w:rFonts w:ascii="宋体" w:hAnsi="宋体" w:eastAsia="宋体" w:cs="宋体"/>
          <w:spacing w:val="18"/>
          <w:sz w:val="21"/>
          <w:szCs w:val="21"/>
        </w:rPr>
        <w:t xml:space="preserve"> </w:t>
      </w:r>
      <w:r>
        <w:rPr>
          <w:rFonts w:ascii="宋体" w:hAnsi="宋体" w:eastAsia="宋体" w:cs="宋体"/>
          <w:spacing w:val="-4"/>
          <w:sz w:val="21"/>
          <w:szCs w:val="21"/>
        </w:rPr>
        <w:t>入的是能源，产出的主要产品却是能源范畴以外的产品，包括产出的某种产品在广义上可以用作能源(比</w:t>
      </w:r>
      <w:r>
        <w:rPr>
          <w:rFonts w:ascii="宋体" w:hAnsi="宋体" w:eastAsia="宋体" w:cs="宋体"/>
          <w:spacing w:val="10"/>
          <w:sz w:val="21"/>
          <w:szCs w:val="21"/>
        </w:rPr>
        <w:t xml:space="preserve"> </w:t>
      </w:r>
      <w:r>
        <w:rPr>
          <w:rFonts w:ascii="宋体" w:hAnsi="宋体" w:eastAsia="宋体" w:cs="宋体"/>
          <w:spacing w:val="4"/>
          <w:sz w:val="21"/>
          <w:szCs w:val="21"/>
        </w:rPr>
        <w:t>如可以燃烧以提供热量),但通常意义上不作能源使用的产品。</w:t>
      </w:r>
    </w:p>
    <w:p w14:paraId="465E0D0B">
      <w:pPr>
        <w:spacing w:before="113" w:line="293" w:lineRule="auto"/>
        <w:ind w:right="43" w:firstLine="433"/>
        <w:rPr>
          <w:rFonts w:ascii="宋体" w:hAnsi="宋体" w:eastAsia="宋体" w:cs="宋体"/>
          <w:sz w:val="21"/>
          <w:szCs w:val="21"/>
        </w:rPr>
      </w:pPr>
      <w:r>
        <w:rPr>
          <w:rFonts w:ascii="黑体" w:hAnsi="黑体" w:eastAsia="黑体" w:cs="黑体"/>
          <w:b/>
          <w:bCs/>
          <w:spacing w:val="3"/>
          <w:sz w:val="21"/>
          <w:szCs w:val="21"/>
        </w:rPr>
        <w:t>★运输工具能源消费量</w:t>
      </w:r>
      <w:r>
        <w:rPr>
          <w:rFonts w:ascii="黑体" w:hAnsi="黑体" w:eastAsia="黑体" w:cs="黑体"/>
          <w:sz w:val="21"/>
          <w:szCs w:val="21"/>
        </w:rPr>
        <w:t xml:space="preserve">  </w:t>
      </w:r>
      <w:r>
        <w:rPr>
          <w:rFonts w:ascii="宋体" w:hAnsi="宋体" w:eastAsia="宋体" w:cs="宋体"/>
          <w:spacing w:val="3"/>
          <w:sz w:val="21"/>
          <w:szCs w:val="21"/>
        </w:rPr>
        <w:t>指工业企业所属运输工具在厂区内</w:t>
      </w:r>
      <w:r>
        <w:rPr>
          <w:rFonts w:ascii="宋体" w:hAnsi="宋体" w:eastAsia="宋体" w:cs="宋体"/>
          <w:spacing w:val="2"/>
          <w:sz w:val="21"/>
          <w:szCs w:val="21"/>
        </w:rPr>
        <w:t>、外为工业生产活动进行运输所消费</w:t>
      </w:r>
      <w:r>
        <w:rPr>
          <w:rFonts w:ascii="宋体" w:hAnsi="宋体" w:eastAsia="宋体" w:cs="宋体"/>
          <w:sz w:val="21"/>
          <w:szCs w:val="21"/>
        </w:rPr>
        <w:t xml:space="preserve"> </w:t>
      </w:r>
      <w:r>
        <w:rPr>
          <w:rFonts w:ascii="宋体" w:hAnsi="宋体" w:eastAsia="宋体" w:cs="宋体"/>
          <w:spacing w:val="8"/>
          <w:sz w:val="21"/>
          <w:szCs w:val="21"/>
        </w:rPr>
        <w:t>的能源。用途为非运输性质的叉车、铲车、装载机、挖掘机等不计入运输工具能源消费量，但需计</w:t>
      </w:r>
      <w:r>
        <w:rPr>
          <w:rFonts w:ascii="宋体" w:hAnsi="宋体" w:eastAsia="宋体" w:cs="宋体"/>
          <w:spacing w:val="4"/>
          <w:sz w:val="21"/>
          <w:szCs w:val="21"/>
        </w:rPr>
        <w:t xml:space="preserve"> </w:t>
      </w:r>
      <w:r>
        <w:rPr>
          <w:rFonts w:ascii="宋体" w:hAnsi="宋体" w:eastAsia="宋体" w:cs="宋体"/>
          <w:spacing w:val="16"/>
          <w:sz w:val="21"/>
          <w:szCs w:val="21"/>
        </w:rPr>
        <w:t>入工业生产能源消费量；生产运输工具的企业(如造船厂、汽车制造</w:t>
      </w:r>
      <w:r>
        <w:rPr>
          <w:rFonts w:ascii="宋体" w:hAnsi="宋体" w:eastAsia="宋体" w:cs="宋体"/>
          <w:spacing w:val="15"/>
          <w:sz w:val="21"/>
          <w:szCs w:val="21"/>
        </w:rPr>
        <w:t>厂、工程车制造厂),向成品</w:t>
      </w:r>
      <w:r>
        <w:rPr>
          <w:rFonts w:ascii="宋体" w:hAnsi="宋体" w:eastAsia="宋体" w:cs="宋体"/>
          <w:sz w:val="21"/>
          <w:szCs w:val="21"/>
        </w:rPr>
        <w:t xml:space="preserve"> </w:t>
      </w:r>
      <w:r>
        <w:rPr>
          <w:rFonts w:ascii="宋体" w:hAnsi="宋体" w:eastAsia="宋体" w:cs="宋体"/>
          <w:spacing w:val="7"/>
          <w:sz w:val="21"/>
          <w:szCs w:val="21"/>
        </w:rPr>
        <w:t>的轮船、汽车、工程车等中添加动力用油，不计入</w:t>
      </w:r>
      <w:r>
        <w:rPr>
          <w:rFonts w:ascii="宋体" w:hAnsi="宋体" w:eastAsia="宋体" w:cs="宋体"/>
          <w:spacing w:val="6"/>
          <w:sz w:val="21"/>
          <w:szCs w:val="21"/>
        </w:rPr>
        <w:t>运输工具能源消费量和工业生产能源消费量。</w:t>
      </w:r>
    </w:p>
    <w:p w14:paraId="05789289">
      <w:pPr>
        <w:spacing w:before="106" w:line="375" w:lineRule="exact"/>
        <w:ind w:right="35"/>
        <w:jc w:val="right"/>
        <w:rPr>
          <w:rFonts w:ascii="宋体" w:hAnsi="宋体" w:eastAsia="宋体" w:cs="宋体"/>
          <w:sz w:val="21"/>
          <w:szCs w:val="21"/>
        </w:rPr>
      </w:pPr>
      <w:r>
        <w:rPr>
          <w:rFonts w:ascii="黑体" w:hAnsi="黑体" w:eastAsia="黑体" w:cs="黑体"/>
          <w:b/>
          <w:bCs/>
          <w:spacing w:val="-2"/>
          <w:position w:val="12"/>
          <w:sz w:val="21"/>
          <w:szCs w:val="21"/>
        </w:rPr>
        <w:t>★能源折标系数</w:t>
      </w:r>
      <w:r>
        <w:rPr>
          <w:rFonts w:ascii="黑体" w:hAnsi="黑体" w:eastAsia="黑体" w:cs="黑体"/>
          <w:spacing w:val="-2"/>
          <w:position w:val="12"/>
          <w:sz w:val="21"/>
          <w:szCs w:val="21"/>
        </w:rPr>
        <w:t xml:space="preserve">  </w:t>
      </w:r>
      <w:r>
        <w:rPr>
          <w:rFonts w:ascii="宋体" w:hAnsi="宋体" w:eastAsia="宋体" w:cs="宋体"/>
          <w:spacing w:val="-2"/>
          <w:position w:val="12"/>
          <w:sz w:val="21"/>
          <w:szCs w:val="21"/>
        </w:rPr>
        <w:t>指将能源品种的实物量转换为标准量的折算系数。分能源品种参考折标系数具体</w:t>
      </w:r>
    </w:p>
    <w:p w14:paraId="0AB63D34">
      <w:pPr>
        <w:spacing w:line="219" w:lineRule="auto"/>
        <w:rPr>
          <w:rFonts w:ascii="宋体" w:hAnsi="宋体" w:eastAsia="宋体" w:cs="宋体"/>
          <w:sz w:val="21"/>
          <w:szCs w:val="21"/>
        </w:rPr>
      </w:pPr>
      <w:r>
        <w:rPr>
          <w:rFonts w:ascii="宋体" w:hAnsi="宋体" w:eastAsia="宋体" w:cs="宋体"/>
          <w:sz w:val="21"/>
          <w:szCs w:val="21"/>
        </w:rPr>
        <w:t>见《能源购进、消费与库存》</w:t>
      </w:r>
      <w:r>
        <w:rPr>
          <w:rFonts w:ascii="宋体" w:hAnsi="宋体" w:eastAsia="宋体" w:cs="宋体"/>
          <w:spacing w:val="89"/>
          <w:sz w:val="21"/>
          <w:szCs w:val="21"/>
        </w:rPr>
        <w:t xml:space="preserve"> </w:t>
      </w:r>
      <w:r>
        <w:rPr>
          <w:rFonts w:ascii="宋体" w:hAnsi="宋体" w:eastAsia="宋体" w:cs="宋体"/>
          <w:sz w:val="21"/>
          <w:szCs w:val="21"/>
        </w:rPr>
        <w:t>(205-1表)和《能源加工转换与回收利用》</w:t>
      </w:r>
      <w:r>
        <w:rPr>
          <w:rFonts w:ascii="宋体" w:hAnsi="宋体" w:eastAsia="宋体" w:cs="宋体"/>
          <w:spacing w:val="105"/>
          <w:sz w:val="21"/>
          <w:szCs w:val="21"/>
        </w:rPr>
        <w:t xml:space="preserve"> </w:t>
      </w:r>
      <w:r>
        <w:rPr>
          <w:rFonts w:ascii="宋体" w:hAnsi="宋体" w:eastAsia="宋体" w:cs="宋体"/>
          <w:sz w:val="21"/>
          <w:szCs w:val="21"/>
        </w:rPr>
        <w:t>(205-2表)填报目录。</w:t>
      </w:r>
    </w:p>
    <w:p w14:paraId="3A4091D3">
      <w:pPr>
        <w:spacing w:before="97" w:line="293" w:lineRule="auto"/>
        <w:ind w:right="36" w:firstLine="433"/>
        <w:rPr>
          <w:rFonts w:ascii="宋体" w:hAnsi="宋体" w:eastAsia="宋体" w:cs="宋体"/>
          <w:sz w:val="21"/>
          <w:szCs w:val="21"/>
        </w:rPr>
      </w:pPr>
      <w:r>
        <w:rPr>
          <w:rFonts w:ascii="黑体" w:hAnsi="黑体" w:eastAsia="黑体" w:cs="黑体"/>
          <w:b/>
          <w:bCs/>
          <w:spacing w:val="5"/>
          <w:sz w:val="21"/>
          <w:szCs w:val="21"/>
        </w:rPr>
        <w:t>★综合能源消费量</w:t>
      </w:r>
      <w:r>
        <w:rPr>
          <w:rFonts w:ascii="黑体" w:hAnsi="黑体" w:eastAsia="黑体" w:cs="黑体"/>
          <w:spacing w:val="1"/>
          <w:sz w:val="21"/>
          <w:szCs w:val="21"/>
        </w:rPr>
        <w:t xml:space="preserve">  </w:t>
      </w:r>
      <w:r>
        <w:rPr>
          <w:rFonts w:ascii="宋体" w:hAnsi="宋体" w:eastAsia="宋体" w:cs="宋体"/>
          <w:spacing w:val="5"/>
          <w:sz w:val="21"/>
          <w:szCs w:val="21"/>
        </w:rPr>
        <w:t>指企业(单位)在报告期内工业生产实际消费的各种能源(扣除能源加工转换</w:t>
      </w:r>
      <w:r>
        <w:rPr>
          <w:rFonts w:ascii="宋体" w:hAnsi="宋体" w:eastAsia="宋体" w:cs="宋体"/>
          <w:sz w:val="21"/>
          <w:szCs w:val="21"/>
        </w:rPr>
        <w:t xml:space="preserve"> </w:t>
      </w:r>
      <w:r>
        <w:rPr>
          <w:rFonts w:ascii="宋体" w:hAnsi="宋体" w:eastAsia="宋体" w:cs="宋体"/>
          <w:spacing w:val="-2"/>
          <w:sz w:val="21"/>
          <w:szCs w:val="21"/>
        </w:rPr>
        <w:t>产出和能源回收利用等重复因素)的总和。计算综</w:t>
      </w:r>
      <w:r>
        <w:rPr>
          <w:rFonts w:ascii="宋体" w:hAnsi="宋体" w:eastAsia="宋体" w:cs="宋体"/>
          <w:spacing w:val="-3"/>
          <w:sz w:val="21"/>
          <w:szCs w:val="21"/>
        </w:rPr>
        <w:t>合能源消费量时，</w:t>
      </w:r>
      <w:r>
        <w:rPr>
          <w:rFonts w:ascii="宋体" w:hAnsi="宋体" w:eastAsia="宋体" w:cs="宋体"/>
          <w:spacing w:val="60"/>
          <w:sz w:val="21"/>
          <w:szCs w:val="21"/>
        </w:rPr>
        <w:t xml:space="preserve"> </w:t>
      </w:r>
      <w:r>
        <w:rPr>
          <w:rFonts w:ascii="宋体" w:hAnsi="宋体" w:eastAsia="宋体" w:cs="宋体"/>
          <w:spacing w:val="-3"/>
          <w:sz w:val="21"/>
          <w:szCs w:val="21"/>
        </w:rPr>
        <w:t>一是需要将各种能源品种的消费量</w:t>
      </w:r>
      <w:r>
        <w:rPr>
          <w:rFonts w:ascii="宋体" w:hAnsi="宋体" w:eastAsia="宋体" w:cs="宋体"/>
          <w:sz w:val="21"/>
          <w:szCs w:val="21"/>
        </w:rPr>
        <w:t xml:space="preserve"> </w:t>
      </w:r>
      <w:r>
        <w:rPr>
          <w:rFonts w:ascii="宋体" w:hAnsi="宋体" w:eastAsia="宋体" w:cs="宋体"/>
          <w:spacing w:val="3"/>
          <w:sz w:val="21"/>
          <w:szCs w:val="21"/>
        </w:rPr>
        <w:t>换算成按照标准计量单位(吨标准煤)计量的消费量；二是不计算原煤入洗损耗。不同工业法人单位的</w:t>
      </w:r>
      <w:r>
        <w:rPr>
          <w:rFonts w:ascii="宋体" w:hAnsi="宋体" w:eastAsia="宋体" w:cs="宋体"/>
          <w:spacing w:val="10"/>
          <w:sz w:val="21"/>
          <w:szCs w:val="21"/>
        </w:rPr>
        <w:t xml:space="preserve"> </w:t>
      </w:r>
      <w:r>
        <w:rPr>
          <w:rFonts w:ascii="宋体" w:hAnsi="宋体" w:eastAsia="宋体" w:cs="宋体"/>
          <w:spacing w:val="-1"/>
          <w:sz w:val="21"/>
          <w:szCs w:val="21"/>
        </w:rPr>
        <w:t>计算方法见《能源购进、消费与库存》</w:t>
      </w:r>
      <w:r>
        <w:rPr>
          <w:rFonts w:ascii="宋体" w:hAnsi="宋体" w:eastAsia="宋体" w:cs="宋体"/>
          <w:spacing w:val="84"/>
          <w:sz w:val="21"/>
          <w:szCs w:val="21"/>
        </w:rPr>
        <w:t xml:space="preserve"> </w:t>
      </w:r>
      <w:r>
        <w:rPr>
          <w:rFonts w:ascii="宋体" w:hAnsi="宋体" w:eastAsia="宋体" w:cs="宋体"/>
          <w:spacing w:val="-1"/>
          <w:sz w:val="21"/>
          <w:szCs w:val="21"/>
        </w:rPr>
        <w:t>(205-1表)表底说明。</w:t>
      </w:r>
    </w:p>
    <w:p w14:paraId="57B19611">
      <w:pPr>
        <w:pStyle w:val="2"/>
        <w:spacing w:line="473" w:lineRule="auto"/>
      </w:pPr>
    </w:p>
    <w:p w14:paraId="0EF676BA">
      <w:pPr>
        <w:spacing w:before="91" w:line="221" w:lineRule="auto"/>
        <w:ind w:left="2164"/>
        <w:rPr>
          <w:rFonts w:ascii="黑体" w:hAnsi="黑体" w:eastAsia="黑体" w:cs="黑体"/>
          <w:sz w:val="28"/>
          <w:szCs w:val="28"/>
        </w:rPr>
      </w:pPr>
      <w:r>
        <w:rPr>
          <w:rFonts w:ascii="黑体" w:hAnsi="黑体" w:eastAsia="黑体" w:cs="黑体"/>
          <w:b/>
          <w:bCs/>
          <w:spacing w:val="10"/>
          <w:sz w:val="28"/>
          <w:szCs w:val="28"/>
        </w:rPr>
        <w:t>(二)能源加工转换与回收利用(205-2表)</w:t>
      </w:r>
    </w:p>
    <w:p w14:paraId="2F1A44D6">
      <w:pPr>
        <w:spacing w:before="284" w:line="374" w:lineRule="exact"/>
        <w:ind w:right="41"/>
        <w:jc w:val="right"/>
        <w:rPr>
          <w:rFonts w:ascii="宋体" w:hAnsi="宋体" w:eastAsia="宋体" w:cs="宋体"/>
          <w:sz w:val="21"/>
          <w:szCs w:val="21"/>
        </w:rPr>
      </w:pPr>
      <w:r>
        <w:rPr>
          <w:rFonts w:ascii="黑体" w:hAnsi="黑体" w:eastAsia="黑体" w:cs="黑体"/>
          <w:b/>
          <w:bCs/>
          <w:spacing w:val="5"/>
          <w:position w:val="12"/>
          <w:sz w:val="21"/>
          <w:szCs w:val="21"/>
        </w:rPr>
        <w:t>能源加工转换投入</w:t>
      </w:r>
      <w:r>
        <w:rPr>
          <w:rFonts w:ascii="黑体" w:hAnsi="黑体" w:eastAsia="黑体" w:cs="黑体"/>
          <w:spacing w:val="8"/>
          <w:position w:val="12"/>
          <w:sz w:val="21"/>
          <w:szCs w:val="21"/>
        </w:rPr>
        <w:t xml:space="preserve">  </w:t>
      </w:r>
      <w:r>
        <w:rPr>
          <w:rFonts w:ascii="宋体" w:hAnsi="宋体" w:eastAsia="宋体" w:cs="宋体"/>
          <w:spacing w:val="5"/>
          <w:position w:val="12"/>
          <w:sz w:val="21"/>
          <w:szCs w:val="21"/>
        </w:rPr>
        <w:t>能源加工转换，指为了特定的用途，将一种能源(一般为一次能源),经过一</w:t>
      </w:r>
    </w:p>
    <w:p w14:paraId="3CB144A4">
      <w:pPr>
        <w:spacing w:before="1" w:line="219" w:lineRule="auto"/>
        <w:rPr>
          <w:rFonts w:ascii="宋体" w:hAnsi="宋体" w:eastAsia="宋体" w:cs="宋体"/>
          <w:sz w:val="21"/>
          <w:szCs w:val="21"/>
        </w:rPr>
      </w:pPr>
      <w:r>
        <w:rPr>
          <w:rFonts w:ascii="宋体" w:hAnsi="宋体" w:eastAsia="宋体" w:cs="宋体"/>
          <w:spacing w:val="6"/>
          <w:sz w:val="21"/>
          <w:szCs w:val="21"/>
        </w:rPr>
        <w:t>定的工艺，加工或转换成另外一种能源(二次能源)。</w:t>
      </w:r>
    </w:p>
    <w:p w14:paraId="33DDB1DB">
      <w:pPr>
        <w:spacing w:before="101" w:line="284" w:lineRule="auto"/>
        <w:ind w:right="47" w:firstLine="430"/>
        <w:rPr>
          <w:rFonts w:ascii="宋体" w:hAnsi="宋体" w:eastAsia="宋体" w:cs="宋体"/>
          <w:sz w:val="21"/>
          <w:szCs w:val="21"/>
        </w:rPr>
      </w:pPr>
      <w:r>
        <w:rPr>
          <w:rFonts w:ascii="宋体" w:hAnsi="宋体" w:eastAsia="宋体" w:cs="宋体"/>
          <w:spacing w:val="-2"/>
          <w:sz w:val="21"/>
          <w:szCs w:val="21"/>
        </w:rPr>
        <w:t>能源加工，是能源的物理形态的变化，比如用蒸馏的方式将原油炼制成汽油、煤油、柴油等石油制</w:t>
      </w:r>
      <w:r>
        <w:rPr>
          <w:rFonts w:ascii="宋体" w:hAnsi="宋体" w:eastAsia="宋体" w:cs="宋体"/>
          <w:spacing w:val="12"/>
          <w:sz w:val="21"/>
          <w:szCs w:val="21"/>
        </w:rPr>
        <w:t xml:space="preserve"> </w:t>
      </w:r>
      <w:r>
        <w:rPr>
          <w:rFonts w:ascii="宋体" w:hAnsi="宋体" w:eastAsia="宋体" w:cs="宋体"/>
          <w:spacing w:val="-2"/>
          <w:sz w:val="21"/>
          <w:szCs w:val="21"/>
        </w:rPr>
        <w:t>品；用筛选、水洗的方式将原煤洗选成洗煤；以焦化的方式将煤炭高温干馏成焦炭；以气化的方式将煤</w:t>
      </w:r>
      <w:r>
        <w:rPr>
          <w:rFonts w:ascii="宋体" w:hAnsi="宋体" w:eastAsia="宋体" w:cs="宋体"/>
          <w:spacing w:val="17"/>
          <w:sz w:val="21"/>
          <w:szCs w:val="21"/>
        </w:rPr>
        <w:t xml:space="preserve"> </w:t>
      </w:r>
      <w:r>
        <w:rPr>
          <w:rFonts w:ascii="宋体" w:hAnsi="宋体" w:eastAsia="宋体" w:cs="宋体"/>
          <w:spacing w:val="-2"/>
          <w:sz w:val="21"/>
          <w:szCs w:val="21"/>
        </w:rPr>
        <w:t>炭气化成煤气，等等。这些方法在加工前后能源均未发生质</w:t>
      </w:r>
      <w:r>
        <w:rPr>
          <w:rFonts w:ascii="宋体" w:hAnsi="宋体" w:eastAsia="宋体" w:cs="宋体"/>
          <w:spacing w:val="-3"/>
          <w:sz w:val="21"/>
          <w:szCs w:val="21"/>
        </w:rPr>
        <w:t>的变化。</w:t>
      </w:r>
    </w:p>
    <w:p w14:paraId="42575B13">
      <w:pPr>
        <w:spacing w:before="110" w:line="284" w:lineRule="auto"/>
        <w:ind w:firstLine="430"/>
        <w:rPr>
          <w:rFonts w:ascii="宋体" w:hAnsi="宋体" w:eastAsia="宋体" w:cs="宋体"/>
          <w:sz w:val="21"/>
          <w:szCs w:val="21"/>
        </w:rPr>
      </w:pPr>
      <w:r>
        <w:rPr>
          <w:rFonts w:ascii="宋体" w:hAnsi="宋体" w:eastAsia="宋体" w:cs="宋体"/>
          <w:spacing w:val="-2"/>
          <w:sz w:val="21"/>
          <w:szCs w:val="21"/>
        </w:rPr>
        <w:t>能源转换，是能源的能量形态和化学形态的变化，比如经过一定的工艺过程，将煤炭、重油等转换</w:t>
      </w:r>
      <w:r>
        <w:rPr>
          <w:rFonts w:ascii="宋体" w:hAnsi="宋体" w:eastAsia="宋体" w:cs="宋体"/>
          <w:spacing w:val="3"/>
          <w:sz w:val="21"/>
          <w:szCs w:val="21"/>
        </w:rPr>
        <w:t xml:space="preserve"> </w:t>
      </w:r>
      <w:r>
        <w:rPr>
          <w:rFonts w:ascii="宋体" w:hAnsi="宋体" w:eastAsia="宋体" w:cs="宋体"/>
          <w:spacing w:val="-5"/>
          <w:sz w:val="21"/>
          <w:szCs w:val="21"/>
        </w:rPr>
        <w:t>为电力和热力，将热能转换为机械能，将机械能转换为电能，将电能转换为热能等；又比如，经过裂化，</w:t>
      </w:r>
      <w:r>
        <w:rPr>
          <w:rFonts w:ascii="宋体" w:hAnsi="宋体" w:eastAsia="宋体" w:cs="宋体"/>
          <w:spacing w:val="4"/>
          <w:sz w:val="21"/>
          <w:szCs w:val="21"/>
        </w:rPr>
        <w:t xml:space="preserve"> 将重质石油转换成轻质石油(转换前、后的物质具有不同的化学结构和化学性质)。</w:t>
      </w:r>
    </w:p>
    <w:p w14:paraId="2FFAAD50">
      <w:pPr>
        <w:spacing w:before="111" w:line="370" w:lineRule="exact"/>
        <w:ind w:right="54"/>
        <w:jc w:val="right"/>
        <w:rPr>
          <w:rFonts w:ascii="宋体" w:hAnsi="宋体" w:eastAsia="宋体" w:cs="宋体"/>
          <w:sz w:val="21"/>
          <w:szCs w:val="21"/>
        </w:rPr>
      </w:pPr>
      <w:r>
        <w:rPr>
          <w:rFonts w:ascii="宋体" w:hAnsi="宋体" w:eastAsia="宋体" w:cs="宋体"/>
          <w:spacing w:val="1"/>
          <w:position w:val="12"/>
          <w:sz w:val="21"/>
          <w:szCs w:val="21"/>
        </w:rPr>
        <w:t>能源加工转换投入量，指以生产二次能源产品为目的而</w:t>
      </w:r>
      <w:r>
        <w:rPr>
          <w:rFonts w:ascii="宋体" w:hAnsi="宋体" w:eastAsia="宋体" w:cs="宋体"/>
          <w:position w:val="12"/>
          <w:sz w:val="21"/>
          <w:szCs w:val="21"/>
        </w:rPr>
        <w:t>投入能源加工转换生产装置的能源(一般为</w:t>
      </w:r>
    </w:p>
    <w:p w14:paraId="2638E7E0">
      <w:pPr>
        <w:spacing w:line="219" w:lineRule="auto"/>
        <w:ind w:left="160"/>
        <w:rPr>
          <w:rFonts w:ascii="宋体" w:hAnsi="宋体" w:eastAsia="宋体" w:cs="宋体"/>
          <w:sz w:val="21"/>
          <w:szCs w:val="21"/>
        </w:rPr>
      </w:pPr>
      <w:r>
        <w:rPr>
          <w:rFonts w:ascii="宋体" w:hAnsi="宋体" w:eastAsia="宋体" w:cs="宋体"/>
          <w:spacing w:val="-7"/>
          <w:sz w:val="21"/>
          <w:szCs w:val="21"/>
        </w:rPr>
        <w:t>一次能源)的数量。</w:t>
      </w:r>
    </w:p>
    <w:p w14:paraId="3C41165E">
      <w:pPr>
        <w:spacing w:before="100" w:line="370" w:lineRule="exact"/>
        <w:ind w:right="11"/>
        <w:jc w:val="right"/>
        <w:rPr>
          <w:rFonts w:ascii="宋体" w:hAnsi="宋体" w:eastAsia="宋体" w:cs="宋体"/>
          <w:sz w:val="21"/>
          <w:szCs w:val="21"/>
        </w:rPr>
      </w:pPr>
      <w:r>
        <w:rPr>
          <w:rFonts w:ascii="宋体" w:hAnsi="宋体" w:eastAsia="宋体" w:cs="宋体"/>
          <w:spacing w:val="-1"/>
          <w:position w:val="12"/>
          <w:sz w:val="21"/>
          <w:szCs w:val="21"/>
        </w:rPr>
        <w:t>用作能源加工转换的能源不能算作用于原材料。两者的区别是：用作加工转换，投入的是能源，产</w:t>
      </w:r>
    </w:p>
    <w:p w14:paraId="63E34FF3">
      <w:pPr>
        <w:spacing w:before="1" w:line="218" w:lineRule="auto"/>
        <w:rPr>
          <w:rFonts w:ascii="宋体" w:hAnsi="宋体" w:eastAsia="宋体" w:cs="宋体"/>
          <w:sz w:val="21"/>
          <w:szCs w:val="21"/>
        </w:rPr>
      </w:pPr>
      <w:r>
        <w:rPr>
          <w:rFonts w:ascii="宋体" w:hAnsi="宋体" w:eastAsia="宋体" w:cs="宋体"/>
          <w:spacing w:val="-2"/>
          <w:sz w:val="21"/>
          <w:szCs w:val="21"/>
        </w:rPr>
        <w:t>出的主要产品还是能源；而用作原材料时，投入的是能源，产出的主要产品却是能源范畴以外的产品，</w:t>
      </w:r>
    </w:p>
    <w:p w14:paraId="0508BD27">
      <w:pPr>
        <w:spacing w:line="218" w:lineRule="auto"/>
        <w:rPr>
          <w:rFonts w:ascii="宋体" w:hAnsi="宋体" w:eastAsia="宋体" w:cs="宋体"/>
          <w:sz w:val="21"/>
          <w:szCs w:val="21"/>
        </w:rPr>
        <w:sectPr>
          <w:headerReference r:id="rId68" w:type="default"/>
          <w:pgSz w:w="11910" w:h="16840"/>
          <w:pgMar w:top="1048" w:right="1245" w:bottom="400" w:left="1229" w:header="838" w:footer="0" w:gutter="0"/>
          <w:cols w:space="720" w:num="1"/>
        </w:sectPr>
      </w:pPr>
    </w:p>
    <w:p w14:paraId="00C7C35C">
      <w:pPr>
        <w:pStyle w:val="2"/>
        <w:spacing w:line="305" w:lineRule="auto"/>
      </w:pPr>
    </w:p>
    <w:p w14:paraId="375D663E">
      <w:pPr>
        <w:spacing w:before="69" w:line="269" w:lineRule="auto"/>
        <w:ind w:right="79"/>
        <w:rPr>
          <w:rFonts w:ascii="宋体" w:hAnsi="宋体" w:eastAsia="宋体" w:cs="宋体"/>
          <w:sz w:val="21"/>
          <w:szCs w:val="21"/>
        </w:rPr>
      </w:pPr>
      <w:r>
        <w:rPr>
          <w:rFonts w:ascii="宋体" w:hAnsi="宋体" w:eastAsia="宋体" w:cs="宋体"/>
          <w:spacing w:val="6"/>
          <w:sz w:val="21"/>
          <w:szCs w:val="21"/>
        </w:rPr>
        <w:t>包括产出的某种产品在广义上可以用作能源(比如可以燃烧以提供热量),但通常意义上不作能源使用</w:t>
      </w:r>
      <w:r>
        <w:rPr>
          <w:rFonts w:ascii="宋体" w:hAnsi="宋体" w:eastAsia="宋体" w:cs="宋体"/>
          <w:sz w:val="21"/>
          <w:szCs w:val="21"/>
        </w:rPr>
        <w:t xml:space="preserve"> </w:t>
      </w:r>
      <w:r>
        <w:rPr>
          <w:rFonts w:ascii="宋体" w:hAnsi="宋体" w:eastAsia="宋体" w:cs="宋体"/>
          <w:spacing w:val="-11"/>
          <w:sz w:val="21"/>
          <w:szCs w:val="21"/>
        </w:rPr>
        <w:t>的产品。</w:t>
      </w:r>
    </w:p>
    <w:p w14:paraId="718C44FF">
      <w:pPr>
        <w:spacing w:before="101" w:line="220" w:lineRule="auto"/>
        <w:ind w:left="430"/>
        <w:rPr>
          <w:rFonts w:ascii="宋体" w:hAnsi="宋体" w:eastAsia="宋体" w:cs="宋体"/>
          <w:sz w:val="21"/>
          <w:szCs w:val="21"/>
        </w:rPr>
      </w:pPr>
      <w:r>
        <w:rPr>
          <w:rFonts w:ascii="宋体" w:hAnsi="宋体" w:eastAsia="宋体" w:cs="宋体"/>
          <w:spacing w:val="-4"/>
          <w:sz w:val="21"/>
          <w:szCs w:val="21"/>
        </w:rPr>
        <w:t>能源加工转换企业的能源投入量不包括：</w:t>
      </w:r>
    </w:p>
    <w:p w14:paraId="3F3277F5">
      <w:pPr>
        <w:spacing w:before="98" w:line="380" w:lineRule="exact"/>
        <w:ind w:left="550"/>
        <w:rPr>
          <w:rFonts w:ascii="宋体" w:hAnsi="宋体" w:eastAsia="宋体" w:cs="宋体"/>
          <w:sz w:val="21"/>
          <w:szCs w:val="21"/>
        </w:rPr>
      </w:pPr>
      <w:r>
        <w:rPr>
          <w:rFonts w:ascii="宋体" w:hAnsi="宋体" w:eastAsia="宋体" w:cs="宋体"/>
          <w:spacing w:val="3"/>
          <w:position w:val="12"/>
          <w:sz w:val="21"/>
          <w:szCs w:val="21"/>
        </w:rPr>
        <w:t>(1)加工转换本身的工艺用能，如发电厂的发电装置的电机用电、点火用燃料、车间通风设备用</w:t>
      </w:r>
    </w:p>
    <w:p w14:paraId="6CFBEA29">
      <w:pPr>
        <w:spacing w:line="219" w:lineRule="auto"/>
        <w:rPr>
          <w:rFonts w:ascii="宋体" w:hAnsi="宋体" w:eastAsia="宋体" w:cs="宋体"/>
          <w:sz w:val="21"/>
          <w:szCs w:val="21"/>
        </w:rPr>
      </w:pPr>
      <w:r>
        <w:rPr>
          <w:rFonts w:ascii="宋体" w:hAnsi="宋体" w:eastAsia="宋体" w:cs="宋体"/>
          <w:spacing w:val="-3"/>
          <w:sz w:val="21"/>
          <w:szCs w:val="21"/>
        </w:rPr>
        <w:t>电及其他厂用电；炼焦厂的焦炉原料预热用的焦炉煤气、设备运转用电等；</w:t>
      </w:r>
    </w:p>
    <w:p w14:paraId="3D5114D9">
      <w:pPr>
        <w:spacing w:before="110" w:line="219" w:lineRule="auto"/>
        <w:ind w:left="550"/>
        <w:rPr>
          <w:rFonts w:ascii="宋体" w:hAnsi="宋体" w:eastAsia="宋体" w:cs="宋体"/>
          <w:sz w:val="21"/>
          <w:szCs w:val="21"/>
        </w:rPr>
      </w:pPr>
      <w:r>
        <w:rPr>
          <w:rFonts w:ascii="宋体" w:hAnsi="宋体" w:eastAsia="宋体" w:cs="宋体"/>
          <w:spacing w:val="5"/>
          <w:sz w:val="21"/>
          <w:szCs w:val="21"/>
        </w:rPr>
        <w:t>(2)车间用能；</w:t>
      </w:r>
    </w:p>
    <w:p w14:paraId="165644F0">
      <w:pPr>
        <w:spacing w:before="101" w:line="370" w:lineRule="exact"/>
        <w:ind w:left="550"/>
        <w:rPr>
          <w:rFonts w:ascii="宋体" w:hAnsi="宋体" w:eastAsia="宋体" w:cs="宋体"/>
          <w:sz w:val="21"/>
          <w:szCs w:val="21"/>
        </w:rPr>
      </w:pPr>
      <w:r>
        <w:rPr>
          <w:rFonts w:ascii="宋体" w:hAnsi="宋体" w:eastAsia="宋体" w:cs="宋体"/>
          <w:spacing w:val="4"/>
          <w:position w:val="12"/>
          <w:sz w:val="21"/>
          <w:szCs w:val="21"/>
        </w:rPr>
        <w:t>(3)辅助生产系统用能；</w:t>
      </w:r>
    </w:p>
    <w:p w14:paraId="22494E28">
      <w:pPr>
        <w:spacing w:line="219" w:lineRule="auto"/>
        <w:ind w:left="550"/>
        <w:rPr>
          <w:rFonts w:ascii="宋体" w:hAnsi="宋体" w:eastAsia="宋体" w:cs="宋体"/>
          <w:sz w:val="21"/>
          <w:szCs w:val="21"/>
        </w:rPr>
      </w:pPr>
      <w:r>
        <w:rPr>
          <w:rFonts w:ascii="宋体" w:hAnsi="宋体" w:eastAsia="宋体" w:cs="宋体"/>
          <w:spacing w:val="5"/>
          <w:sz w:val="21"/>
          <w:szCs w:val="21"/>
        </w:rPr>
        <w:t>(4)经营管理用能；</w:t>
      </w:r>
    </w:p>
    <w:p w14:paraId="160F1CD7">
      <w:pPr>
        <w:spacing w:before="101" w:line="219" w:lineRule="auto"/>
        <w:ind w:left="550"/>
        <w:rPr>
          <w:rFonts w:ascii="宋体" w:hAnsi="宋体" w:eastAsia="宋体" w:cs="宋体"/>
          <w:sz w:val="21"/>
          <w:szCs w:val="21"/>
        </w:rPr>
      </w:pPr>
      <w:r>
        <w:rPr>
          <w:rFonts w:ascii="宋体" w:hAnsi="宋体" w:eastAsia="宋体" w:cs="宋体"/>
          <w:spacing w:val="3"/>
          <w:sz w:val="21"/>
          <w:szCs w:val="21"/>
        </w:rPr>
        <w:t>(5)除上述项目以外的其他生产用能。</w:t>
      </w:r>
    </w:p>
    <w:p w14:paraId="05C89D00">
      <w:pPr>
        <w:spacing w:before="96" w:line="270" w:lineRule="auto"/>
        <w:ind w:right="94" w:firstLine="433"/>
        <w:rPr>
          <w:rFonts w:ascii="宋体" w:hAnsi="宋体" w:eastAsia="宋体" w:cs="宋体"/>
          <w:sz w:val="21"/>
          <w:szCs w:val="21"/>
        </w:rPr>
      </w:pPr>
      <w:r>
        <w:rPr>
          <w:rFonts w:ascii="黑体" w:hAnsi="黑体" w:eastAsia="黑体" w:cs="黑体"/>
          <w:b/>
          <w:bCs/>
          <w:spacing w:val="-7"/>
          <w:sz w:val="21"/>
          <w:szCs w:val="21"/>
        </w:rPr>
        <w:t>火力发电的加工转换投入</w:t>
      </w:r>
      <w:r>
        <w:rPr>
          <w:rFonts w:ascii="黑体" w:hAnsi="黑体" w:eastAsia="黑体" w:cs="黑体"/>
          <w:spacing w:val="-7"/>
          <w:sz w:val="21"/>
          <w:szCs w:val="21"/>
        </w:rPr>
        <w:t xml:space="preserve">  </w:t>
      </w:r>
      <w:r>
        <w:rPr>
          <w:rFonts w:ascii="宋体" w:hAnsi="宋体" w:eastAsia="宋体" w:cs="宋体"/>
          <w:spacing w:val="-7"/>
          <w:sz w:val="21"/>
          <w:szCs w:val="21"/>
        </w:rPr>
        <w:t>指火力发电企业为发电而投入发电锅炉燃烧室的燃料数量。通常燃料主要</w:t>
      </w:r>
      <w:r>
        <w:rPr>
          <w:rFonts w:ascii="宋体" w:hAnsi="宋体" w:eastAsia="宋体" w:cs="宋体"/>
          <w:spacing w:val="7"/>
          <w:sz w:val="21"/>
          <w:szCs w:val="21"/>
        </w:rPr>
        <w:t xml:space="preserve"> </w:t>
      </w:r>
      <w:r>
        <w:rPr>
          <w:rFonts w:ascii="宋体" w:hAnsi="宋体" w:eastAsia="宋体" w:cs="宋体"/>
          <w:spacing w:val="-9"/>
          <w:sz w:val="21"/>
          <w:szCs w:val="21"/>
        </w:rPr>
        <w:t>有：煤炭、燃料油、天然气、焦炉煤气、高炉煤气、转炉煤气、生物质燃料、可燃废弃物和可燃垃圾等。</w:t>
      </w:r>
    </w:p>
    <w:p w14:paraId="2F62FF69">
      <w:pPr>
        <w:spacing w:before="106" w:line="269" w:lineRule="auto"/>
        <w:ind w:right="65" w:firstLine="433"/>
        <w:rPr>
          <w:rFonts w:ascii="宋体" w:hAnsi="宋体" w:eastAsia="宋体" w:cs="宋体"/>
          <w:sz w:val="21"/>
          <w:szCs w:val="21"/>
        </w:rPr>
      </w:pPr>
      <w:r>
        <w:rPr>
          <w:rFonts w:ascii="黑体" w:hAnsi="黑体" w:eastAsia="黑体" w:cs="黑体"/>
          <w:b/>
          <w:bCs/>
          <w:spacing w:val="-1"/>
          <w:sz w:val="21"/>
          <w:szCs w:val="21"/>
        </w:rPr>
        <w:t>供热的加工转换投入</w:t>
      </w:r>
      <w:r>
        <w:rPr>
          <w:rFonts w:ascii="黑体" w:hAnsi="黑体" w:eastAsia="黑体" w:cs="黑体"/>
          <w:spacing w:val="-1"/>
          <w:sz w:val="21"/>
          <w:szCs w:val="21"/>
        </w:rPr>
        <w:t xml:space="preserve">  </w:t>
      </w:r>
      <w:r>
        <w:rPr>
          <w:rFonts w:ascii="宋体" w:hAnsi="宋体" w:eastAsia="宋体" w:cs="宋体"/>
          <w:spacing w:val="-1"/>
          <w:sz w:val="21"/>
          <w:szCs w:val="21"/>
        </w:rPr>
        <w:t>指热力生产企业为生产热力</w:t>
      </w:r>
      <w:r>
        <w:rPr>
          <w:rFonts w:ascii="宋体" w:hAnsi="宋体" w:eastAsia="宋体" w:cs="宋体"/>
          <w:spacing w:val="-2"/>
          <w:sz w:val="21"/>
          <w:szCs w:val="21"/>
        </w:rPr>
        <w:t>而投入供热锅炉燃烧室的燃料数量，以及热电联</w:t>
      </w:r>
      <w:r>
        <w:rPr>
          <w:rFonts w:ascii="宋体" w:hAnsi="宋体" w:eastAsia="宋体" w:cs="宋体"/>
          <w:sz w:val="21"/>
          <w:szCs w:val="21"/>
        </w:rPr>
        <w:t xml:space="preserve"> </w:t>
      </w:r>
      <w:r>
        <w:rPr>
          <w:rFonts w:ascii="宋体" w:hAnsi="宋体" w:eastAsia="宋体" w:cs="宋体"/>
          <w:spacing w:val="-3"/>
          <w:sz w:val="21"/>
          <w:szCs w:val="21"/>
        </w:rPr>
        <w:t>产机组用于供热的燃料投入量。</w:t>
      </w:r>
    </w:p>
    <w:p w14:paraId="1D6B6E8E">
      <w:pPr>
        <w:spacing w:before="118" w:line="222" w:lineRule="auto"/>
        <w:ind w:left="433"/>
        <w:rPr>
          <w:rFonts w:ascii="宋体" w:hAnsi="宋体" w:eastAsia="宋体" w:cs="宋体"/>
          <w:sz w:val="21"/>
          <w:szCs w:val="21"/>
        </w:rPr>
      </w:pPr>
      <w:r>
        <w:rPr>
          <w:rFonts w:ascii="黑体" w:hAnsi="黑体" w:eastAsia="黑体" w:cs="黑体"/>
          <w:b/>
          <w:bCs/>
          <w:spacing w:val="-2"/>
          <w:sz w:val="21"/>
          <w:szCs w:val="21"/>
        </w:rPr>
        <w:t>原煤入洗的加工转换投入</w:t>
      </w:r>
      <w:r>
        <w:rPr>
          <w:rFonts w:ascii="黑体" w:hAnsi="黑体" w:eastAsia="黑体" w:cs="黑体"/>
          <w:spacing w:val="-2"/>
          <w:sz w:val="21"/>
          <w:szCs w:val="21"/>
        </w:rPr>
        <w:t xml:space="preserve">  </w:t>
      </w:r>
      <w:r>
        <w:rPr>
          <w:rFonts w:ascii="宋体" w:hAnsi="宋体" w:eastAsia="宋体" w:cs="宋体"/>
          <w:spacing w:val="-2"/>
          <w:sz w:val="21"/>
          <w:szCs w:val="21"/>
        </w:rPr>
        <w:t>指洗煤企业为生产洗煤而投入煤炭洗选生产装置的原煤数量。</w:t>
      </w:r>
    </w:p>
    <w:p w14:paraId="42FFCE20">
      <w:pPr>
        <w:spacing w:before="107" w:line="221" w:lineRule="auto"/>
        <w:ind w:right="20"/>
        <w:jc w:val="right"/>
        <w:rPr>
          <w:rFonts w:ascii="宋体" w:hAnsi="宋体" w:eastAsia="宋体" w:cs="宋体"/>
          <w:sz w:val="21"/>
          <w:szCs w:val="21"/>
        </w:rPr>
      </w:pPr>
      <w:r>
        <w:rPr>
          <w:rFonts w:ascii="黑体" w:hAnsi="黑体" w:eastAsia="黑体" w:cs="黑体"/>
          <w:b/>
          <w:bCs/>
          <w:sz w:val="21"/>
          <w:szCs w:val="21"/>
        </w:rPr>
        <w:t>炼焦的加工转换投入</w:t>
      </w:r>
      <w:r>
        <w:rPr>
          <w:rFonts w:ascii="黑体" w:hAnsi="黑体" w:eastAsia="黑体" w:cs="黑体"/>
          <w:sz w:val="21"/>
          <w:szCs w:val="21"/>
        </w:rPr>
        <w:t xml:space="preserve">  </w:t>
      </w:r>
      <w:r>
        <w:rPr>
          <w:rFonts w:ascii="宋体" w:hAnsi="宋体" w:eastAsia="宋体" w:cs="宋体"/>
          <w:sz w:val="21"/>
          <w:szCs w:val="21"/>
        </w:rPr>
        <w:t>指焦化企业为生产焦化产品而投入</w:t>
      </w:r>
      <w:r>
        <w:rPr>
          <w:rFonts w:ascii="宋体" w:hAnsi="宋体" w:eastAsia="宋体" w:cs="宋体"/>
          <w:spacing w:val="-1"/>
          <w:sz w:val="21"/>
          <w:szCs w:val="21"/>
        </w:rPr>
        <w:t>炼焦生产设备的煤炭(原煤、洗煤)数量。</w:t>
      </w:r>
    </w:p>
    <w:p w14:paraId="0E6DB95B">
      <w:pPr>
        <w:spacing w:before="109" w:line="301" w:lineRule="auto"/>
        <w:ind w:right="76" w:firstLine="433"/>
        <w:rPr>
          <w:rFonts w:ascii="宋体" w:hAnsi="宋体" w:eastAsia="宋体" w:cs="宋体"/>
          <w:sz w:val="21"/>
          <w:szCs w:val="21"/>
        </w:rPr>
      </w:pPr>
      <w:r>
        <w:rPr>
          <w:rFonts w:ascii="黑体" w:hAnsi="黑体" w:eastAsia="黑体" w:cs="黑体"/>
          <w:b/>
          <w:bCs/>
          <w:spacing w:val="3"/>
          <w:sz w:val="21"/>
          <w:szCs w:val="21"/>
        </w:rPr>
        <w:t>炼油及煤制油的加工转换投入</w:t>
      </w:r>
      <w:r>
        <w:rPr>
          <w:rFonts w:ascii="黑体" w:hAnsi="黑体" w:eastAsia="黑体" w:cs="黑体"/>
          <w:spacing w:val="3"/>
          <w:sz w:val="21"/>
          <w:szCs w:val="21"/>
        </w:rPr>
        <w:t xml:space="preserve">  </w:t>
      </w:r>
      <w:r>
        <w:rPr>
          <w:rFonts w:ascii="宋体" w:hAnsi="宋体" w:eastAsia="宋体" w:cs="宋体"/>
          <w:spacing w:val="3"/>
          <w:sz w:val="21"/>
          <w:szCs w:val="21"/>
        </w:rPr>
        <w:t>炼油加工转换投入是指炼油厂为生产成品油和其他石油制</w:t>
      </w:r>
      <w:r>
        <w:rPr>
          <w:rFonts w:ascii="宋体" w:hAnsi="宋体" w:eastAsia="宋体" w:cs="宋体"/>
          <w:spacing w:val="2"/>
          <w:sz w:val="21"/>
          <w:szCs w:val="21"/>
        </w:rPr>
        <w:t>品而投</w:t>
      </w:r>
      <w:r>
        <w:rPr>
          <w:rFonts w:ascii="宋体" w:hAnsi="宋体" w:eastAsia="宋体" w:cs="宋体"/>
          <w:sz w:val="21"/>
          <w:szCs w:val="21"/>
        </w:rPr>
        <w:t xml:space="preserve"> </w:t>
      </w:r>
      <w:r>
        <w:rPr>
          <w:rFonts w:ascii="宋体" w:hAnsi="宋体" w:eastAsia="宋体" w:cs="宋体"/>
          <w:spacing w:val="-2"/>
          <w:sz w:val="21"/>
          <w:szCs w:val="21"/>
        </w:rPr>
        <w:t>入炼油生产装置的原油或其他原料油数量。煤制油加工转换投入是指煤化工企业以生产成品油为目的而</w:t>
      </w:r>
      <w:r>
        <w:rPr>
          <w:rFonts w:ascii="宋体" w:hAnsi="宋体" w:eastAsia="宋体" w:cs="宋体"/>
          <w:spacing w:val="9"/>
          <w:sz w:val="21"/>
          <w:szCs w:val="21"/>
        </w:rPr>
        <w:t xml:space="preserve"> </w:t>
      </w:r>
      <w:r>
        <w:rPr>
          <w:rFonts w:ascii="宋体" w:hAnsi="宋体" w:eastAsia="宋体" w:cs="宋体"/>
          <w:spacing w:val="3"/>
          <w:sz w:val="21"/>
          <w:szCs w:val="21"/>
        </w:rPr>
        <w:t>投入煤制油化工生产装置的煤炭(原煤、洗煤)数量。煤制油是以煤炭为原料，通过化学加工过程生产</w:t>
      </w:r>
      <w:r>
        <w:rPr>
          <w:rFonts w:ascii="宋体" w:hAnsi="宋体" w:eastAsia="宋体" w:cs="宋体"/>
          <w:spacing w:val="16"/>
          <w:sz w:val="21"/>
          <w:szCs w:val="21"/>
        </w:rPr>
        <w:t xml:space="preserve"> </w:t>
      </w:r>
      <w:r>
        <w:rPr>
          <w:rFonts w:ascii="宋体" w:hAnsi="宋体" w:eastAsia="宋体" w:cs="宋体"/>
          <w:spacing w:val="-1"/>
          <w:sz w:val="21"/>
          <w:szCs w:val="21"/>
        </w:rPr>
        <w:t>成品油的一项技术，包含煤直接液化和煤间接液化两种技术路线</w:t>
      </w:r>
      <w:r>
        <w:rPr>
          <w:rFonts w:ascii="宋体" w:hAnsi="宋体" w:eastAsia="宋体" w:cs="宋体"/>
          <w:spacing w:val="-2"/>
          <w:sz w:val="21"/>
          <w:szCs w:val="21"/>
        </w:rPr>
        <w:t>。煤的直接液化是指将煤在高温高压条</w:t>
      </w:r>
      <w:r>
        <w:rPr>
          <w:rFonts w:ascii="宋体" w:hAnsi="宋体" w:eastAsia="宋体" w:cs="宋体"/>
          <w:sz w:val="21"/>
          <w:szCs w:val="21"/>
        </w:rPr>
        <w:t xml:space="preserve"> </w:t>
      </w:r>
      <w:r>
        <w:rPr>
          <w:rFonts w:ascii="宋体" w:hAnsi="宋体" w:eastAsia="宋体" w:cs="宋体"/>
          <w:spacing w:val="-1"/>
          <w:sz w:val="21"/>
          <w:szCs w:val="21"/>
        </w:rPr>
        <w:t>件下，通过催化加氢直接液化合成液态烃类燃料，并脱除硫、</w:t>
      </w:r>
      <w:r>
        <w:rPr>
          <w:rFonts w:ascii="宋体" w:hAnsi="宋体" w:eastAsia="宋体" w:cs="宋体"/>
          <w:spacing w:val="-2"/>
          <w:sz w:val="21"/>
          <w:szCs w:val="21"/>
        </w:rPr>
        <w:t>氮、氧等原子。煤的间接液化是首先把煤</w:t>
      </w:r>
      <w:r>
        <w:rPr>
          <w:rFonts w:ascii="宋体" w:hAnsi="宋体" w:eastAsia="宋体" w:cs="宋体"/>
          <w:sz w:val="21"/>
          <w:szCs w:val="21"/>
        </w:rPr>
        <w:t xml:space="preserve"> </w:t>
      </w:r>
      <w:r>
        <w:rPr>
          <w:rFonts w:ascii="宋体" w:hAnsi="宋体" w:eastAsia="宋体" w:cs="宋体"/>
          <w:spacing w:val="-3"/>
          <w:sz w:val="21"/>
          <w:szCs w:val="21"/>
        </w:rPr>
        <w:t>气化，再通过费托合成转化为烃类燃料。</w:t>
      </w:r>
    </w:p>
    <w:p w14:paraId="4C6FDAB2">
      <w:pPr>
        <w:spacing w:before="115" w:line="270" w:lineRule="auto"/>
        <w:ind w:right="96" w:firstLine="433"/>
        <w:rPr>
          <w:rFonts w:ascii="宋体" w:hAnsi="宋体" w:eastAsia="宋体" w:cs="宋体"/>
          <w:sz w:val="21"/>
          <w:szCs w:val="21"/>
        </w:rPr>
      </w:pPr>
      <w:r>
        <w:rPr>
          <w:rFonts w:ascii="黑体" w:hAnsi="黑体" w:eastAsia="黑体" w:cs="黑体"/>
          <w:b/>
          <w:bCs/>
          <w:spacing w:val="-2"/>
          <w:sz w:val="21"/>
          <w:szCs w:val="21"/>
        </w:rPr>
        <w:t>制气的加工转换投入</w:t>
      </w:r>
      <w:r>
        <w:rPr>
          <w:rFonts w:ascii="黑体" w:hAnsi="黑体" w:eastAsia="黑体" w:cs="黑体"/>
          <w:spacing w:val="-2"/>
          <w:sz w:val="21"/>
          <w:szCs w:val="21"/>
        </w:rPr>
        <w:t xml:space="preserve">  </w:t>
      </w:r>
      <w:r>
        <w:rPr>
          <w:rFonts w:ascii="宋体" w:hAnsi="宋体" w:eastAsia="宋体" w:cs="宋体"/>
          <w:spacing w:val="-2"/>
          <w:sz w:val="21"/>
          <w:szCs w:val="21"/>
        </w:rPr>
        <w:t>指煤气生产、天然气和氢气制备企业为生产煤气、制取天然</w:t>
      </w:r>
      <w:r>
        <w:rPr>
          <w:rFonts w:ascii="宋体" w:hAnsi="宋体" w:eastAsia="宋体" w:cs="宋体"/>
          <w:spacing w:val="-3"/>
          <w:sz w:val="21"/>
          <w:szCs w:val="21"/>
        </w:rPr>
        <w:t>气和氢气而投入</w:t>
      </w:r>
      <w:r>
        <w:rPr>
          <w:rFonts w:ascii="宋体" w:hAnsi="宋体" w:eastAsia="宋体" w:cs="宋体"/>
          <w:sz w:val="21"/>
          <w:szCs w:val="21"/>
        </w:rPr>
        <w:t xml:space="preserve"> </w:t>
      </w:r>
      <w:r>
        <w:rPr>
          <w:rFonts w:ascii="宋体" w:hAnsi="宋体" w:eastAsia="宋体" w:cs="宋体"/>
          <w:spacing w:val="-2"/>
          <w:sz w:val="21"/>
          <w:szCs w:val="21"/>
        </w:rPr>
        <w:t>生产装置的煤炭、焦炭、燃料油、天然气等能源产品数量。</w:t>
      </w:r>
    </w:p>
    <w:p w14:paraId="517A67A6">
      <w:pPr>
        <w:spacing w:before="87" w:line="384" w:lineRule="exact"/>
        <w:ind w:left="433"/>
        <w:rPr>
          <w:rFonts w:ascii="宋体" w:hAnsi="宋体" w:eastAsia="宋体" w:cs="宋体"/>
          <w:sz w:val="21"/>
          <w:szCs w:val="21"/>
        </w:rPr>
      </w:pPr>
      <w:r>
        <w:rPr>
          <w:rFonts w:ascii="黑体" w:hAnsi="黑体" w:eastAsia="黑体" w:cs="黑体"/>
          <w:b/>
          <w:bCs/>
          <w:spacing w:val="3"/>
          <w:position w:val="12"/>
          <w:sz w:val="21"/>
          <w:szCs w:val="21"/>
        </w:rPr>
        <w:t>天然气液化的加工转换投入</w:t>
      </w:r>
      <w:r>
        <w:rPr>
          <w:rFonts w:ascii="黑体" w:hAnsi="黑体" w:eastAsia="黑体" w:cs="黑体"/>
          <w:spacing w:val="3"/>
          <w:position w:val="12"/>
          <w:sz w:val="21"/>
          <w:szCs w:val="21"/>
        </w:rPr>
        <w:t xml:space="preserve">  </w:t>
      </w:r>
      <w:r>
        <w:rPr>
          <w:rFonts w:ascii="宋体" w:hAnsi="宋体" w:eastAsia="宋体" w:cs="宋体"/>
          <w:spacing w:val="3"/>
          <w:position w:val="12"/>
          <w:sz w:val="21"/>
          <w:szCs w:val="21"/>
        </w:rPr>
        <w:t>指天然气液化企业为生</w:t>
      </w:r>
      <w:r>
        <w:rPr>
          <w:rFonts w:ascii="宋体" w:hAnsi="宋体" w:eastAsia="宋体" w:cs="宋体"/>
          <w:spacing w:val="2"/>
          <w:position w:val="12"/>
          <w:sz w:val="21"/>
          <w:szCs w:val="21"/>
        </w:rPr>
        <w:t>产液态天然气而投入天然气液化装置的天然</w:t>
      </w:r>
    </w:p>
    <w:p w14:paraId="28029222">
      <w:pPr>
        <w:spacing w:line="219" w:lineRule="auto"/>
        <w:rPr>
          <w:rFonts w:ascii="宋体" w:hAnsi="宋体" w:eastAsia="宋体" w:cs="宋体"/>
          <w:sz w:val="21"/>
          <w:szCs w:val="21"/>
        </w:rPr>
      </w:pPr>
      <w:r>
        <w:rPr>
          <w:rFonts w:ascii="宋体" w:hAnsi="宋体" w:eastAsia="宋体" w:cs="宋体"/>
          <w:spacing w:val="-8"/>
          <w:sz w:val="21"/>
          <w:szCs w:val="21"/>
        </w:rPr>
        <w:t>气数量。</w:t>
      </w:r>
    </w:p>
    <w:p w14:paraId="278A85D9">
      <w:pPr>
        <w:spacing w:before="97" w:line="374" w:lineRule="exact"/>
        <w:ind w:left="433"/>
        <w:rPr>
          <w:rFonts w:ascii="宋体" w:hAnsi="宋体" w:eastAsia="宋体" w:cs="宋体"/>
          <w:sz w:val="21"/>
          <w:szCs w:val="21"/>
        </w:rPr>
      </w:pPr>
      <w:r>
        <w:rPr>
          <w:rFonts w:ascii="黑体" w:hAnsi="黑体" w:eastAsia="黑体" w:cs="黑体"/>
          <w:b/>
          <w:bCs/>
          <w:spacing w:val="-4"/>
          <w:position w:val="12"/>
          <w:sz w:val="21"/>
          <w:szCs w:val="21"/>
        </w:rPr>
        <w:t>煤制品加工的加工转换投入</w:t>
      </w:r>
      <w:r>
        <w:rPr>
          <w:rFonts w:ascii="黑体" w:hAnsi="黑体" w:eastAsia="黑体" w:cs="黑体"/>
          <w:spacing w:val="89"/>
          <w:position w:val="12"/>
          <w:sz w:val="21"/>
          <w:szCs w:val="21"/>
        </w:rPr>
        <w:t xml:space="preserve"> </w:t>
      </w:r>
      <w:r>
        <w:rPr>
          <w:rFonts w:ascii="宋体" w:hAnsi="宋体" w:eastAsia="宋体" w:cs="宋体"/>
          <w:spacing w:val="-4"/>
          <w:position w:val="12"/>
          <w:sz w:val="21"/>
          <w:szCs w:val="21"/>
        </w:rPr>
        <w:t>指煤制品生产企业，在不改变煤炭基</w:t>
      </w:r>
      <w:r>
        <w:rPr>
          <w:rFonts w:ascii="宋体" w:hAnsi="宋体" w:eastAsia="宋体" w:cs="宋体"/>
          <w:spacing w:val="-5"/>
          <w:position w:val="12"/>
          <w:sz w:val="21"/>
          <w:szCs w:val="21"/>
        </w:rPr>
        <w:t>本属性的情况下，为生产型煤(煤</w:t>
      </w:r>
    </w:p>
    <w:p w14:paraId="7D404821">
      <w:pPr>
        <w:spacing w:line="219" w:lineRule="auto"/>
        <w:rPr>
          <w:rFonts w:ascii="宋体" w:hAnsi="宋体" w:eastAsia="宋体" w:cs="宋体"/>
          <w:sz w:val="21"/>
          <w:szCs w:val="21"/>
        </w:rPr>
      </w:pPr>
      <w:r>
        <w:rPr>
          <w:rFonts w:ascii="宋体" w:hAnsi="宋体" w:eastAsia="宋体" w:cs="宋体"/>
          <w:spacing w:val="2"/>
          <w:sz w:val="21"/>
          <w:szCs w:val="21"/>
        </w:rPr>
        <w:t>球、煤饼、蜂窝煤)、煤粉、水煤浆等煤制品而使用的原煤或其他煤炭产</w:t>
      </w:r>
      <w:r>
        <w:rPr>
          <w:rFonts w:ascii="宋体" w:hAnsi="宋体" w:eastAsia="宋体" w:cs="宋体"/>
          <w:spacing w:val="1"/>
          <w:sz w:val="21"/>
          <w:szCs w:val="21"/>
        </w:rPr>
        <w:t>品的数量。</w:t>
      </w:r>
    </w:p>
    <w:p w14:paraId="7269B3F0">
      <w:pPr>
        <w:spacing w:before="96" w:line="301" w:lineRule="auto"/>
        <w:ind w:right="86" w:firstLine="433"/>
        <w:rPr>
          <w:rFonts w:ascii="宋体" w:hAnsi="宋体" w:eastAsia="宋体" w:cs="宋体"/>
          <w:sz w:val="21"/>
          <w:szCs w:val="21"/>
        </w:rPr>
      </w:pPr>
      <w:r>
        <w:rPr>
          <w:rFonts w:ascii="黑体" w:hAnsi="黑体" w:eastAsia="黑体" w:cs="黑体"/>
          <w:b/>
          <w:bCs/>
          <w:spacing w:val="1"/>
          <w:sz w:val="21"/>
          <w:szCs w:val="21"/>
        </w:rPr>
        <w:t>能源加工转换产出量</w:t>
      </w:r>
      <w:r>
        <w:rPr>
          <w:rFonts w:ascii="黑体" w:hAnsi="黑体" w:eastAsia="黑体" w:cs="黑体"/>
          <w:spacing w:val="82"/>
          <w:sz w:val="21"/>
          <w:szCs w:val="21"/>
        </w:rPr>
        <w:t xml:space="preserve"> </w:t>
      </w:r>
      <w:r>
        <w:rPr>
          <w:rFonts w:ascii="宋体" w:hAnsi="宋体" w:eastAsia="宋体" w:cs="宋体"/>
          <w:spacing w:val="1"/>
          <w:sz w:val="21"/>
          <w:szCs w:val="21"/>
        </w:rPr>
        <w:t>指一次能源经过加工转换产出的二次能源产品(包括不作能源使用的其他副</w:t>
      </w:r>
      <w:r>
        <w:rPr>
          <w:rFonts w:ascii="宋体" w:hAnsi="宋体" w:eastAsia="宋体" w:cs="宋体"/>
          <w:sz w:val="21"/>
          <w:szCs w:val="21"/>
        </w:rPr>
        <w:t xml:space="preserve"> </w:t>
      </w:r>
      <w:r>
        <w:rPr>
          <w:rFonts w:ascii="宋体" w:hAnsi="宋体" w:eastAsia="宋体" w:cs="宋体"/>
          <w:spacing w:val="1"/>
          <w:sz w:val="21"/>
          <w:szCs w:val="21"/>
        </w:rPr>
        <w:t>产品和联产品)的数量，比如火力发电产出的电力，热电联产同时产出的电力、蒸汽、热水，</w:t>
      </w:r>
      <w:r>
        <w:rPr>
          <w:rFonts w:ascii="宋体" w:hAnsi="宋体" w:eastAsia="宋体" w:cs="宋体"/>
          <w:sz w:val="21"/>
          <w:szCs w:val="21"/>
        </w:rPr>
        <w:t xml:space="preserve">原煤入洗 </w:t>
      </w:r>
      <w:r>
        <w:rPr>
          <w:rFonts w:ascii="宋体" w:hAnsi="宋体" w:eastAsia="宋体" w:cs="宋体"/>
          <w:spacing w:val="5"/>
          <w:sz w:val="21"/>
          <w:szCs w:val="21"/>
        </w:rPr>
        <w:t>产出的洗精煤、洗中煤、洗煤泥等，炼焦产出的焦炭、焦炉煤气和其他焦化产品(煤焦</w:t>
      </w:r>
      <w:r>
        <w:rPr>
          <w:rFonts w:ascii="宋体" w:hAnsi="宋体" w:eastAsia="宋体" w:cs="宋体"/>
          <w:spacing w:val="4"/>
          <w:sz w:val="21"/>
          <w:szCs w:val="21"/>
        </w:rPr>
        <w:t>油、粗苯等),</w:t>
      </w:r>
      <w:r>
        <w:rPr>
          <w:rFonts w:ascii="宋体" w:hAnsi="宋体" w:eastAsia="宋体" w:cs="宋体"/>
          <w:sz w:val="21"/>
          <w:szCs w:val="21"/>
        </w:rPr>
        <w:t xml:space="preserve"> </w:t>
      </w:r>
      <w:r>
        <w:rPr>
          <w:rFonts w:ascii="宋体" w:hAnsi="宋体" w:eastAsia="宋体" w:cs="宋体"/>
          <w:spacing w:val="-1"/>
          <w:sz w:val="21"/>
          <w:szCs w:val="21"/>
        </w:rPr>
        <w:t>炼油和煤制油产出的汽油、煤油、柴油、燃料油、液化石油气、</w:t>
      </w:r>
      <w:r>
        <w:rPr>
          <w:rFonts w:ascii="宋体" w:hAnsi="宋体" w:eastAsia="宋体" w:cs="宋体"/>
          <w:spacing w:val="-2"/>
          <w:sz w:val="21"/>
          <w:szCs w:val="21"/>
        </w:rPr>
        <w:t>炼厂干气、石脑油、润滑油、石蜡、溶</w:t>
      </w:r>
      <w:r>
        <w:rPr>
          <w:rFonts w:ascii="宋体" w:hAnsi="宋体" w:eastAsia="宋体" w:cs="宋体"/>
          <w:sz w:val="21"/>
          <w:szCs w:val="21"/>
        </w:rPr>
        <w:t xml:space="preserve"> </w:t>
      </w:r>
      <w:r>
        <w:rPr>
          <w:rFonts w:ascii="宋体" w:hAnsi="宋体" w:eastAsia="宋体" w:cs="宋体"/>
          <w:spacing w:val="3"/>
          <w:sz w:val="21"/>
          <w:szCs w:val="21"/>
        </w:rPr>
        <w:t>剂油、石油焦、石油沥青等，制气产出的发生炉煤气、其他焦化产品(煤焦油、粗苯等)、天然气和氢</w:t>
      </w:r>
      <w:r>
        <w:rPr>
          <w:rFonts w:ascii="宋体" w:hAnsi="宋体" w:eastAsia="宋体" w:cs="宋体"/>
          <w:spacing w:val="15"/>
          <w:sz w:val="21"/>
          <w:szCs w:val="21"/>
        </w:rPr>
        <w:t xml:space="preserve"> </w:t>
      </w:r>
      <w:r>
        <w:rPr>
          <w:rFonts w:ascii="宋体" w:hAnsi="宋体" w:eastAsia="宋体" w:cs="宋体"/>
          <w:spacing w:val="-9"/>
          <w:sz w:val="21"/>
          <w:szCs w:val="21"/>
        </w:rPr>
        <w:t>气等。</w:t>
      </w:r>
    </w:p>
    <w:p w14:paraId="75BD3111">
      <w:pPr>
        <w:spacing w:before="106" w:line="221" w:lineRule="auto"/>
        <w:ind w:left="433"/>
        <w:rPr>
          <w:rFonts w:ascii="宋体" w:hAnsi="宋体" w:eastAsia="宋体" w:cs="宋体"/>
          <w:sz w:val="21"/>
          <w:szCs w:val="21"/>
        </w:rPr>
      </w:pPr>
      <w:r>
        <w:rPr>
          <w:rFonts w:ascii="黑体" w:hAnsi="黑体" w:eastAsia="黑体" w:cs="黑体"/>
          <w:b/>
          <w:bCs/>
          <w:spacing w:val="-2"/>
          <w:sz w:val="21"/>
          <w:szCs w:val="21"/>
        </w:rPr>
        <w:t>能源加工转换损失量</w:t>
      </w:r>
      <w:r>
        <w:rPr>
          <w:rFonts w:ascii="黑体" w:hAnsi="黑体" w:eastAsia="黑体" w:cs="黑体"/>
          <w:spacing w:val="87"/>
          <w:sz w:val="21"/>
          <w:szCs w:val="21"/>
        </w:rPr>
        <w:t xml:space="preserve"> </w:t>
      </w:r>
      <w:r>
        <w:rPr>
          <w:rFonts w:ascii="宋体" w:hAnsi="宋体" w:eastAsia="宋体" w:cs="宋体"/>
          <w:spacing w:val="-2"/>
          <w:sz w:val="21"/>
          <w:szCs w:val="21"/>
        </w:rPr>
        <w:t>指能源在加工、转换过程中的各种损失量，计算公式如下：</w:t>
      </w:r>
    </w:p>
    <w:p w14:paraId="25F70A33">
      <w:pPr>
        <w:spacing w:before="123" w:line="219" w:lineRule="auto"/>
        <w:ind w:left="430"/>
        <w:rPr>
          <w:rFonts w:ascii="宋体" w:hAnsi="宋体" w:eastAsia="宋体" w:cs="宋体"/>
          <w:sz w:val="21"/>
          <w:szCs w:val="21"/>
        </w:rPr>
      </w:pPr>
      <w:r>
        <w:rPr>
          <w:rFonts w:ascii="宋体" w:hAnsi="宋体" w:eastAsia="宋体" w:cs="宋体"/>
          <w:spacing w:val="2"/>
          <w:sz w:val="21"/>
          <w:szCs w:val="21"/>
        </w:rPr>
        <w:t>能源加工转换损失量=能源加工、转换过程中投入的能源数量一产出的能源数量</w:t>
      </w:r>
    </w:p>
    <w:p w14:paraId="0BEA06BF">
      <w:pPr>
        <w:spacing w:before="111" w:line="264" w:lineRule="auto"/>
        <w:ind w:right="96" w:firstLine="430"/>
        <w:rPr>
          <w:rFonts w:ascii="宋体" w:hAnsi="宋体" w:eastAsia="宋体" w:cs="宋体"/>
          <w:sz w:val="21"/>
          <w:szCs w:val="21"/>
        </w:rPr>
      </w:pPr>
      <w:r>
        <w:rPr>
          <w:rFonts w:ascii="宋体" w:hAnsi="宋体" w:eastAsia="宋体" w:cs="宋体"/>
          <w:spacing w:val="-2"/>
          <w:sz w:val="21"/>
          <w:szCs w:val="21"/>
        </w:rPr>
        <w:t>在计算能源加工、转换损失量时，需要将加工、转换的投入量和产出量分别折算为标准燃料，如标</w:t>
      </w:r>
      <w:r>
        <w:rPr>
          <w:rFonts w:ascii="宋体" w:hAnsi="宋体" w:eastAsia="宋体" w:cs="宋体"/>
          <w:spacing w:val="13"/>
          <w:sz w:val="21"/>
          <w:szCs w:val="21"/>
        </w:rPr>
        <w:t xml:space="preserve"> </w:t>
      </w:r>
      <w:r>
        <w:rPr>
          <w:rFonts w:ascii="宋体" w:hAnsi="宋体" w:eastAsia="宋体" w:cs="宋体"/>
          <w:spacing w:val="-9"/>
          <w:sz w:val="21"/>
          <w:szCs w:val="21"/>
        </w:rPr>
        <w:t>准煤。</w:t>
      </w:r>
    </w:p>
    <w:p w14:paraId="3D9BD274">
      <w:pPr>
        <w:spacing w:before="105" w:line="374" w:lineRule="exact"/>
        <w:jc w:val="right"/>
        <w:rPr>
          <w:rFonts w:ascii="宋体" w:hAnsi="宋体" w:eastAsia="宋体" w:cs="宋体"/>
          <w:sz w:val="21"/>
          <w:szCs w:val="21"/>
        </w:rPr>
      </w:pPr>
      <w:r>
        <w:rPr>
          <w:rFonts w:ascii="黑体" w:hAnsi="黑体" w:eastAsia="黑体" w:cs="黑体"/>
          <w:b/>
          <w:bCs/>
          <w:spacing w:val="-4"/>
          <w:position w:val="12"/>
          <w:sz w:val="21"/>
          <w:szCs w:val="21"/>
        </w:rPr>
        <w:t>工业企业回收能利用</w:t>
      </w:r>
      <w:r>
        <w:rPr>
          <w:rFonts w:ascii="黑体" w:hAnsi="黑体" w:eastAsia="黑体" w:cs="黑体"/>
          <w:spacing w:val="91"/>
          <w:position w:val="12"/>
          <w:sz w:val="21"/>
          <w:szCs w:val="21"/>
        </w:rPr>
        <w:t xml:space="preserve"> </w:t>
      </w:r>
      <w:r>
        <w:rPr>
          <w:rFonts w:ascii="宋体" w:hAnsi="宋体" w:eastAsia="宋体" w:cs="宋体"/>
          <w:spacing w:val="-4"/>
          <w:position w:val="12"/>
          <w:sz w:val="21"/>
          <w:szCs w:val="21"/>
        </w:rPr>
        <w:t>指企业将废气、废液、废</w:t>
      </w:r>
      <w:r>
        <w:rPr>
          <w:rFonts w:ascii="宋体" w:hAnsi="宋体" w:eastAsia="宋体" w:cs="宋体"/>
          <w:spacing w:val="-5"/>
          <w:position w:val="12"/>
          <w:sz w:val="21"/>
          <w:szCs w:val="21"/>
        </w:rPr>
        <w:t>渣及其余热，产品和工艺生产介质余热，工艺温差、</w:t>
      </w:r>
    </w:p>
    <w:p w14:paraId="6FD2FAB7">
      <w:pPr>
        <w:spacing w:line="219" w:lineRule="auto"/>
        <w:rPr>
          <w:rFonts w:ascii="宋体" w:hAnsi="宋体" w:eastAsia="宋体" w:cs="宋体"/>
          <w:sz w:val="21"/>
          <w:szCs w:val="21"/>
        </w:rPr>
      </w:pPr>
      <w:r>
        <w:rPr>
          <w:rFonts w:ascii="宋体" w:hAnsi="宋体" w:eastAsia="宋体" w:cs="宋体"/>
          <w:spacing w:val="-1"/>
          <w:sz w:val="21"/>
          <w:szCs w:val="21"/>
        </w:rPr>
        <w:t>压差，以及其他非直接投入的能量形态和能量物质，作为能源进行使用</w:t>
      </w:r>
      <w:r>
        <w:rPr>
          <w:rFonts w:ascii="宋体" w:hAnsi="宋体" w:eastAsia="宋体" w:cs="宋体"/>
          <w:spacing w:val="-2"/>
          <w:sz w:val="21"/>
          <w:szCs w:val="21"/>
        </w:rPr>
        <w:t>的数量。目前工业企业回收的能</w:t>
      </w:r>
    </w:p>
    <w:p w14:paraId="44B4F83D">
      <w:pPr>
        <w:spacing w:line="219" w:lineRule="auto"/>
        <w:rPr>
          <w:rFonts w:ascii="宋体" w:hAnsi="宋体" w:eastAsia="宋体" w:cs="宋体"/>
          <w:sz w:val="21"/>
          <w:szCs w:val="21"/>
        </w:rPr>
        <w:sectPr>
          <w:headerReference r:id="rId69" w:type="default"/>
          <w:pgSz w:w="11910" w:h="16840"/>
          <w:pgMar w:top="1109" w:right="1194" w:bottom="400" w:left="1229" w:header="838" w:footer="0" w:gutter="0"/>
          <w:cols w:space="720" w:num="1"/>
        </w:sectPr>
      </w:pPr>
    </w:p>
    <w:p w14:paraId="0D6BBE3B">
      <w:pPr>
        <w:pStyle w:val="2"/>
        <w:spacing w:line="349" w:lineRule="auto"/>
      </w:pPr>
    </w:p>
    <w:p w14:paraId="537BE334">
      <w:pPr>
        <w:tabs>
          <w:tab w:val="left" w:pos="130"/>
        </w:tabs>
        <w:spacing w:before="68" w:line="284" w:lineRule="auto"/>
        <w:jc w:val="right"/>
        <w:rPr>
          <w:rFonts w:ascii="宋体" w:hAnsi="宋体" w:eastAsia="宋体" w:cs="宋体"/>
          <w:sz w:val="21"/>
          <w:szCs w:val="21"/>
        </w:rPr>
      </w:pPr>
      <w:r>
        <w:rPr>
          <w:rFonts w:ascii="宋体" w:hAnsi="宋体" w:eastAsia="宋体" w:cs="宋体"/>
          <w:spacing w:val="-2"/>
          <w:sz w:val="21"/>
          <w:szCs w:val="21"/>
        </w:rPr>
        <w:t>量，绝大部分来自企业曾经投入使用的能源物质，很小部分来自其他物质在生产工艺过程中释放的能量</w:t>
      </w:r>
      <w:r>
        <w:rPr>
          <w:rFonts w:ascii="宋体" w:hAnsi="宋体" w:eastAsia="宋体" w:cs="宋体"/>
          <w:spacing w:val="3"/>
          <w:sz w:val="21"/>
          <w:szCs w:val="21"/>
        </w:rPr>
        <w:t xml:space="preserve">  </w:t>
      </w:r>
      <w:r>
        <w:rPr>
          <w:rFonts w:ascii="宋体" w:hAnsi="宋体" w:eastAsia="宋体" w:cs="宋体"/>
          <w:sz w:val="21"/>
          <w:szCs w:val="21"/>
        </w:rPr>
        <w:tab/>
      </w:r>
      <w:r>
        <w:rPr>
          <w:rFonts w:ascii="宋体" w:hAnsi="宋体" w:eastAsia="宋体" w:cs="宋体"/>
          <w:spacing w:val="1"/>
          <w:sz w:val="21"/>
          <w:szCs w:val="21"/>
        </w:rPr>
        <w:t>(比如非能源物质的化学反应热)。所以，目前企业回收能利用量，只在报表中的氢气</w:t>
      </w:r>
      <w:r>
        <w:rPr>
          <w:rFonts w:ascii="宋体" w:hAnsi="宋体" w:eastAsia="宋体" w:cs="宋体"/>
          <w:sz w:val="21"/>
          <w:szCs w:val="21"/>
        </w:rPr>
        <w:t xml:space="preserve">、高炉煤气、转 </w:t>
      </w:r>
      <w:r>
        <w:rPr>
          <w:rFonts w:ascii="宋体" w:hAnsi="宋体" w:eastAsia="宋体" w:cs="宋体"/>
          <w:spacing w:val="-4"/>
          <w:sz w:val="21"/>
          <w:szCs w:val="21"/>
        </w:rPr>
        <w:t>炉煤气和余热余压目录中填报，其他目录原则上不得填报；企业的综合能源消</w:t>
      </w:r>
      <w:r>
        <w:rPr>
          <w:rFonts w:ascii="宋体" w:hAnsi="宋体" w:eastAsia="宋体" w:cs="宋体"/>
          <w:spacing w:val="-5"/>
          <w:sz w:val="21"/>
          <w:szCs w:val="21"/>
        </w:rPr>
        <w:t>费量原则上不得出现负值。</w:t>
      </w:r>
    </w:p>
    <w:p w14:paraId="605B01F5">
      <w:pPr>
        <w:pStyle w:val="2"/>
        <w:spacing w:line="473" w:lineRule="auto"/>
      </w:pPr>
    </w:p>
    <w:p w14:paraId="5D0D22B2">
      <w:pPr>
        <w:spacing w:before="91" w:line="222" w:lineRule="auto"/>
        <w:ind w:left="2564"/>
        <w:rPr>
          <w:rFonts w:ascii="黑体" w:hAnsi="黑体" w:eastAsia="黑体" w:cs="黑体"/>
          <w:sz w:val="28"/>
          <w:szCs w:val="28"/>
        </w:rPr>
      </w:pPr>
      <w:bookmarkStart w:id="22" w:name="bookmark29"/>
      <w:bookmarkEnd w:id="22"/>
      <w:r>
        <w:rPr>
          <w:rFonts w:ascii="黑体" w:hAnsi="黑体" w:eastAsia="黑体" w:cs="黑体"/>
          <w:b/>
          <w:bCs/>
          <w:spacing w:val="11"/>
          <w:sz w:val="28"/>
          <w:szCs w:val="28"/>
        </w:rPr>
        <w:t>(三)工业企业用水情况(205-4表)</w:t>
      </w:r>
    </w:p>
    <w:p w14:paraId="7E52EAEA">
      <w:pPr>
        <w:spacing w:before="291" w:line="270" w:lineRule="auto"/>
        <w:ind w:right="92" w:firstLine="423"/>
        <w:rPr>
          <w:rFonts w:ascii="宋体" w:hAnsi="宋体" w:eastAsia="宋体" w:cs="宋体"/>
          <w:sz w:val="21"/>
          <w:szCs w:val="21"/>
        </w:rPr>
      </w:pPr>
      <w:r>
        <w:rPr>
          <w:rFonts w:ascii="黑体" w:hAnsi="黑体" w:eastAsia="黑体" w:cs="黑体"/>
          <w:b/>
          <w:bCs/>
          <w:spacing w:val="-2"/>
          <w:sz w:val="21"/>
          <w:szCs w:val="21"/>
        </w:rPr>
        <w:t>取水量</w:t>
      </w:r>
      <w:r>
        <w:rPr>
          <w:rFonts w:ascii="黑体" w:hAnsi="黑体" w:eastAsia="黑体" w:cs="黑体"/>
          <w:spacing w:val="100"/>
          <w:sz w:val="21"/>
          <w:szCs w:val="21"/>
        </w:rPr>
        <w:t xml:space="preserve"> </w:t>
      </w:r>
      <w:r>
        <w:rPr>
          <w:rFonts w:ascii="宋体" w:hAnsi="宋体" w:eastAsia="宋体" w:cs="宋体"/>
          <w:spacing w:val="-2"/>
          <w:sz w:val="21"/>
          <w:szCs w:val="21"/>
        </w:rPr>
        <w:t>指企业从各种水源直接提取或者从市场购买的用于厂区、办公区内工业生产活动的水量，</w:t>
      </w:r>
      <w:r>
        <w:rPr>
          <w:rFonts w:ascii="宋体" w:hAnsi="宋体" w:eastAsia="宋体" w:cs="宋体"/>
          <w:sz w:val="21"/>
          <w:szCs w:val="21"/>
        </w:rPr>
        <w:t xml:space="preserve"> </w:t>
      </w:r>
      <w:r>
        <w:rPr>
          <w:rFonts w:ascii="宋体" w:hAnsi="宋体" w:eastAsia="宋体" w:cs="宋体"/>
          <w:spacing w:val="-5"/>
          <w:sz w:val="21"/>
          <w:szCs w:val="21"/>
        </w:rPr>
        <w:t>以实际获得的新水量为准。</w:t>
      </w:r>
    </w:p>
    <w:p w14:paraId="12E142EF">
      <w:pPr>
        <w:spacing w:before="111" w:line="292" w:lineRule="auto"/>
        <w:ind w:right="66" w:firstLine="420"/>
        <w:rPr>
          <w:rFonts w:ascii="宋体" w:hAnsi="宋体" w:eastAsia="宋体" w:cs="宋体"/>
          <w:sz w:val="21"/>
          <w:szCs w:val="21"/>
        </w:rPr>
      </w:pPr>
      <w:r>
        <w:rPr>
          <w:rFonts w:ascii="宋体" w:hAnsi="宋体" w:eastAsia="宋体" w:cs="宋体"/>
          <w:spacing w:val="4"/>
          <w:sz w:val="21"/>
          <w:szCs w:val="21"/>
        </w:rPr>
        <w:t>用于工业生产活动的水量，包括主要生产用水、辅助生产用水(</w:t>
      </w:r>
      <w:r>
        <w:rPr>
          <w:rFonts w:ascii="宋体" w:hAnsi="宋体" w:eastAsia="宋体" w:cs="宋体"/>
          <w:spacing w:val="3"/>
          <w:sz w:val="21"/>
          <w:szCs w:val="21"/>
        </w:rPr>
        <w:t>如机修、运输、空压站等)和附属</w:t>
      </w:r>
      <w:r>
        <w:rPr>
          <w:rFonts w:ascii="宋体" w:hAnsi="宋体" w:eastAsia="宋体" w:cs="宋体"/>
          <w:sz w:val="21"/>
          <w:szCs w:val="21"/>
        </w:rPr>
        <w:t xml:space="preserve"> </w:t>
      </w:r>
      <w:r>
        <w:rPr>
          <w:rFonts w:ascii="宋体" w:hAnsi="宋体" w:eastAsia="宋体" w:cs="宋体"/>
          <w:spacing w:val="8"/>
          <w:sz w:val="21"/>
          <w:szCs w:val="21"/>
        </w:rPr>
        <w:t>生产用水(如绿化、办公室、浴室、食堂、厕所、保</w:t>
      </w:r>
      <w:r>
        <w:rPr>
          <w:rFonts w:ascii="宋体" w:hAnsi="宋体" w:eastAsia="宋体" w:cs="宋体"/>
          <w:spacing w:val="7"/>
          <w:sz w:val="21"/>
          <w:szCs w:val="21"/>
        </w:rPr>
        <w:t>健站等),不包括非工业生产单位的用水量(如基</w:t>
      </w:r>
      <w:r>
        <w:rPr>
          <w:rFonts w:ascii="宋体" w:hAnsi="宋体" w:eastAsia="宋体" w:cs="宋体"/>
          <w:sz w:val="21"/>
          <w:szCs w:val="21"/>
        </w:rPr>
        <w:t xml:space="preserve"> </w:t>
      </w:r>
      <w:r>
        <w:rPr>
          <w:rFonts w:ascii="宋体" w:hAnsi="宋体" w:eastAsia="宋体" w:cs="宋体"/>
          <w:spacing w:val="1"/>
          <w:sz w:val="21"/>
          <w:szCs w:val="21"/>
        </w:rPr>
        <w:t>建用水、厂内居民家庭用水和企业附属幼儿园、学校、</w:t>
      </w:r>
      <w:r>
        <w:rPr>
          <w:rFonts w:ascii="宋体" w:hAnsi="宋体" w:eastAsia="宋体" w:cs="宋体"/>
          <w:sz w:val="21"/>
          <w:szCs w:val="21"/>
        </w:rPr>
        <w:t xml:space="preserve">对外营业的浴室、游泳池等的用水量)和居民生 </w:t>
      </w:r>
      <w:r>
        <w:rPr>
          <w:rFonts w:ascii="宋体" w:hAnsi="宋体" w:eastAsia="宋体" w:cs="宋体"/>
          <w:spacing w:val="-7"/>
          <w:sz w:val="21"/>
          <w:szCs w:val="21"/>
        </w:rPr>
        <w:t>活用水量。</w:t>
      </w:r>
    </w:p>
    <w:p w14:paraId="60A5C1A0">
      <w:pPr>
        <w:spacing w:before="111" w:line="292" w:lineRule="auto"/>
        <w:ind w:firstLine="420"/>
        <w:rPr>
          <w:rFonts w:ascii="宋体" w:hAnsi="宋体" w:eastAsia="宋体" w:cs="宋体"/>
          <w:sz w:val="21"/>
          <w:szCs w:val="21"/>
        </w:rPr>
      </w:pPr>
      <w:r>
        <w:rPr>
          <w:rFonts w:ascii="宋体" w:hAnsi="宋体" w:eastAsia="宋体" w:cs="宋体"/>
          <w:sz w:val="21"/>
          <w:szCs w:val="21"/>
        </w:rPr>
        <w:t>取水量包括企业取自地表、地下、城镇供水工程的水，外购的再生水(中水)、其他水或水的产品，</w:t>
      </w:r>
      <w:r>
        <w:rPr>
          <w:rFonts w:ascii="宋体" w:hAnsi="宋体" w:eastAsia="宋体" w:cs="宋体"/>
          <w:spacing w:val="13"/>
          <w:sz w:val="21"/>
          <w:szCs w:val="21"/>
        </w:rPr>
        <w:t xml:space="preserve"> </w:t>
      </w:r>
      <w:r>
        <w:rPr>
          <w:rFonts w:ascii="宋体" w:hAnsi="宋体" w:eastAsia="宋体" w:cs="宋体"/>
          <w:spacing w:val="-2"/>
          <w:sz w:val="21"/>
          <w:szCs w:val="21"/>
        </w:rPr>
        <w:t>以及企业为生产外供水或水产品而取用的水。不包括重复用水量、直流冷却水量、未利用直接排放的矿</w:t>
      </w:r>
      <w:r>
        <w:rPr>
          <w:rFonts w:ascii="宋体" w:hAnsi="宋体" w:eastAsia="宋体" w:cs="宋体"/>
          <w:spacing w:val="4"/>
          <w:sz w:val="21"/>
          <w:szCs w:val="21"/>
        </w:rPr>
        <w:t xml:space="preserve">  </w:t>
      </w:r>
      <w:r>
        <w:rPr>
          <w:rFonts w:ascii="宋体" w:hAnsi="宋体" w:eastAsia="宋体" w:cs="宋体"/>
          <w:spacing w:val="3"/>
          <w:sz w:val="21"/>
          <w:szCs w:val="21"/>
        </w:rPr>
        <w:t>井水和雨水量、有污水处理设备的企业处理的污(废)水量、水力发电动力用水量。不</w:t>
      </w:r>
      <w:r>
        <w:rPr>
          <w:rFonts w:ascii="宋体" w:hAnsi="宋体" w:eastAsia="宋体" w:cs="宋体"/>
          <w:spacing w:val="2"/>
          <w:sz w:val="21"/>
          <w:szCs w:val="21"/>
        </w:rPr>
        <w:t>包括为转供给其</w:t>
      </w:r>
      <w:r>
        <w:rPr>
          <w:rFonts w:ascii="宋体" w:hAnsi="宋体" w:eastAsia="宋体" w:cs="宋体"/>
          <w:sz w:val="21"/>
          <w:szCs w:val="21"/>
        </w:rPr>
        <w:t xml:space="preserve">  </w:t>
      </w:r>
      <w:r>
        <w:rPr>
          <w:rFonts w:ascii="宋体" w:hAnsi="宋体" w:eastAsia="宋体" w:cs="宋体"/>
          <w:spacing w:val="-3"/>
          <w:sz w:val="21"/>
          <w:szCs w:val="21"/>
        </w:rPr>
        <w:t>他企业、居民等而取的自来水。</w:t>
      </w:r>
    </w:p>
    <w:p w14:paraId="7DD7064D">
      <w:pPr>
        <w:spacing w:before="105" w:line="293" w:lineRule="auto"/>
        <w:ind w:right="79" w:firstLine="423"/>
        <w:rPr>
          <w:rFonts w:ascii="宋体" w:hAnsi="宋体" w:eastAsia="宋体" w:cs="宋体"/>
          <w:sz w:val="21"/>
          <w:szCs w:val="21"/>
        </w:rPr>
      </w:pPr>
      <w:r>
        <w:rPr>
          <w:rFonts w:ascii="黑体" w:hAnsi="黑体" w:eastAsia="黑体" w:cs="黑体"/>
          <w:b/>
          <w:bCs/>
          <w:spacing w:val="-2"/>
          <w:sz w:val="21"/>
          <w:szCs w:val="21"/>
        </w:rPr>
        <w:t>外供水量</w:t>
      </w:r>
      <w:r>
        <w:rPr>
          <w:rFonts w:ascii="黑体" w:hAnsi="黑体" w:eastAsia="黑体" w:cs="黑体"/>
          <w:spacing w:val="98"/>
          <w:sz w:val="21"/>
          <w:szCs w:val="21"/>
        </w:rPr>
        <w:t xml:space="preserve"> </w:t>
      </w:r>
      <w:r>
        <w:rPr>
          <w:rFonts w:ascii="宋体" w:hAnsi="宋体" w:eastAsia="宋体" w:cs="宋体"/>
          <w:spacing w:val="-2"/>
          <w:sz w:val="21"/>
          <w:szCs w:val="21"/>
        </w:rPr>
        <w:t>指企业外供给其他单位的水或水产品的量，以离厂水量为准。包括外供给其他企业或市</w:t>
      </w:r>
      <w:r>
        <w:rPr>
          <w:rFonts w:ascii="宋体" w:hAnsi="宋体" w:eastAsia="宋体" w:cs="宋体"/>
          <w:sz w:val="21"/>
          <w:szCs w:val="21"/>
        </w:rPr>
        <w:t xml:space="preserve"> </w:t>
      </w:r>
      <w:r>
        <w:rPr>
          <w:rFonts w:ascii="宋体" w:hAnsi="宋体" w:eastAsia="宋体" w:cs="宋体"/>
          <w:spacing w:val="3"/>
          <w:sz w:val="21"/>
          <w:szCs w:val="21"/>
        </w:rPr>
        <w:t>场的原水、自来水、海水淡化水、矿泉水、纯净水等。不包括直流冷却水量、再生水(中水)、未利用</w:t>
      </w:r>
      <w:r>
        <w:rPr>
          <w:rFonts w:ascii="宋体" w:hAnsi="宋体" w:eastAsia="宋体" w:cs="宋体"/>
          <w:spacing w:val="9"/>
          <w:sz w:val="21"/>
          <w:szCs w:val="21"/>
        </w:rPr>
        <w:t xml:space="preserve"> </w:t>
      </w:r>
      <w:r>
        <w:rPr>
          <w:rFonts w:ascii="宋体" w:hAnsi="宋体" w:eastAsia="宋体" w:cs="宋体"/>
          <w:spacing w:val="-2"/>
          <w:sz w:val="21"/>
          <w:szCs w:val="21"/>
        </w:rPr>
        <w:t>直接排放的矿井水和雨水量、北方地区供暖企业供给城镇热力网内循环的热水量、进入城镇污水管网和</w:t>
      </w:r>
      <w:r>
        <w:rPr>
          <w:rFonts w:ascii="宋体" w:hAnsi="宋体" w:eastAsia="宋体" w:cs="宋体"/>
          <w:spacing w:val="16"/>
          <w:sz w:val="21"/>
          <w:szCs w:val="21"/>
        </w:rPr>
        <w:t xml:space="preserve"> </w:t>
      </w:r>
      <w:r>
        <w:rPr>
          <w:rFonts w:ascii="宋体" w:hAnsi="宋体" w:eastAsia="宋体" w:cs="宋体"/>
          <w:spacing w:val="-1"/>
          <w:sz w:val="21"/>
          <w:szCs w:val="21"/>
        </w:rPr>
        <w:t>直接排到自然环境中的水量。不包括取来直接转供给其他企业、居民等</w:t>
      </w:r>
      <w:r>
        <w:rPr>
          <w:rFonts w:ascii="宋体" w:hAnsi="宋体" w:eastAsia="宋体" w:cs="宋体"/>
          <w:spacing w:val="-2"/>
          <w:sz w:val="21"/>
          <w:szCs w:val="21"/>
        </w:rPr>
        <w:t>的自来水。</w:t>
      </w:r>
    </w:p>
    <w:p w14:paraId="4C7E4AEC">
      <w:pPr>
        <w:spacing w:before="108" w:line="222" w:lineRule="auto"/>
        <w:ind w:left="423"/>
        <w:rPr>
          <w:rFonts w:ascii="宋体" w:hAnsi="宋体" w:eastAsia="宋体" w:cs="宋体"/>
          <w:sz w:val="21"/>
          <w:szCs w:val="21"/>
        </w:rPr>
      </w:pPr>
      <w:r>
        <w:rPr>
          <w:rFonts w:ascii="黑体" w:hAnsi="黑体" w:eastAsia="黑体" w:cs="黑体"/>
          <w:b/>
          <w:bCs/>
          <w:spacing w:val="-2"/>
          <w:sz w:val="21"/>
          <w:szCs w:val="21"/>
        </w:rPr>
        <w:t>地表淡水</w:t>
      </w:r>
      <w:r>
        <w:rPr>
          <w:rFonts w:ascii="黑体" w:hAnsi="黑体" w:eastAsia="黑体" w:cs="黑体"/>
          <w:spacing w:val="116"/>
          <w:sz w:val="21"/>
          <w:szCs w:val="21"/>
        </w:rPr>
        <w:t xml:space="preserve"> </w:t>
      </w:r>
      <w:r>
        <w:rPr>
          <w:rFonts w:ascii="宋体" w:hAnsi="宋体" w:eastAsia="宋体" w:cs="宋体"/>
          <w:spacing w:val="-2"/>
          <w:sz w:val="21"/>
          <w:szCs w:val="21"/>
        </w:rPr>
        <w:t>指陆地表面形成的径流及地表贮存的淡水。包括江、河、淡水湖、水库等。</w:t>
      </w:r>
    </w:p>
    <w:p w14:paraId="3D4B1815">
      <w:pPr>
        <w:spacing w:before="107" w:line="222" w:lineRule="auto"/>
        <w:ind w:left="423"/>
        <w:rPr>
          <w:rFonts w:ascii="宋体" w:hAnsi="宋体" w:eastAsia="宋体" w:cs="宋体"/>
          <w:sz w:val="21"/>
          <w:szCs w:val="21"/>
        </w:rPr>
      </w:pPr>
      <w:r>
        <w:rPr>
          <w:rFonts w:ascii="黑体" w:hAnsi="黑体" w:eastAsia="黑体" w:cs="黑体"/>
          <w:b/>
          <w:bCs/>
          <w:spacing w:val="-1"/>
          <w:sz w:val="21"/>
          <w:szCs w:val="21"/>
        </w:rPr>
        <w:t>地下淡水</w:t>
      </w:r>
      <w:r>
        <w:rPr>
          <w:rFonts w:ascii="黑体" w:hAnsi="黑体" w:eastAsia="黑体" w:cs="黑体"/>
          <w:spacing w:val="101"/>
          <w:sz w:val="21"/>
          <w:szCs w:val="21"/>
        </w:rPr>
        <w:t xml:space="preserve"> </w:t>
      </w:r>
      <w:r>
        <w:rPr>
          <w:rFonts w:ascii="宋体" w:hAnsi="宋体" w:eastAsia="宋体" w:cs="宋体"/>
          <w:spacing w:val="-1"/>
          <w:sz w:val="21"/>
          <w:szCs w:val="21"/>
        </w:rPr>
        <w:t>指地下径流或埋藏于地下的，经过</w:t>
      </w:r>
      <w:r>
        <w:rPr>
          <w:rFonts w:ascii="宋体" w:hAnsi="宋体" w:eastAsia="宋体" w:cs="宋体"/>
          <w:spacing w:val="-2"/>
          <w:sz w:val="21"/>
          <w:szCs w:val="21"/>
        </w:rPr>
        <w:t>提取可被利用的淡水。包括井水、地热水等。</w:t>
      </w:r>
    </w:p>
    <w:p w14:paraId="6527C004">
      <w:pPr>
        <w:spacing w:before="108" w:line="269" w:lineRule="auto"/>
        <w:ind w:right="75" w:firstLine="423"/>
        <w:rPr>
          <w:rFonts w:ascii="宋体" w:hAnsi="宋体" w:eastAsia="宋体" w:cs="宋体"/>
          <w:sz w:val="21"/>
          <w:szCs w:val="21"/>
        </w:rPr>
      </w:pPr>
      <w:r>
        <w:rPr>
          <w:rFonts w:ascii="黑体" w:hAnsi="黑体" w:eastAsia="黑体" w:cs="黑体"/>
          <w:b/>
          <w:bCs/>
          <w:spacing w:val="-1"/>
          <w:sz w:val="21"/>
          <w:szCs w:val="21"/>
        </w:rPr>
        <w:t>自来水</w:t>
      </w:r>
      <w:r>
        <w:rPr>
          <w:rFonts w:ascii="黑体" w:hAnsi="黑体" w:eastAsia="黑体" w:cs="黑体"/>
          <w:spacing w:val="86"/>
          <w:sz w:val="21"/>
          <w:szCs w:val="21"/>
        </w:rPr>
        <w:t xml:space="preserve"> </w:t>
      </w:r>
      <w:r>
        <w:rPr>
          <w:rFonts w:ascii="宋体" w:hAnsi="宋体" w:eastAsia="宋体" w:cs="宋体"/>
          <w:spacing w:val="-1"/>
          <w:sz w:val="21"/>
          <w:szCs w:val="21"/>
        </w:rPr>
        <w:t>指自来水厂将地表淡水、地下淡水经过“混凝、沉淀、过滤、消</w:t>
      </w:r>
      <w:r>
        <w:rPr>
          <w:rFonts w:ascii="宋体" w:hAnsi="宋体" w:eastAsia="宋体" w:cs="宋体"/>
          <w:spacing w:val="-2"/>
          <w:sz w:val="21"/>
          <w:szCs w:val="21"/>
        </w:rPr>
        <w:t>毒”等净水工序，达到国</w:t>
      </w:r>
      <w:r>
        <w:rPr>
          <w:rFonts w:ascii="宋体" w:hAnsi="宋体" w:eastAsia="宋体" w:cs="宋体"/>
          <w:sz w:val="21"/>
          <w:szCs w:val="21"/>
        </w:rPr>
        <w:t xml:space="preserve"> </w:t>
      </w:r>
      <w:r>
        <w:rPr>
          <w:rFonts w:ascii="宋体" w:hAnsi="宋体" w:eastAsia="宋体" w:cs="宋体"/>
          <w:spacing w:val="-2"/>
          <w:sz w:val="21"/>
          <w:szCs w:val="21"/>
        </w:rPr>
        <w:t>家饮用水标准，通过城镇自来水管网供给工业生产、居民生活使用的水。</w:t>
      </w:r>
    </w:p>
    <w:p w14:paraId="3DE0FB86">
      <w:pPr>
        <w:spacing w:before="109" w:line="285" w:lineRule="auto"/>
        <w:ind w:right="75" w:firstLine="422"/>
        <w:rPr>
          <w:rFonts w:ascii="宋体" w:hAnsi="宋体" w:eastAsia="宋体" w:cs="宋体"/>
          <w:sz w:val="21"/>
          <w:szCs w:val="21"/>
        </w:rPr>
      </w:pPr>
      <w:r>
        <w:rPr>
          <w:rFonts w:ascii="黑体" w:hAnsi="黑体" w:eastAsia="黑体" w:cs="黑体"/>
          <w:b/>
          <w:bCs/>
          <w:spacing w:val="-2"/>
          <w:sz w:val="21"/>
          <w:szCs w:val="21"/>
        </w:rPr>
        <w:t>海水</w:t>
      </w:r>
      <w:r>
        <w:rPr>
          <w:rFonts w:ascii="黑体" w:hAnsi="黑体" w:eastAsia="黑体" w:cs="黑体"/>
          <w:spacing w:val="-2"/>
          <w:sz w:val="21"/>
          <w:szCs w:val="21"/>
        </w:rPr>
        <w:t xml:space="preserve">  </w:t>
      </w:r>
      <w:r>
        <w:rPr>
          <w:rFonts w:ascii="宋体" w:hAnsi="宋体" w:eastAsia="宋体" w:cs="宋体"/>
          <w:spacing w:val="-2"/>
          <w:sz w:val="21"/>
          <w:szCs w:val="21"/>
        </w:rPr>
        <w:t>指海洋的水。海水的取水量包括企业用来淡化、制盐、化工生产等海水资源利用所提取的海</w:t>
      </w:r>
      <w:r>
        <w:rPr>
          <w:rFonts w:ascii="宋体" w:hAnsi="宋体" w:eastAsia="宋体" w:cs="宋体"/>
          <w:spacing w:val="18"/>
          <w:sz w:val="21"/>
          <w:szCs w:val="21"/>
        </w:rPr>
        <w:t xml:space="preserve"> </w:t>
      </w:r>
      <w:r>
        <w:rPr>
          <w:rFonts w:ascii="宋体" w:hAnsi="宋体" w:eastAsia="宋体" w:cs="宋体"/>
          <w:spacing w:val="-2"/>
          <w:sz w:val="21"/>
          <w:szCs w:val="21"/>
        </w:rPr>
        <w:t>水量，以及用于海水循环冷却补充水、脱硫、洗涤、除尘、冲渣、印染等的海水直接利用量，不包括海</w:t>
      </w:r>
      <w:r>
        <w:rPr>
          <w:rFonts w:ascii="宋体" w:hAnsi="宋体" w:eastAsia="宋体" w:cs="宋体"/>
          <w:spacing w:val="8"/>
          <w:sz w:val="21"/>
          <w:szCs w:val="21"/>
        </w:rPr>
        <w:t xml:space="preserve"> </w:t>
      </w:r>
      <w:r>
        <w:rPr>
          <w:rFonts w:ascii="宋体" w:hAnsi="宋体" w:eastAsia="宋体" w:cs="宋体"/>
          <w:spacing w:val="-5"/>
          <w:sz w:val="21"/>
          <w:szCs w:val="21"/>
        </w:rPr>
        <w:t>水直流冷却水量。</w:t>
      </w:r>
    </w:p>
    <w:p w14:paraId="42463B38">
      <w:pPr>
        <w:spacing w:before="107" w:line="373" w:lineRule="exact"/>
        <w:ind w:left="423"/>
        <w:rPr>
          <w:rFonts w:ascii="宋体" w:hAnsi="宋体" w:eastAsia="宋体" w:cs="宋体"/>
          <w:sz w:val="21"/>
          <w:szCs w:val="21"/>
        </w:rPr>
      </w:pPr>
      <w:r>
        <w:rPr>
          <w:rFonts w:ascii="黑体" w:hAnsi="黑体" w:eastAsia="黑体" w:cs="黑体"/>
          <w:b/>
          <w:bCs/>
          <w:spacing w:val="-1"/>
          <w:position w:val="12"/>
          <w:sz w:val="21"/>
          <w:szCs w:val="21"/>
        </w:rPr>
        <w:t>陆地苦咸水</w:t>
      </w:r>
      <w:r>
        <w:rPr>
          <w:rFonts w:ascii="黑体" w:hAnsi="黑体" w:eastAsia="黑体" w:cs="黑体"/>
          <w:spacing w:val="96"/>
          <w:position w:val="12"/>
          <w:sz w:val="21"/>
          <w:szCs w:val="21"/>
        </w:rPr>
        <w:t xml:space="preserve"> </w:t>
      </w:r>
      <w:r>
        <w:rPr>
          <w:rFonts w:ascii="宋体" w:hAnsi="宋体" w:eastAsia="宋体" w:cs="宋体"/>
          <w:spacing w:val="-1"/>
          <w:position w:val="12"/>
          <w:sz w:val="21"/>
          <w:szCs w:val="21"/>
        </w:rPr>
        <w:t>指存在于陆地地表或地下，含盐量</w:t>
      </w:r>
      <w:r>
        <w:rPr>
          <w:rFonts w:ascii="宋体" w:hAnsi="宋体" w:eastAsia="宋体" w:cs="宋体"/>
          <w:spacing w:val="-2"/>
          <w:position w:val="12"/>
          <w:sz w:val="21"/>
          <w:szCs w:val="21"/>
        </w:rPr>
        <w:t>大于1克/升的水。包括微咸水、咸水湖和地下的咸</w:t>
      </w:r>
    </w:p>
    <w:p w14:paraId="4012EE24">
      <w:pPr>
        <w:spacing w:before="1" w:line="219" w:lineRule="auto"/>
        <w:rPr>
          <w:rFonts w:ascii="宋体" w:hAnsi="宋体" w:eastAsia="宋体" w:cs="宋体"/>
          <w:sz w:val="21"/>
          <w:szCs w:val="21"/>
        </w:rPr>
      </w:pPr>
      <w:r>
        <w:rPr>
          <w:rFonts w:ascii="宋体" w:hAnsi="宋体" w:eastAsia="宋体" w:cs="宋体"/>
          <w:spacing w:val="-5"/>
          <w:sz w:val="21"/>
          <w:szCs w:val="21"/>
        </w:rPr>
        <w:t>水。不包括海水。</w:t>
      </w:r>
    </w:p>
    <w:p w14:paraId="341F4A2F">
      <w:pPr>
        <w:spacing w:before="96" w:line="285" w:lineRule="auto"/>
        <w:ind w:right="20" w:firstLine="422"/>
        <w:rPr>
          <w:rFonts w:ascii="宋体" w:hAnsi="宋体" w:eastAsia="宋体" w:cs="宋体"/>
          <w:sz w:val="21"/>
          <w:szCs w:val="21"/>
        </w:rPr>
      </w:pPr>
      <w:r>
        <w:rPr>
          <w:rFonts w:ascii="黑体" w:hAnsi="黑体" w:eastAsia="黑体" w:cs="黑体"/>
          <w:b/>
          <w:bCs/>
          <w:spacing w:val="-2"/>
          <w:sz w:val="21"/>
          <w:szCs w:val="21"/>
        </w:rPr>
        <w:t>矿井水</w:t>
      </w:r>
      <w:r>
        <w:rPr>
          <w:rFonts w:ascii="黑体" w:hAnsi="黑体" w:eastAsia="黑体" w:cs="黑体"/>
          <w:spacing w:val="-2"/>
          <w:sz w:val="21"/>
          <w:szCs w:val="21"/>
        </w:rPr>
        <w:t xml:space="preserve">  </w:t>
      </w:r>
      <w:r>
        <w:rPr>
          <w:rFonts w:ascii="宋体" w:hAnsi="宋体" w:eastAsia="宋体" w:cs="宋体"/>
          <w:spacing w:val="-2"/>
          <w:sz w:val="21"/>
          <w:szCs w:val="21"/>
        </w:rPr>
        <w:t>指在采矿过程中，由于矿床开采破坏了地下水原始赋存状态而产生导水裂隙，使周围水沿</w:t>
      </w:r>
      <w:r>
        <w:rPr>
          <w:rFonts w:ascii="宋体" w:hAnsi="宋体" w:eastAsia="宋体" w:cs="宋体"/>
          <w:spacing w:val="17"/>
          <w:sz w:val="21"/>
          <w:szCs w:val="21"/>
        </w:rPr>
        <w:t xml:space="preserve"> </w:t>
      </w:r>
      <w:r>
        <w:rPr>
          <w:rFonts w:ascii="宋体" w:hAnsi="宋体" w:eastAsia="宋体" w:cs="宋体"/>
          <w:spacing w:val="-5"/>
          <w:sz w:val="21"/>
          <w:szCs w:val="21"/>
        </w:rPr>
        <w:t>着原有的和新的裂隙渗入井下采掘空间进而形成的矿井涌水。收集、处理并已利用的矿井水填报取水量，</w:t>
      </w:r>
      <w:r>
        <w:rPr>
          <w:rFonts w:ascii="宋体" w:hAnsi="宋体" w:eastAsia="宋体" w:cs="宋体"/>
          <w:spacing w:val="14"/>
          <w:sz w:val="21"/>
          <w:szCs w:val="21"/>
        </w:rPr>
        <w:t xml:space="preserve"> </w:t>
      </w:r>
      <w:r>
        <w:rPr>
          <w:rFonts w:ascii="宋体" w:hAnsi="宋体" w:eastAsia="宋体" w:cs="宋体"/>
          <w:spacing w:val="-2"/>
          <w:sz w:val="21"/>
          <w:szCs w:val="21"/>
        </w:rPr>
        <w:t>未利用直接排放的矿井水不填报取水量、外供水量、外排水量。</w:t>
      </w:r>
    </w:p>
    <w:p w14:paraId="7C20A956">
      <w:pPr>
        <w:spacing w:before="107" w:line="270" w:lineRule="auto"/>
        <w:ind w:firstLine="423"/>
        <w:rPr>
          <w:rFonts w:ascii="宋体" w:hAnsi="宋体" w:eastAsia="宋体" w:cs="宋体"/>
          <w:sz w:val="21"/>
          <w:szCs w:val="21"/>
        </w:rPr>
      </w:pPr>
      <w:r>
        <w:rPr>
          <w:rFonts w:ascii="黑体" w:hAnsi="黑体" w:eastAsia="黑体" w:cs="黑体"/>
          <w:b/>
          <w:bCs/>
          <w:spacing w:val="-4"/>
          <w:sz w:val="21"/>
          <w:szCs w:val="21"/>
        </w:rPr>
        <w:t>雨水</w:t>
      </w:r>
      <w:r>
        <w:rPr>
          <w:rFonts w:ascii="黑体" w:hAnsi="黑体" w:eastAsia="黑体" w:cs="黑体"/>
          <w:spacing w:val="97"/>
          <w:sz w:val="21"/>
          <w:szCs w:val="21"/>
        </w:rPr>
        <w:t xml:space="preserve"> </w:t>
      </w:r>
      <w:r>
        <w:rPr>
          <w:rFonts w:ascii="宋体" w:hAnsi="宋体" w:eastAsia="宋体" w:cs="宋体"/>
          <w:spacing w:val="-4"/>
          <w:sz w:val="21"/>
          <w:szCs w:val="21"/>
        </w:rPr>
        <w:t>指通过集雨工程积蓄处理后被工业利用</w:t>
      </w:r>
      <w:r>
        <w:rPr>
          <w:rFonts w:ascii="宋体" w:hAnsi="宋体" w:eastAsia="宋体" w:cs="宋体"/>
          <w:spacing w:val="-5"/>
          <w:sz w:val="21"/>
          <w:szCs w:val="21"/>
        </w:rPr>
        <w:t>的雨水。雨水的取水量不包括天降雨、雪后流到江河、</w:t>
      </w:r>
      <w:r>
        <w:rPr>
          <w:rFonts w:ascii="宋体" w:hAnsi="宋体" w:eastAsia="宋体" w:cs="宋体"/>
          <w:sz w:val="21"/>
          <w:szCs w:val="21"/>
        </w:rPr>
        <w:t xml:space="preserve"> </w:t>
      </w:r>
      <w:r>
        <w:rPr>
          <w:rFonts w:ascii="宋体" w:hAnsi="宋体" w:eastAsia="宋体" w:cs="宋体"/>
          <w:spacing w:val="-2"/>
          <w:sz w:val="21"/>
          <w:szCs w:val="21"/>
        </w:rPr>
        <w:t>湖泊、水库中的水，以及未经利用通过厂区内排水管道直接排放的雨水。</w:t>
      </w:r>
    </w:p>
    <w:p w14:paraId="60822CFA">
      <w:pPr>
        <w:spacing w:before="107" w:line="269" w:lineRule="auto"/>
        <w:ind w:right="94" w:firstLine="423"/>
        <w:rPr>
          <w:rFonts w:ascii="宋体" w:hAnsi="宋体" w:eastAsia="宋体" w:cs="宋体"/>
          <w:sz w:val="21"/>
          <w:szCs w:val="21"/>
        </w:rPr>
      </w:pPr>
      <w:r>
        <w:rPr>
          <w:rFonts w:ascii="黑体" w:hAnsi="黑体" w:eastAsia="黑体" w:cs="黑体"/>
          <w:b/>
          <w:bCs/>
          <w:spacing w:val="6"/>
          <w:sz w:val="21"/>
          <w:szCs w:val="21"/>
        </w:rPr>
        <w:t>再生水(中水)</w:t>
      </w:r>
      <w:r>
        <w:rPr>
          <w:rFonts w:ascii="黑体" w:hAnsi="黑体" w:eastAsia="黑体" w:cs="黑体"/>
          <w:spacing w:val="38"/>
          <w:sz w:val="21"/>
          <w:szCs w:val="21"/>
        </w:rPr>
        <w:t xml:space="preserve">  </w:t>
      </w:r>
      <w:r>
        <w:rPr>
          <w:rFonts w:ascii="宋体" w:hAnsi="宋体" w:eastAsia="宋体" w:cs="宋体"/>
          <w:spacing w:val="6"/>
          <w:sz w:val="21"/>
          <w:szCs w:val="21"/>
        </w:rPr>
        <w:t>指以污(废)水为水源，经再生工艺净化处理后水质达到再</w:t>
      </w:r>
      <w:r>
        <w:rPr>
          <w:rFonts w:ascii="宋体" w:hAnsi="宋体" w:eastAsia="宋体" w:cs="宋体"/>
          <w:spacing w:val="5"/>
          <w:sz w:val="21"/>
          <w:szCs w:val="21"/>
        </w:rPr>
        <w:t>利用标准的水。再生</w:t>
      </w:r>
      <w:r>
        <w:rPr>
          <w:rFonts w:ascii="宋体" w:hAnsi="宋体" w:eastAsia="宋体" w:cs="宋体"/>
          <w:spacing w:val="1"/>
          <w:sz w:val="21"/>
          <w:szCs w:val="21"/>
        </w:rPr>
        <w:t xml:space="preserve"> </w:t>
      </w:r>
      <w:r>
        <w:rPr>
          <w:rFonts w:ascii="宋体" w:hAnsi="宋体" w:eastAsia="宋体" w:cs="宋体"/>
          <w:spacing w:val="15"/>
          <w:sz w:val="21"/>
          <w:szCs w:val="21"/>
        </w:rPr>
        <w:t>水(中水)不填报外供量。有再生水(中水)取水的单位填报再生水(中水)的取水量。</w:t>
      </w:r>
    </w:p>
    <w:p w14:paraId="453541E0">
      <w:pPr>
        <w:spacing w:before="107" w:line="222" w:lineRule="auto"/>
        <w:ind w:left="423"/>
        <w:rPr>
          <w:rFonts w:ascii="宋体" w:hAnsi="宋体" w:eastAsia="宋体" w:cs="宋体"/>
          <w:sz w:val="21"/>
          <w:szCs w:val="21"/>
        </w:rPr>
      </w:pPr>
      <w:r>
        <w:rPr>
          <w:rFonts w:ascii="黑体" w:hAnsi="黑体" w:eastAsia="黑体" w:cs="黑体"/>
          <w:b/>
          <w:bCs/>
          <w:spacing w:val="-2"/>
          <w:sz w:val="21"/>
          <w:szCs w:val="21"/>
        </w:rPr>
        <w:t>海水淡化水</w:t>
      </w:r>
      <w:r>
        <w:rPr>
          <w:rFonts w:ascii="黑体" w:hAnsi="黑体" w:eastAsia="黑体" w:cs="黑体"/>
          <w:spacing w:val="-2"/>
          <w:sz w:val="21"/>
          <w:szCs w:val="21"/>
        </w:rPr>
        <w:t xml:space="preserve">  </w:t>
      </w:r>
      <w:r>
        <w:rPr>
          <w:rFonts w:ascii="宋体" w:hAnsi="宋体" w:eastAsia="宋体" w:cs="宋体"/>
          <w:spacing w:val="-2"/>
          <w:sz w:val="21"/>
          <w:szCs w:val="21"/>
        </w:rPr>
        <w:t>指经过特定生产工艺去除海水中</w:t>
      </w:r>
      <w:r>
        <w:rPr>
          <w:rFonts w:ascii="宋体" w:hAnsi="宋体" w:eastAsia="宋体" w:cs="宋体"/>
          <w:spacing w:val="-3"/>
          <w:sz w:val="21"/>
          <w:szCs w:val="21"/>
        </w:rPr>
        <w:t>的盐分后得到的淡化水。</w:t>
      </w:r>
    </w:p>
    <w:p w14:paraId="557893A4">
      <w:pPr>
        <w:spacing w:before="108" w:line="269" w:lineRule="auto"/>
        <w:ind w:firstLine="423"/>
        <w:rPr>
          <w:rFonts w:ascii="宋体" w:hAnsi="宋体" w:eastAsia="宋体" w:cs="宋体"/>
          <w:sz w:val="21"/>
          <w:szCs w:val="21"/>
        </w:rPr>
      </w:pPr>
      <w:r>
        <w:rPr>
          <w:rFonts w:ascii="黑体" w:hAnsi="黑体" w:eastAsia="黑体" w:cs="黑体"/>
          <w:b/>
          <w:bCs/>
          <w:spacing w:val="-1"/>
          <w:sz w:val="21"/>
          <w:szCs w:val="21"/>
        </w:rPr>
        <w:t>其他水</w:t>
      </w:r>
      <w:r>
        <w:rPr>
          <w:rFonts w:ascii="黑体" w:hAnsi="黑体" w:eastAsia="黑体" w:cs="黑体"/>
          <w:spacing w:val="105"/>
          <w:sz w:val="21"/>
          <w:szCs w:val="21"/>
        </w:rPr>
        <w:t xml:space="preserve"> </w:t>
      </w:r>
      <w:r>
        <w:rPr>
          <w:rFonts w:ascii="宋体" w:hAnsi="宋体" w:eastAsia="宋体" w:cs="宋体"/>
          <w:spacing w:val="-1"/>
          <w:sz w:val="21"/>
          <w:szCs w:val="21"/>
        </w:rPr>
        <w:t>指上述水资源品种没有涵盖的，或者界定不清的水及水的产品。包括软化水、除盐水、蒸</w:t>
      </w:r>
      <w:r>
        <w:rPr>
          <w:rFonts w:ascii="宋体" w:hAnsi="宋体" w:eastAsia="宋体" w:cs="宋体"/>
          <w:sz w:val="21"/>
          <w:szCs w:val="21"/>
        </w:rPr>
        <w:t xml:space="preserve"> 汽(需折算成同等质量的水)、蒸汽冷凝水、管道供应的热水(不含北方地区城镇热力网内循环的热水)、</w:t>
      </w:r>
    </w:p>
    <w:p w14:paraId="2F4564B5">
      <w:pPr>
        <w:spacing w:line="269" w:lineRule="auto"/>
        <w:rPr>
          <w:rFonts w:ascii="宋体" w:hAnsi="宋体" w:eastAsia="宋体" w:cs="宋体"/>
          <w:sz w:val="21"/>
          <w:szCs w:val="21"/>
        </w:rPr>
        <w:sectPr>
          <w:headerReference r:id="rId70" w:type="default"/>
          <w:pgSz w:w="11910" w:h="16840"/>
          <w:pgMar w:top="1059" w:right="1204" w:bottom="400" w:left="1239" w:header="838" w:footer="0" w:gutter="0"/>
          <w:cols w:space="720" w:num="1"/>
        </w:sectPr>
      </w:pPr>
    </w:p>
    <w:p w14:paraId="088106AE">
      <w:pPr>
        <w:pStyle w:val="2"/>
        <w:spacing w:line="288" w:lineRule="auto"/>
      </w:pPr>
    </w:p>
    <w:p w14:paraId="5BD11D99">
      <w:pPr>
        <w:spacing w:before="68" w:line="380" w:lineRule="exact"/>
        <w:rPr>
          <w:rFonts w:ascii="宋体" w:hAnsi="宋体" w:eastAsia="宋体" w:cs="宋体"/>
          <w:sz w:val="21"/>
          <w:szCs w:val="21"/>
        </w:rPr>
      </w:pPr>
      <w:r>
        <w:rPr>
          <w:rFonts w:ascii="宋体" w:hAnsi="宋体" w:eastAsia="宋体" w:cs="宋体"/>
          <w:position w:val="12"/>
          <w:sz w:val="21"/>
          <w:szCs w:val="21"/>
        </w:rPr>
        <w:t>瓶(桶)装纯净水、矿泉水、经过初步处理未达到自来水标准的水。不包括地热水、碳酸饮料、茶饮料、</w:t>
      </w:r>
    </w:p>
    <w:p w14:paraId="6D66210F">
      <w:pPr>
        <w:spacing w:line="219" w:lineRule="auto"/>
        <w:rPr>
          <w:rFonts w:ascii="宋体" w:hAnsi="宋体" w:eastAsia="宋体" w:cs="宋体"/>
          <w:sz w:val="21"/>
          <w:szCs w:val="21"/>
        </w:rPr>
      </w:pPr>
      <w:r>
        <w:rPr>
          <w:rFonts w:ascii="宋体" w:hAnsi="宋体" w:eastAsia="宋体" w:cs="宋体"/>
          <w:spacing w:val="10"/>
          <w:sz w:val="21"/>
          <w:szCs w:val="21"/>
        </w:rPr>
        <w:t>果汁饮料、酒类、污(废)水。</w:t>
      </w:r>
    </w:p>
    <w:p w14:paraId="64A262F4">
      <w:pPr>
        <w:spacing w:before="107" w:line="279" w:lineRule="auto"/>
        <w:ind w:right="84" w:firstLine="433"/>
        <w:rPr>
          <w:rFonts w:ascii="宋体" w:hAnsi="宋体" w:eastAsia="宋体" w:cs="宋体"/>
          <w:sz w:val="21"/>
          <w:szCs w:val="21"/>
        </w:rPr>
      </w:pPr>
      <w:r>
        <w:rPr>
          <w:rFonts w:ascii="黑体" w:hAnsi="黑体" w:eastAsia="黑体" w:cs="黑体"/>
          <w:b/>
          <w:bCs/>
          <w:spacing w:val="-2"/>
          <w:sz w:val="21"/>
          <w:szCs w:val="21"/>
        </w:rPr>
        <w:t>外排水量</w:t>
      </w:r>
      <w:r>
        <w:rPr>
          <w:rFonts w:ascii="黑体" w:hAnsi="黑体" w:eastAsia="黑体" w:cs="黑体"/>
          <w:spacing w:val="105"/>
          <w:sz w:val="21"/>
          <w:szCs w:val="21"/>
        </w:rPr>
        <w:t xml:space="preserve"> </w:t>
      </w:r>
      <w:r>
        <w:rPr>
          <w:rFonts w:ascii="宋体" w:hAnsi="宋体" w:eastAsia="宋体" w:cs="宋体"/>
          <w:spacing w:val="-2"/>
          <w:sz w:val="21"/>
          <w:szCs w:val="21"/>
        </w:rPr>
        <w:t>指完成生产过程和生产活动之后，经过企业厂区、办公区所有排水口排到企业外部的水</w:t>
      </w:r>
      <w:r>
        <w:rPr>
          <w:rFonts w:ascii="宋体" w:hAnsi="宋体" w:eastAsia="宋体" w:cs="宋体"/>
          <w:sz w:val="21"/>
          <w:szCs w:val="21"/>
        </w:rPr>
        <w:t xml:space="preserve"> </w:t>
      </w:r>
      <w:r>
        <w:rPr>
          <w:rFonts w:ascii="宋体" w:hAnsi="宋体" w:eastAsia="宋体" w:cs="宋体"/>
          <w:spacing w:val="4"/>
          <w:sz w:val="21"/>
          <w:szCs w:val="21"/>
        </w:rPr>
        <w:t>量。包括进入城镇污水管网的污(废)水量、直接排到</w:t>
      </w:r>
      <w:r>
        <w:rPr>
          <w:rFonts w:ascii="宋体" w:hAnsi="宋体" w:eastAsia="宋体" w:cs="宋体"/>
          <w:spacing w:val="3"/>
          <w:sz w:val="21"/>
          <w:szCs w:val="21"/>
        </w:rPr>
        <w:t>自然环境中的水量。不包括外供水量、直流冷却</w:t>
      </w:r>
      <w:r>
        <w:rPr>
          <w:rFonts w:ascii="宋体" w:hAnsi="宋体" w:eastAsia="宋体" w:cs="宋体"/>
          <w:sz w:val="21"/>
          <w:szCs w:val="21"/>
        </w:rPr>
        <w:t xml:space="preserve"> </w:t>
      </w:r>
      <w:r>
        <w:rPr>
          <w:rFonts w:ascii="宋体" w:hAnsi="宋体" w:eastAsia="宋体" w:cs="宋体"/>
          <w:spacing w:val="-3"/>
          <w:sz w:val="21"/>
          <w:szCs w:val="21"/>
        </w:rPr>
        <w:t>水量、未利用就直接排放的矿井水量。</w:t>
      </w:r>
    </w:p>
    <w:p w14:paraId="79382296">
      <w:pPr>
        <w:spacing w:before="120" w:line="219" w:lineRule="auto"/>
        <w:ind w:left="430"/>
        <w:rPr>
          <w:rFonts w:ascii="宋体" w:hAnsi="宋体" w:eastAsia="宋体" w:cs="宋体"/>
          <w:sz w:val="21"/>
          <w:szCs w:val="21"/>
        </w:rPr>
      </w:pPr>
      <w:r>
        <w:rPr>
          <w:rFonts w:ascii="宋体" w:hAnsi="宋体" w:eastAsia="宋体" w:cs="宋体"/>
          <w:spacing w:val="-6"/>
          <w:sz w:val="21"/>
          <w:szCs w:val="21"/>
        </w:rPr>
        <w:t>外排水量计算方法：</w:t>
      </w:r>
    </w:p>
    <w:p w14:paraId="65C27544">
      <w:pPr>
        <w:spacing w:before="112" w:line="220" w:lineRule="auto"/>
        <w:ind w:left="430"/>
        <w:rPr>
          <w:rFonts w:ascii="宋体" w:hAnsi="宋体" w:eastAsia="宋体" w:cs="宋体"/>
          <w:sz w:val="21"/>
          <w:szCs w:val="21"/>
        </w:rPr>
      </w:pPr>
      <w:r>
        <w:rPr>
          <w:rFonts w:ascii="宋体" w:hAnsi="宋体" w:eastAsia="宋体" w:cs="宋体"/>
          <w:spacing w:val="-13"/>
          <w:sz w:val="21"/>
          <w:szCs w:val="21"/>
        </w:rPr>
        <w:t>1.实测法</w:t>
      </w:r>
    </w:p>
    <w:p w14:paraId="18BC2BFD">
      <w:pPr>
        <w:spacing w:before="109" w:line="219" w:lineRule="auto"/>
        <w:ind w:left="430"/>
        <w:rPr>
          <w:rFonts w:ascii="宋体" w:hAnsi="宋体" w:eastAsia="宋体" w:cs="宋体"/>
          <w:sz w:val="21"/>
          <w:szCs w:val="21"/>
        </w:rPr>
      </w:pPr>
      <w:r>
        <w:rPr>
          <w:rFonts w:ascii="宋体" w:hAnsi="宋体" w:eastAsia="宋体" w:cs="宋体"/>
          <w:spacing w:val="-2"/>
          <w:sz w:val="21"/>
          <w:szCs w:val="21"/>
        </w:rPr>
        <w:t>企业排水口有计量装置，按照计量装置的计量数据计</w:t>
      </w:r>
      <w:r>
        <w:rPr>
          <w:rFonts w:ascii="宋体" w:hAnsi="宋体" w:eastAsia="宋体" w:cs="宋体"/>
          <w:spacing w:val="-3"/>
          <w:sz w:val="21"/>
          <w:szCs w:val="21"/>
        </w:rPr>
        <w:t>算外排水量。</w:t>
      </w:r>
    </w:p>
    <w:p w14:paraId="56782566">
      <w:pPr>
        <w:spacing w:before="111" w:line="219" w:lineRule="auto"/>
        <w:ind w:left="430"/>
        <w:rPr>
          <w:rFonts w:ascii="宋体" w:hAnsi="宋体" w:eastAsia="宋体" w:cs="宋体"/>
          <w:sz w:val="21"/>
          <w:szCs w:val="21"/>
        </w:rPr>
      </w:pPr>
      <w:r>
        <w:rPr>
          <w:rFonts w:ascii="宋体" w:hAnsi="宋体" w:eastAsia="宋体" w:cs="宋体"/>
          <w:spacing w:val="-9"/>
          <w:sz w:val="21"/>
          <w:szCs w:val="21"/>
        </w:rPr>
        <w:t>2.排放系数法</w:t>
      </w:r>
    </w:p>
    <w:p w14:paraId="5A2C2282">
      <w:pPr>
        <w:spacing w:before="119" w:line="219" w:lineRule="auto"/>
        <w:ind w:left="430"/>
        <w:rPr>
          <w:rFonts w:ascii="宋体" w:hAnsi="宋体" w:eastAsia="宋体" w:cs="宋体"/>
          <w:sz w:val="21"/>
          <w:szCs w:val="21"/>
        </w:rPr>
      </w:pPr>
      <w:r>
        <w:rPr>
          <w:rFonts w:ascii="宋体" w:hAnsi="宋体" w:eastAsia="宋体" w:cs="宋体"/>
          <w:spacing w:val="6"/>
          <w:sz w:val="21"/>
          <w:szCs w:val="21"/>
        </w:rPr>
        <w:t>外排水量=(取水量合计一外供水量合计)×排放系数。</w:t>
      </w:r>
    </w:p>
    <w:p w14:paraId="48C9EB14">
      <w:pPr>
        <w:spacing w:before="113" w:line="219" w:lineRule="auto"/>
        <w:ind w:left="430"/>
        <w:rPr>
          <w:rFonts w:ascii="宋体" w:hAnsi="宋体" w:eastAsia="宋体" w:cs="宋体"/>
          <w:sz w:val="21"/>
          <w:szCs w:val="21"/>
        </w:rPr>
      </w:pPr>
      <w:r>
        <w:rPr>
          <w:rFonts w:ascii="宋体" w:hAnsi="宋体" w:eastAsia="宋体" w:cs="宋体"/>
          <w:spacing w:val="-3"/>
          <w:sz w:val="21"/>
          <w:szCs w:val="21"/>
        </w:rPr>
        <w:t>不同类型的工业企业排放系数数值有所不同，</w:t>
      </w:r>
      <w:r>
        <w:rPr>
          <w:rFonts w:ascii="宋体" w:hAnsi="宋体" w:eastAsia="宋体" w:cs="宋体"/>
          <w:spacing w:val="61"/>
          <w:sz w:val="21"/>
          <w:szCs w:val="21"/>
        </w:rPr>
        <w:t xml:space="preserve"> </w:t>
      </w:r>
      <w:r>
        <w:rPr>
          <w:rFonts w:ascii="宋体" w:hAnsi="宋体" w:eastAsia="宋体" w:cs="宋体"/>
          <w:spacing w:val="-3"/>
          <w:sz w:val="21"/>
          <w:szCs w:val="21"/>
        </w:rPr>
        <w:t>一般在0.6至0.9范围内</w:t>
      </w:r>
      <w:r>
        <w:rPr>
          <w:rFonts w:ascii="宋体" w:hAnsi="宋体" w:eastAsia="宋体" w:cs="宋体"/>
          <w:spacing w:val="-4"/>
          <w:sz w:val="21"/>
          <w:szCs w:val="21"/>
        </w:rPr>
        <w:t>取值。</w:t>
      </w:r>
    </w:p>
    <w:p w14:paraId="020C0113">
      <w:pPr>
        <w:spacing w:before="101" w:line="219" w:lineRule="auto"/>
        <w:ind w:left="430"/>
        <w:rPr>
          <w:rFonts w:ascii="宋体" w:hAnsi="宋体" w:eastAsia="宋体" w:cs="宋体"/>
          <w:sz w:val="21"/>
          <w:szCs w:val="21"/>
        </w:rPr>
      </w:pPr>
      <w:r>
        <w:rPr>
          <w:rFonts w:ascii="宋体" w:hAnsi="宋体" w:eastAsia="宋体" w:cs="宋体"/>
          <w:spacing w:val="-8"/>
          <w:sz w:val="21"/>
          <w:szCs w:val="21"/>
        </w:rPr>
        <w:t>3.物料衡算法</w:t>
      </w:r>
    </w:p>
    <w:p w14:paraId="6DFFFE7C">
      <w:pPr>
        <w:spacing w:before="119" w:line="219" w:lineRule="auto"/>
        <w:jc w:val="right"/>
        <w:rPr>
          <w:rFonts w:ascii="宋体" w:hAnsi="宋体" w:eastAsia="宋体" w:cs="宋体"/>
          <w:sz w:val="21"/>
          <w:szCs w:val="21"/>
        </w:rPr>
      </w:pPr>
      <w:r>
        <w:rPr>
          <w:rFonts w:ascii="宋体" w:hAnsi="宋体" w:eastAsia="宋体" w:cs="宋体"/>
          <w:spacing w:val="12"/>
          <w:sz w:val="21"/>
          <w:szCs w:val="21"/>
        </w:rPr>
        <w:t>外排水量=(取水量合计一外供水量合计)-(产品带走水量+漏失水量+蒸发水量+其他损失量)。</w:t>
      </w:r>
    </w:p>
    <w:p w14:paraId="33E7C8FD">
      <w:pPr>
        <w:spacing w:before="101" w:line="264" w:lineRule="auto"/>
        <w:ind w:right="95" w:firstLine="430"/>
        <w:rPr>
          <w:rFonts w:ascii="宋体" w:hAnsi="宋体" w:eastAsia="宋体" w:cs="宋体"/>
          <w:sz w:val="21"/>
          <w:szCs w:val="21"/>
        </w:rPr>
      </w:pPr>
      <w:r>
        <w:rPr>
          <w:rFonts w:ascii="宋体" w:hAnsi="宋体" w:eastAsia="宋体" w:cs="宋体"/>
          <w:spacing w:val="-2"/>
          <w:sz w:val="21"/>
          <w:szCs w:val="21"/>
        </w:rPr>
        <w:t>企业排水口有计量装置，按照实测法计算外排水量。企业排水口无计量装置，按照排放系数法或者</w:t>
      </w:r>
      <w:r>
        <w:rPr>
          <w:rFonts w:ascii="宋体" w:hAnsi="宋体" w:eastAsia="宋体" w:cs="宋体"/>
          <w:spacing w:val="14"/>
          <w:sz w:val="21"/>
          <w:szCs w:val="21"/>
        </w:rPr>
        <w:t xml:space="preserve"> </w:t>
      </w:r>
      <w:r>
        <w:rPr>
          <w:rFonts w:ascii="宋体" w:hAnsi="宋体" w:eastAsia="宋体" w:cs="宋体"/>
          <w:spacing w:val="-3"/>
          <w:sz w:val="21"/>
          <w:szCs w:val="21"/>
        </w:rPr>
        <w:t>物料衡算法计算外排水量。</w:t>
      </w:r>
    </w:p>
    <w:p w14:paraId="1666D185">
      <w:pPr>
        <w:spacing w:before="116" w:line="222" w:lineRule="auto"/>
        <w:ind w:left="433"/>
        <w:rPr>
          <w:rFonts w:ascii="宋体" w:hAnsi="宋体" w:eastAsia="宋体" w:cs="宋体"/>
          <w:sz w:val="21"/>
          <w:szCs w:val="21"/>
        </w:rPr>
      </w:pPr>
      <w:r>
        <w:rPr>
          <w:rFonts w:ascii="黑体" w:hAnsi="黑体" w:eastAsia="黑体" w:cs="黑体"/>
          <w:b/>
          <w:bCs/>
          <w:spacing w:val="-1"/>
          <w:sz w:val="21"/>
          <w:szCs w:val="21"/>
        </w:rPr>
        <w:t>重复用水量</w:t>
      </w:r>
      <w:r>
        <w:rPr>
          <w:rFonts w:ascii="黑体" w:hAnsi="黑体" w:eastAsia="黑体" w:cs="黑体"/>
          <w:spacing w:val="-1"/>
          <w:sz w:val="21"/>
          <w:szCs w:val="21"/>
        </w:rPr>
        <w:t xml:space="preserve">  </w:t>
      </w:r>
      <w:r>
        <w:rPr>
          <w:rFonts w:ascii="宋体" w:hAnsi="宋体" w:eastAsia="宋体" w:cs="宋体"/>
          <w:spacing w:val="-1"/>
          <w:sz w:val="21"/>
          <w:szCs w:val="21"/>
        </w:rPr>
        <w:t>指在确定的用水单元或系统内，所有未经处理和处理后又重复使用的水量总和。</w:t>
      </w:r>
    </w:p>
    <w:p w14:paraId="1E862A1D">
      <w:pPr>
        <w:spacing w:before="122" w:line="219" w:lineRule="auto"/>
        <w:ind w:left="430"/>
        <w:rPr>
          <w:rFonts w:ascii="宋体" w:hAnsi="宋体" w:eastAsia="宋体" w:cs="宋体"/>
          <w:sz w:val="21"/>
          <w:szCs w:val="21"/>
        </w:rPr>
      </w:pPr>
      <w:r>
        <w:rPr>
          <w:rFonts w:ascii="宋体" w:hAnsi="宋体" w:eastAsia="宋体" w:cs="宋体"/>
          <w:spacing w:val="-3"/>
          <w:sz w:val="21"/>
          <w:szCs w:val="21"/>
        </w:rPr>
        <w:t>满足下列任意一种情况，即可视为重复用水：</w:t>
      </w:r>
    </w:p>
    <w:p w14:paraId="7DECE357">
      <w:pPr>
        <w:spacing w:before="112" w:line="263" w:lineRule="auto"/>
        <w:ind w:right="77" w:firstLine="430"/>
        <w:rPr>
          <w:rFonts w:ascii="宋体" w:hAnsi="宋体" w:eastAsia="宋体" w:cs="宋体"/>
          <w:sz w:val="21"/>
          <w:szCs w:val="21"/>
        </w:rPr>
      </w:pPr>
      <w:r>
        <w:rPr>
          <w:rFonts w:ascii="宋体" w:hAnsi="宋体" w:eastAsia="宋体" w:cs="宋体"/>
          <w:spacing w:val="-2"/>
          <w:sz w:val="21"/>
          <w:szCs w:val="21"/>
        </w:rPr>
        <w:t>1.循环水：指在确定的用水单元或系统内，生产过程中已用过、再循环用于同一过程的水。例如火</w:t>
      </w:r>
      <w:r>
        <w:rPr>
          <w:rFonts w:ascii="宋体" w:hAnsi="宋体" w:eastAsia="宋体" w:cs="宋体"/>
          <w:spacing w:val="14"/>
          <w:sz w:val="21"/>
          <w:szCs w:val="21"/>
        </w:rPr>
        <w:t xml:space="preserve"> </w:t>
      </w:r>
      <w:r>
        <w:rPr>
          <w:rFonts w:ascii="宋体" w:hAnsi="宋体" w:eastAsia="宋体" w:cs="宋体"/>
          <w:spacing w:val="-1"/>
          <w:sz w:val="21"/>
          <w:szCs w:val="21"/>
        </w:rPr>
        <w:t>力发电企业的循环冷却水。循环水量循环使用一次计算一次，根据循环水泵的流量乘以工作时间计算。</w:t>
      </w:r>
    </w:p>
    <w:p w14:paraId="721C38AA">
      <w:pPr>
        <w:spacing w:before="121" w:line="284" w:lineRule="auto"/>
        <w:ind w:right="68" w:firstLine="430"/>
        <w:rPr>
          <w:rFonts w:ascii="宋体" w:hAnsi="宋体" w:eastAsia="宋体" w:cs="宋体"/>
          <w:sz w:val="21"/>
          <w:szCs w:val="21"/>
        </w:rPr>
      </w:pPr>
      <w:r>
        <w:rPr>
          <w:rFonts w:ascii="宋体" w:hAnsi="宋体" w:eastAsia="宋体" w:cs="宋体"/>
          <w:spacing w:val="-1"/>
          <w:sz w:val="21"/>
          <w:szCs w:val="21"/>
        </w:rPr>
        <w:t>2.串联水：指在确定的用水单元或系统，由生产过程中产生的或使用后、再用于另一单元或系统的</w:t>
      </w:r>
      <w:r>
        <w:rPr>
          <w:rFonts w:ascii="宋体" w:hAnsi="宋体" w:eastAsia="宋体" w:cs="宋体"/>
          <w:sz w:val="21"/>
          <w:szCs w:val="21"/>
        </w:rPr>
        <w:t xml:space="preserve"> </w:t>
      </w:r>
      <w:r>
        <w:rPr>
          <w:rFonts w:ascii="宋体" w:hAnsi="宋体" w:eastAsia="宋体" w:cs="宋体"/>
          <w:spacing w:val="3"/>
          <w:sz w:val="21"/>
          <w:szCs w:val="21"/>
        </w:rPr>
        <w:t>水。例如先用于冷却再用于洗涤的水；生产过程中产生的，用于烟气脱硫、冲渣(灰)的水。串联水量</w:t>
      </w:r>
      <w:r>
        <w:rPr>
          <w:rFonts w:ascii="宋体" w:hAnsi="宋体" w:eastAsia="宋体" w:cs="宋体"/>
          <w:spacing w:val="12"/>
          <w:sz w:val="21"/>
          <w:szCs w:val="21"/>
        </w:rPr>
        <w:t xml:space="preserve"> </w:t>
      </w:r>
      <w:r>
        <w:rPr>
          <w:rFonts w:ascii="宋体" w:hAnsi="宋体" w:eastAsia="宋体" w:cs="宋体"/>
          <w:spacing w:val="-5"/>
          <w:sz w:val="21"/>
          <w:szCs w:val="21"/>
        </w:rPr>
        <w:t>重复使用一次计算一次。</w:t>
      </w:r>
    </w:p>
    <w:p w14:paraId="78F389FE">
      <w:pPr>
        <w:spacing w:before="111" w:line="278" w:lineRule="auto"/>
        <w:ind w:right="89" w:firstLine="430"/>
        <w:rPr>
          <w:rFonts w:ascii="宋体" w:hAnsi="宋体" w:eastAsia="宋体" w:cs="宋体"/>
          <w:sz w:val="21"/>
          <w:szCs w:val="21"/>
        </w:rPr>
      </w:pPr>
      <w:r>
        <w:rPr>
          <w:rFonts w:ascii="宋体" w:hAnsi="宋体" w:eastAsia="宋体" w:cs="宋体"/>
          <w:spacing w:val="-1"/>
          <w:sz w:val="21"/>
          <w:szCs w:val="21"/>
        </w:rPr>
        <w:t>3.回用水：指企业产生的，没有排放而是直接或</w:t>
      </w:r>
      <w:r>
        <w:rPr>
          <w:rFonts w:ascii="宋体" w:hAnsi="宋体" w:eastAsia="宋体" w:cs="宋体"/>
          <w:spacing w:val="-2"/>
          <w:sz w:val="21"/>
          <w:szCs w:val="21"/>
        </w:rPr>
        <w:t>经处理后再利用于某一用水单元或系统的水。例如</w:t>
      </w:r>
      <w:r>
        <w:rPr>
          <w:rFonts w:ascii="宋体" w:hAnsi="宋体" w:eastAsia="宋体" w:cs="宋体"/>
          <w:sz w:val="21"/>
          <w:szCs w:val="21"/>
        </w:rPr>
        <w:t xml:space="preserve"> </w:t>
      </w:r>
      <w:r>
        <w:rPr>
          <w:rFonts w:ascii="宋体" w:hAnsi="宋体" w:eastAsia="宋体" w:cs="宋体"/>
          <w:spacing w:val="3"/>
          <w:sz w:val="21"/>
          <w:szCs w:val="21"/>
        </w:rPr>
        <w:t>收集回用的蒸汽冷凝水，生产活动产生的、净化后回用的污(废)水，自来水厂冲洗沉淀池、滤池再处</w:t>
      </w:r>
      <w:r>
        <w:rPr>
          <w:rFonts w:ascii="宋体" w:hAnsi="宋体" w:eastAsia="宋体" w:cs="宋体"/>
          <w:spacing w:val="13"/>
          <w:sz w:val="21"/>
          <w:szCs w:val="21"/>
        </w:rPr>
        <w:t xml:space="preserve"> </w:t>
      </w:r>
      <w:r>
        <w:rPr>
          <w:rFonts w:ascii="宋体" w:hAnsi="宋体" w:eastAsia="宋体" w:cs="宋体"/>
          <w:spacing w:val="-2"/>
          <w:sz w:val="21"/>
          <w:szCs w:val="21"/>
        </w:rPr>
        <w:t>理后回用的水。回用水量回用一次计算一次。</w:t>
      </w:r>
    </w:p>
    <w:p w14:paraId="34D15190">
      <w:pPr>
        <w:spacing w:before="131" w:line="219" w:lineRule="auto"/>
        <w:ind w:left="430"/>
        <w:rPr>
          <w:rFonts w:ascii="宋体" w:hAnsi="宋体" w:eastAsia="宋体" w:cs="宋体"/>
          <w:sz w:val="21"/>
          <w:szCs w:val="21"/>
        </w:rPr>
      </w:pPr>
      <w:r>
        <w:rPr>
          <w:rFonts w:ascii="宋体" w:hAnsi="宋体" w:eastAsia="宋体" w:cs="宋体"/>
          <w:spacing w:val="-1"/>
          <w:sz w:val="21"/>
          <w:szCs w:val="21"/>
        </w:rPr>
        <w:t>重复用水量不包括北方地区城镇热力网内循环的热水、火力发电设备内进行汽水循环的除盐水。</w:t>
      </w:r>
    </w:p>
    <w:p w14:paraId="17C8D0A6">
      <w:pPr>
        <w:spacing w:before="97" w:line="285" w:lineRule="auto"/>
        <w:ind w:right="68" w:firstLine="433"/>
        <w:rPr>
          <w:rFonts w:ascii="宋体" w:hAnsi="宋体" w:eastAsia="宋体" w:cs="宋体"/>
          <w:sz w:val="21"/>
          <w:szCs w:val="21"/>
        </w:rPr>
      </w:pPr>
      <w:r>
        <w:rPr>
          <w:rFonts w:ascii="黑体" w:hAnsi="黑体" w:eastAsia="黑体" w:cs="黑体"/>
          <w:b/>
          <w:bCs/>
          <w:spacing w:val="-1"/>
          <w:sz w:val="21"/>
          <w:szCs w:val="21"/>
        </w:rPr>
        <w:t>直流冷却水量</w:t>
      </w:r>
      <w:r>
        <w:rPr>
          <w:rFonts w:ascii="黑体" w:hAnsi="黑体" w:eastAsia="黑体" w:cs="黑体"/>
          <w:spacing w:val="103"/>
          <w:sz w:val="21"/>
          <w:szCs w:val="21"/>
        </w:rPr>
        <w:t xml:space="preserve"> </w:t>
      </w:r>
      <w:r>
        <w:rPr>
          <w:rFonts w:ascii="宋体" w:hAnsi="宋体" w:eastAsia="宋体" w:cs="宋体"/>
          <w:spacing w:val="-1"/>
          <w:sz w:val="21"/>
          <w:szCs w:val="21"/>
        </w:rPr>
        <w:t>指企业取自河流、水库、湖泊、海洋，经一</w:t>
      </w:r>
      <w:r>
        <w:rPr>
          <w:rFonts w:ascii="宋体" w:hAnsi="宋体" w:eastAsia="宋体" w:cs="宋体"/>
          <w:spacing w:val="-2"/>
          <w:sz w:val="21"/>
          <w:szCs w:val="21"/>
        </w:rPr>
        <w:t>次使用后，直接排放回河流、水库、湖</w:t>
      </w:r>
      <w:r>
        <w:rPr>
          <w:rFonts w:ascii="宋体" w:hAnsi="宋体" w:eastAsia="宋体" w:cs="宋体"/>
          <w:sz w:val="21"/>
          <w:szCs w:val="21"/>
        </w:rPr>
        <w:t xml:space="preserve"> </w:t>
      </w:r>
      <w:r>
        <w:rPr>
          <w:rFonts w:ascii="宋体" w:hAnsi="宋体" w:eastAsia="宋体" w:cs="宋体"/>
          <w:spacing w:val="4"/>
          <w:sz w:val="21"/>
          <w:szCs w:val="21"/>
        </w:rPr>
        <w:t>泊、海洋的冷却水量，多见于火(核)电企业。直流冷却水不填报取水</w:t>
      </w:r>
      <w:r>
        <w:rPr>
          <w:rFonts w:ascii="宋体" w:hAnsi="宋体" w:eastAsia="宋体" w:cs="宋体"/>
          <w:spacing w:val="3"/>
          <w:sz w:val="21"/>
          <w:szCs w:val="21"/>
        </w:rPr>
        <w:t>量、外供水量、外排水量。企业</w:t>
      </w:r>
      <w:r>
        <w:rPr>
          <w:rFonts w:ascii="宋体" w:hAnsi="宋体" w:eastAsia="宋体" w:cs="宋体"/>
          <w:sz w:val="21"/>
          <w:szCs w:val="21"/>
        </w:rPr>
        <w:t xml:space="preserve"> </w:t>
      </w:r>
      <w:r>
        <w:rPr>
          <w:rFonts w:ascii="宋体" w:hAnsi="宋体" w:eastAsia="宋体" w:cs="宋体"/>
          <w:spacing w:val="-2"/>
          <w:sz w:val="21"/>
          <w:szCs w:val="21"/>
        </w:rPr>
        <w:t>从直流冷却水系统中取水用作其他用途，则该部分应</w:t>
      </w:r>
      <w:r>
        <w:rPr>
          <w:rFonts w:ascii="宋体" w:hAnsi="宋体" w:eastAsia="宋体" w:cs="宋体"/>
          <w:spacing w:val="-3"/>
          <w:sz w:val="21"/>
          <w:szCs w:val="21"/>
        </w:rPr>
        <w:t>计入取水量。</w:t>
      </w:r>
    </w:p>
    <w:p w14:paraId="314B3F29">
      <w:pPr>
        <w:spacing w:before="118" w:line="269" w:lineRule="auto"/>
        <w:ind w:right="95" w:firstLine="430"/>
        <w:rPr>
          <w:rFonts w:ascii="宋体" w:hAnsi="宋体" w:eastAsia="宋体" w:cs="宋体"/>
          <w:sz w:val="21"/>
          <w:szCs w:val="21"/>
        </w:rPr>
      </w:pPr>
      <w:r>
        <w:rPr>
          <w:rFonts w:ascii="宋体" w:hAnsi="宋体" w:eastAsia="宋体" w:cs="宋体"/>
          <w:spacing w:val="6"/>
          <w:sz w:val="21"/>
          <w:szCs w:val="21"/>
        </w:rPr>
        <w:t>利用河、湖、水库等的淡水进行直流冷却填报直流冷却水量(河</w:t>
      </w:r>
      <w:r>
        <w:rPr>
          <w:rFonts w:ascii="宋体" w:hAnsi="宋体" w:eastAsia="宋体" w:cs="宋体"/>
          <w:spacing w:val="5"/>
          <w:sz w:val="21"/>
          <w:szCs w:val="21"/>
        </w:rPr>
        <w:t>湖水),利用海水进行直流冷却填</w:t>
      </w:r>
      <w:r>
        <w:rPr>
          <w:rFonts w:ascii="宋体" w:hAnsi="宋体" w:eastAsia="宋体" w:cs="宋体"/>
          <w:sz w:val="21"/>
          <w:szCs w:val="21"/>
        </w:rPr>
        <w:t xml:space="preserve"> </w:t>
      </w:r>
      <w:r>
        <w:rPr>
          <w:rFonts w:ascii="宋体" w:hAnsi="宋体" w:eastAsia="宋体" w:cs="宋体"/>
          <w:spacing w:val="14"/>
          <w:sz w:val="21"/>
          <w:szCs w:val="21"/>
        </w:rPr>
        <w:t>报直流冷却水量(海水)。</w:t>
      </w:r>
    </w:p>
    <w:p w14:paraId="74D97603">
      <w:pPr>
        <w:spacing w:before="97" w:line="374" w:lineRule="exact"/>
        <w:ind w:left="433"/>
        <w:rPr>
          <w:rFonts w:ascii="宋体" w:hAnsi="宋体" w:eastAsia="宋体" w:cs="宋体"/>
          <w:sz w:val="21"/>
          <w:szCs w:val="21"/>
        </w:rPr>
      </w:pPr>
      <w:r>
        <w:rPr>
          <w:rFonts w:ascii="黑体" w:hAnsi="黑体" w:eastAsia="黑体" w:cs="黑体"/>
          <w:b/>
          <w:bCs/>
          <w:spacing w:val="3"/>
          <w:position w:val="12"/>
          <w:sz w:val="21"/>
          <w:szCs w:val="21"/>
        </w:rPr>
        <w:t>污水处理量</w:t>
      </w:r>
      <w:r>
        <w:rPr>
          <w:rFonts w:ascii="黑体" w:hAnsi="黑体" w:eastAsia="黑体" w:cs="黑体"/>
          <w:spacing w:val="103"/>
          <w:position w:val="12"/>
          <w:sz w:val="21"/>
          <w:szCs w:val="21"/>
        </w:rPr>
        <w:t xml:space="preserve"> </w:t>
      </w:r>
      <w:r>
        <w:rPr>
          <w:rFonts w:ascii="宋体" w:hAnsi="宋体" w:eastAsia="宋体" w:cs="宋体"/>
          <w:spacing w:val="3"/>
          <w:position w:val="12"/>
          <w:sz w:val="21"/>
          <w:szCs w:val="21"/>
        </w:rPr>
        <w:t>指有污水处理设备的企业实际处理的污(废)水量，包括取自企业外部和本企业产生</w:t>
      </w:r>
    </w:p>
    <w:p w14:paraId="73972309">
      <w:pPr>
        <w:spacing w:line="219" w:lineRule="auto"/>
        <w:rPr>
          <w:rFonts w:ascii="宋体" w:hAnsi="宋体" w:eastAsia="宋体" w:cs="宋体"/>
          <w:sz w:val="21"/>
          <w:szCs w:val="21"/>
        </w:rPr>
      </w:pPr>
      <w:r>
        <w:rPr>
          <w:rFonts w:ascii="宋体" w:hAnsi="宋体" w:eastAsia="宋体" w:cs="宋体"/>
          <w:spacing w:val="23"/>
          <w:sz w:val="21"/>
          <w:szCs w:val="21"/>
        </w:rPr>
        <w:t>的污(废)水。</w:t>
      </w:r>
    </w:p>
    <w:p w14:paraId="3F733AE7">
      <w:pPr>
        <w:pStyle w:val="2"/>
        <w:spacing w:line="463" w:lineRule="auto"/>
      </w:pPr>
    </w:p>
    <w:p w14:paraId="69299DB2">
      <w:pPr>
        <w:spacing w:before="92" w:line="221" w:lineRule="auto"/>
        <w:ind w:left="1594"/>
        <w:rPr>
          <w:rFonts w:ascii="黑体" w:hAnsi="黑体" w:eastAsia="黑体" w:cs="黑体"/>
          <w:sz w:val="28"/>
          <w:szCs w:val="28"/>
        </w:rPr>
      </w:pPr>
      <w:r>
        <w:rPr>
          <w:rFonts w:ascii="黑体" w:hAnsi="黑体" w:eastAsia="黑体" w:cs="黑体"/>
          <w:b/>
          <w:bCs/>
          <w:spacing w:val="8"/>
          <w:sz w:val="28"/>
          <w:szCs w:val="28"/>
        </w:rPr>
        <w:t>(四)非工业重点耗能单位能源消费情况(</w:t>
      </w:r>
      <w:r>
        <w:rPr>
          <w:rFonts w:ascii="黑体" w:hAnsi="黑体" w:eastAsia="黑体" w:cs="黑体"/>
          <w:b/>
          <w:bCs/>
          <w:spacing w:val="7"/>
          <w:sz w:val="28"/>
          <w:szCs w:val="28"/>
        </w:rPr>
        <w:t>205-5表)</w:t>
      </w:r>
    </w:p>
    <w:p w14:paraId="2EA4D765">
      <w:pPr>
        <w:spacing w:before="283" w:line="285" w:lineRule="auto"/>
        <w:ind w:firstLine="433"/>
        <w:jc w:val="both"/>
        <w:rPr>
          <w:rFonts w:ascii="宋体" w:hAnsi="宋体" w:eastAsia="宋体" w:cs="宋体"/>
          <w:sz w:val="21"/>
          <w:szCs w:val="21"/>
        </w:rPr>
      </w:pPr>
      <w:r>
        <w:rPr>
          <w:rFonts w:ascii="黑体" w:hAnsi="黑体" w:eastAsia="黑体" w:cs="黑体"/>
          <w:b/>
          <w:bCs/>
          <w:spacing w:val="-2"/>
          <w:sz w:val="21"/>
          <w:szCs w:val="21"/>
        </w:rPr>
        <w:t>非工业企业能源消费量</w:t>
      </w:r>
      <w:r>
        <w:rPr>
          <w:rFonts w:ascii="黑体" w:hAnsi="黑体" w:eastAsia="黑体" w:cs="黑体"/>
          <w:spacing w:val="99"/>
          <w:sz w:val="21"/>
          <w:szCs w:val="21"/>
        </w:rPr>
        <w:t xml:space="preserve"> </w:t>
      </w:r>
      <w:r>
        <w:rPr>
          <w:rFonts w:ascii="宋体" w:hAnsi="宋体" w:eastAsia="宋体" w:cs="宋体"/>
          <w:spacing w:val="-2"/>
          <w:sz w:val="21"/>
          <w:szCs w:val="21"/>
        </w:rPr>
        <w:t>指不是工业企业的法人单位所消费的各种能源，具体指建筑业和服务业的</w:t>
      </w:r>
      <w:r>
        <w:rPr>
          <w:rFonts w:ascii="宋体" w:hAnsi="宋体" w:eastAsia="宋体" w:cs="宋体"/>
          <w:sz w:val="21"/>
          <w:szCs w:val="21"/>
        </w:rPr>
        <w:t xml:space="preserve">  </w:t>
      </w:r>
      <w:r>
        <w:rPr>
          <w:rFonts w:ascii="宋体" w:hAnsi="宋体" w:eastAsia="宋体" w:cs="宋体"/>
          <w:spacing w:val="5"/>
          <w:sz w:val="21"/>
          <w:szCs w:val="21"/>
        </w:rPr>
        <w:t>企事业法人单位。其能源消费主要包括：(1)用于生产经营活动的能源；(2)用于技术更新改造措施、</w:t>
      </w:r>
      <w:r>
        <w:rPr>
          <w:rFonts w:ascii="宋体" w:hAnsi="宋体" w:eastAsia="宋体" w:cs="宋体"/>
          <w:spacing w:val="9"/>
          <w:sz w:val="21"/>
          <w:szCs w:val="21"/>
        </w:rPr>
        <w:t xml:space="preserve"> </w:t>
      </w:r>
      <w:r>
        <w:rPr>
          <w:rFonts w:ascii="宋体" w:hAnsi="宋体" w:eastAsia="宋体" w:cs="宋体"/>
          <w:spacing w:val="1"/>
          <w:sz w:val="21"/>
          <w:szCs w:val="21"/>
        </w:rPr>
        <w:t>新技术研究以及科学试验等方面的能源；  (3)用于经营维修、建筑及设备大修理、机电设</w:t>
      </w:r>
      <w:r>
        <w:rPr>
          <w:rFonts w:ascii="宋体" w:hAnsi="宋体" w:eastAsia="宋体" w:cs="宋体"/>
          <w:sz w:val="21"/>
          <w:szCs w:val="21"/>
        </w:rPr>
        <w:t>备和交通运</w:t>
      </w:r>
    </w:p>
    <w:p w14:paraId="3CF21D4C">
      <w:pPr>
        <w:spacing w:line="285" w:lineRule="auto"/>
        <w:rPr>
          <w:rFonts w:ascii="宋体" w:hAnsi="宋体" w:eastAsia="宋体" w:cs="宋体"/>
          <w:sz w:val="21"/>
          <w:szCs w:val="21"/>
        </w:rPr>
        <w:sectPr>
          <w:headerReference r:id="rId71" w:type="default"/>
          <w:pgSz w:w="11910" w:h="16840"/>
          <w:pgMar w:top="1109" w:right="1194" w:bottom="400" w:left="1229" w:header="867" w:footer="0" w:gutter="0"/>
          <w:cols w:space="720" w:num="1"/>
        </w:sectPr>
      </w:pPr>
    </w:p>
    <w:p w14:paraId="10A02C81">
      <w:pPr>
        <w:pStyle w:val="2"/>
        <w:spacing w:line="353" w:lineRule="auto"/>
      </w:pPr>
    </w:p>
    <w:p w14:paraId="19D5E971">
      <w:pPr>
        <w:spacing w:before="68" w:line="219" w:lineRule="auto"/>
        <w:rPr>
          <w:rFonts w:ascii="宋体" w:hAnsi="宋体" w:eastAsia="宋体" w:cs="宋体"/>
          <w:sz w:val="21"/>
          <w:szCs w:val="21"/>
        </w:rPr>
      </w:pPr>
      <w:r>
        <w:rPr>
          <w:rFonts w:ascii="宋体" w:hAnsi="宋体" w:eastAsia="宋体" w:cs="宋体"/>
          <w:sz w:val="21"/>
          <w:szCs w:val="21"/>
        </w:rPr>
        <w:t>输工具等方面的能源；</w:t>
      </w:r>
      <w:r>
        <w:rPr>
          <w:rFonts w:ascii="宋体" w:hAnsi="宋体" w:eastAsia="宋体" w:cs="宋体"/>
          <w:spacing w:val="78"/>
          <w:sz w:val="21"/>
          <w:szCs w:val="21"/>
        </w:rPr>
        <w:t xml:space="preserve"> </w:t>
      </w:r>
      <w:r>
        <w:rPr>
          <w:rFonts w:ascii="宋体" w:hAnsi="宋体" w:eastAsia="宋体" w:cs="宋体"/>
          <w:sz w:val="21"/>
          <w:szCs w:val="21"/>
        </w:rPr>
        <w:t>(4)用于劳动保护的能源；</w:t>
      </w:r>
      <w:r>
        <w:rPr>
          <w:rFonts w:ascii="宋体" w:hAnsi="宋体" w:eastAsia="宋体" w:cs="宋体"/>
          <w:spacing w:val="85"/>
          <w:sz w:val="21"/>
          <w:szCs w:val="21"/>
        </w:rPr>
        <w:t xml:space="preserve"> </w:t>
      </w:r>
      <w:r>
        <w:rPr>
          <w:rFonts w:ascii="宋体" w:hAnsi="宋体" w:eastAsia="宋体" w:cs="宋体"/>
          <w:sz w:val="21"/>
          <w:szCs w:val="21"/>
        </w:rPr>
        <w:t>(5)其他非生产消费的能源。</w:t>
      </w:r>
    </w:p>
    <w:p w14:paraId="7CCCB52D">
      <w:pPr>
        <w:spacing w:before="140" w:line="219" w:lineRule="auto"/>
        <w:ind w:left="420"/>
        <w:rPr>
          <w:rFonts w:ascii="宋体" w:hAnsi="宋体" w:eastAsia="宋体" w:cs="宋体"/>
          <w:sz w:val="21"/>
          <w:szCs w:val="21"/>
        </w:rPr>
      </w:pPr>
      <w:r>
        <w:rPr>
          <w:rFonts w:ascii="宋体" w:hAnsi="宋体" w:eastAsia="宋体" w:cs="宋体"/>
          <w:spacing w:val="2"/>
          <w:sz w:val="21"/>
          <w:szCs w:val="21"/>
        </w:rPr>
        <w:t>非工业企业法人单位的能源消费合计=</w:t>
      </w:r>
      <w:r>
        <w:rPr>
          <w:rFonts w:ascii="Times New Roman" w:hAnsi="Times New Roman" w:eastAsia="Times New Roman" w:cs="Times New Roman"/>
          <w:spacing w:val="2"/>
          <w:sz w:val="21"/>
          <w:szCs w:val="21"/>
        </w:rPr>
        <w:t>Z</w:t>
      </w:r>
      <w:r>
        <w:rPr>
          <w:rFonts w:ascii="Times New Roman" w:hAnsi="Times New Roman" w:eastAsia="Times New Roman" w:cs="Times New Roman"/>
          <w:spacing w:val="14"/>
          <w:w w:val="101"/>
          <w:sz w:val="21"/>
          <w:szCs w:val="21"/>
        </w:rPr>
        <w:t xml:space="preserve">  </w:t>
      </w:r>
      <w:r>
        <w:rPr>
          <w:rFonts w:ascii="宋体" w:hAnsi="宋体" w:eastAsia="宋体" w:cs="宋体"/>
          <w:spacing w:val="2"/>
          <w:sz w:val="21"/>
          <w:szCs w:val="21"/>
        </w:rPr>
        <w:t>(某能源品</w:t>
      </w:r>
      <w:r>
        <w:rPr>
          <w:rFonts w:ascii="宋体" w:hAnsi="宋体" w:eastAsia="宋体" w:cs="宋体"/>
          <w:spacing w:val="1"/>
          <w:sz w:val="21"/>
          <w:szCs w:val="21"/>
        </w:rPr>
        <w:t>种的消费量×某能源品种的折标准煤系数)。</w:t>
      </w:r>
    </w:p>
    <w:p w14:paraId="205AD553">
      <w:pPr>
        <w:spacing w:before="87" w:line="307" w:lineRule="auto"/>
        <w:ind w:firstLine="424"/>
        <w:rPr>
          <w:rFonts w:ascii="宋体" w:hAnsi="宋体" w:eastAsia="宋体" w:cs="宋体"/>
          <w:sz w:val="21"/>
          <w:szCs w:val="21"/>
        </w:rPr>
      </w:pPr>
      <w:r>
        <w:rPr>
          <w:rFonts w:ascii="宋体" w:hAnsi="宋体" w:eastAsia="宋体" w:cs="宋体"/>
          <w:spacing w:val="10"/>
          <w:sz w:val="21"/>
          <w:szCs w:val="21"/>
        </w:rPr>
        <w:t>“非工业重点耗能单位能源消费情况”(205-5表)的能源消费合计(吨标准煤)=电力消费量(千</w:t>
      </w:r>
      <w:r>
        <w:rPr>
          <w:rFonts w:ascii="宋体" w:hAnsi="宋体" w:eastAsia="宋体" w:cs="宋体"/>
          <w:spacing w:val="18"/>
          <w:sz w:val="21"/>
          <w:szCs w:val="21"/>
        </w:rPr>
        <w:t xml:space="preserve"> </w:t>
      </w:r>
      <w:r>
        <w:rPr>
          <w:rFonts w:ascii="宋体" w:hAnsi="宋体" w:eastAsia="宋体" w:cs="宋体"/>
          <w:spacing w:val="11"/>
          <w:sz w:val="21"/>
          <w:szCs w:val="21"/>
        </w:rPr>
        <w:t>瓦时)×0.1229/1000+煤炭消费</w:t>
      </w:r>
      <w:r>
        <w:rPr>
          <w:rFonts w:ascii="宋体" w:hAnsi="宋体" w:eastAsia="宋体" w:cs="宋体"/>
          <w:spacing w:val="10"/>
          <w:sz w:val="21"/>
          <w:szCs w:val="21"/>
        </w:rPr>
        <w:t>量(吨)×0.7143+焦炭消费量(吨)×0.9714+煤气消费量(立方米)</w:t>
      </w:r>
      <w:r>
        <w:rPr>
          <w:rFonts w:ascii="宋体" w:hAnsi="宋体" w:eastAsia="宋体" w:cs="宋体"/>
          <w:sz w:val="21"/>
          <w:szCs w:val="21"/>
        </w:rPr>
        <w:t xml:space="preserve">  </w:t>
      </w:r>
      <w:r>
        <w:rPr>
          <w:rFonts w:ascii="宋体" w:hAnsi="宋体" w:eastAsia="宋体" w:cs="宋体"/>
          <w:spacing w:val="2"/>
          <w:sz w:val="21"/>
          <w:szCs w:val="21"/>
        </w:rPr>
        <w:t>×0.5714/1000+天然气消费量(立方米)×1.33/1000+液化石</w:t>
      </w:r>
      <w:r>
        <w:rPr>
          <w:rFonts w:ascii="宋体" w:hAnsi="宋体" w:eastAsia="宋体" w:cs="宋体"/>
          <w:spacing w:val="1"/>
          <w:sz w:val="21"/>
          <w:szCs w:val="21"/>
        </w:rPr>
        <w:t>油气消费量(吨)×1.7143+汽油消费量(吨)</w:t>
      </w:r>
      <w:r>
        <w:rPr>
          <w:rFonts w:ascii="宋体" w:hAnsi="宋体" w:eastAsia="宋体" w:cs="宋体"/>
          <w:sz w:val="21"/>
          <w:szCs w:val="21"/>
        </w:rPr>
        <w:t xml:space="preserve"> </w:t>
      </w:r>
      <w:r>
        <w:rPr>
          <w:rFonts w:ascii="宋体" w:hAnsi="宋体" w:eastAsia="宋体" w:cs="宋体"/>
          <w:spacing w:val="9"/>
          <w:sz w:val="21"/>
          <w:szCs w:val="21"/>
        </w:rPr>
        <w:t xml:space="preserve">×1.4714+煤油消费量(吨)×1.4714+柴油消费量(吨)×1.4571+燃料油消费量(吨)×1.4286+外购 </w:t>
      </w:r>
      <w:r>
        <w:rPr>
          <w:rFonts w:ascii="宋体" w:hAnsi="宋体" w:eastAsia="宋体" w:cs="宋体"/>
          <w:spacing w:val="4"/>
          <w:sz w:val="21"/>
          <w:szCs w:val="21"/>
        </w:rPr>
        <w:t>热力消费量(百万千焦)×0.0341。计算时，</w:t>
      </w:r>
      <w:r>
        <w:rPr>
          <w:rFonts w:ascii="宋体" w:hAnsi="宋体" w:eastAsia="宋体" w:cs="宋体"/>
          <w:spacing w:val="3"/>
          <w:sz w:val="21"/>
          <w:szCs w:val="21"/>
        </w:rPr>
        <w:t>各能源品种的计量单位必须与上述公式中的计量单位保持</w:t>
      </w:r>
      <w:r>
        <w:rPr>
          <w:rFonts w:ascii="宋体" w:hAnsi="宋体" w:eastAsia="宋体" w:cs="宋体"/>
          <w:sz w:val="21"/>
          <w:szCs w:val="21"/>
        </w:rPr>
        <w:t xml:space="preserve"> 一致。部分能源品种换算关系如下：汽油1升≈0.73千克~0.00073吨，轻柴油1升≈0.86千克≈0.00086 </w:t>
      </w:r>
      <w:r>
        <w:rPr>
          <w:rFonts w:ascii="宋体" w:hAnsi="宋体" w:eastAsia="宋体" w:cs="宋体"/>
          <w:spacing w:val="1"/>
          <w:sz w:val="21"/>
          <w:szCs w:val="21"/>
        </w:rPr>
        <w:t>吨，重柴油1升~0.92千克~0.00092吨，煤油1升≈0.82千克</w:t>
      </w:r>
      <w:r>
        <w:rPr>
          <w:rFonts w:ascii="宋体" w:hAnsi="宋体" w:eastAsia="宋体" w:cs="宋体"/>
          <w:sz w:val="21"/>
          <w:szCs w:val="21"/>
        </w:rPr>
        <w:t xml:space="preserve">~0.00082吨，燃料油1升~0.91千克~0.00091 </w:t>
      </w:r>
      <w:r>
        <w:rPr>
          <w:rFonts w:ascii="宋体" w:hAnsi="宋体" w:eastAsia="宋体" w:cs="宋体"/>
          <w:spacing w:val="-4"/>
          <w:sz w:val="21"/>
          <w:szCs w:val="21"/>
        </w:rPr>
        <w:t>吨。</w:t>
      </w:r>
    </w:p>
    <w:p w14:paraId="26BCD6EB">
      <w:pPr>
        <w:pStyle w:val="2"/>
        <w:spacing w:line="441" w:lineRule="auto"/>
      </w:pPr>
    </w:p>
    <w:p w14:paraId="56D71398">
      <w:pPr>
        <w:spacing w:before="92" w:line="221" w:lineRule="auto"/>
        <w:ind w:left="2294"/>
        <w:rPr>
          <w:rFonts w:ascii="黑体" w:hAnsi="黑体" w:eastAsia="黑体" w:cs="黑体"/>
          <w:sz w:val="28"/>
          <w:szCs w:val="28"/>
        </w:rPr>
      </w:pPr>
      <w:bookmarkStart w:id="23" w:name="bookmark30"/>
      <w:bookmarkEnd w:id="23"/>
      <w:r>
        <w:rPr>
          <w:rFonts w:ascii="黑体" w:hAnsi="黑体" w:eastAsia="黑体" w:cs="黑体"/>
          <w:b/>
          <w:bCs/>
          <w:spacing w:val="10"/>
          <w:sz w:val="28"/>
          <w:szCs w:val="28"/>
        </w:rPr>
        <w:t>(五)能源生产、销售与库存(205-6表)</w:t>
      </w:r>
    </w:p>
    <w:p w14:paraId="0B618EFD">
      <w:pPr>
        <w:spacing w:before="295" w:line="269" w:lineRule="auto"/>
        <w:ind w:right="69" w:firstLine="423"/>
        <w:rPr>
          <w:rFonts w:ascii="宋体" w:hAnsi="宋体" w:eastAsia="宋体" w:cs="宋体"/>
          <w:sz w:val="21"/>
          <w:szCs w:val="21"/>
        </w:rPr>
      </w:pPr>
      <w:r>
        <w:rPr>
          <w:rFonts w:ascii="黑体" w:hAnsi="黑体" w:eastAsia="黑体" w:cs="黑体"/>
          <w:b/>
          <w:bCs/>
          <w:spacing w:val="-2"/>
          <w:sz w:val="21"/>
          <w:szCs w:val="21"/>
        </w:rPr>
        <w:t>产成品库存量</w:t>
      </w:r>
      <w:r>
        <w:rPr>
          <w:rFonts w:ascii="黑体" w:hAnsi="黑体" w:eastAsia="黑体" w:cs="黑体"/>
          <w:spacing w:val="-2"/>
          <w:sz w:val="21"/>
          <w:szCs w:val="21"/>
        </w:rPr>
        <w:t xml:space="preserve">  </w:t>
      </w:r>
      <w:r>
        <w:rPr>
          <w:rFonts w:ascii="宋体" w:hAnsi="宋体" w:eastAsia="宋体" w:cs="宋体"/>
          <w:spacing w:val="-2"/>
          <w:sz w:val="21"/>
          <w:szCs w:val="21"/>
        </w:rPr>
        <w:t>指企业在期初、期末时点上，由本企业生产、办理了入库手续而暂未售出的</w:t>
      </w:r>
      <w:r>
        <w:rPr>
          <w:rFonts w:ascii="宋体" w:hAnsi="宋体" w:eastAsia="宋体" w:cs="宋体"/>
          <w:spacing w:val="-3"/>
          <w:sz w:val="21"/>
          <w:szCs w:val="21"/>
        </w:rPr>
        <w:t>产品的</w:t>
      </w:r>
      <w:r>
        <w:rPr>
          <w:rFonts w:ascii="宋体" w:hAnsi="宋体" w:eastAsia="宋体" w:cs="宋体"/>
          <w:sz w:val="21"/>
          <w:szCs w:val="21"/>
        </w:rPr>
        <w:t xml:space="preserve"> </w:t>
      </w:r>
      <w:r>
        <w:rPr>
          <w:rFonts w:ascii="宋体" w:hAnsi="宋体" w:eastAsia="宋体" w:cs="宋体"/>
          <w:spacing w:val="-11"/>
          <w:sz w:val="21"/>
          <w:szCs w:val="21"/>
        </w:rPr>
        <w:t>实物数量。</w:t>
      </w:r>
    </w:p>
    <w:p w14:paraId="6FF5BF42">
      <w:pPr>
        <w:spacing w:before="121" w:line="219" w:lineRule="auto"/>
        <w:ind w:left="529"/>
        <w:rPr>
          <w:rFonts w:ascii="宋体" w:hAnsi="宋体" w:eastAsia="宋体" w:cs="宋体"/>
          <w:sz w:val="21"/>
          <w:szCs w:val="21"/>
        </w:rPr>
      </w:pPr>
      <w:r>
        <w:rPr>
          <w:rFonts w:ascii="宋体" w:hAnsi="宋体" w:eastAsia="宋体" w:cs="宋体"/>
          <w:spacing w:val="2"/>
          <w:sz w:val="21"/>
          <w:szCs w:val="21"/>
        </w:rPr>
        <w:t>(1)产品库存量计算应遵循的原则：</w:t>
      </w:r>
    </w:p>
    <w:p w14:paraId="5830DE90">
      <w:pPr>
        <w:spacing w:before="107" w:line="286" w:lineRule="auto"/>
        <w:ind w:right="14" w:firstLine="420"/>
        <w:jc w:val="both"/>
        <w:rPr>
          <w:rFonts w:ascii="宋体" w:hAnsi="宋体" w:eastAsia="宋体" w:cs="宋体"/>
          <w:sz w:val="21"/>
          <w:szCs w:val="21"/>
        </w:rPr>
      </w:pPr>
      <w:r>
        <w:rPr>
          <w:rFonts w:ascii="宋体" w:hAnsi="宋体" w:eastAsia="宋体" w:cs="宋体"/>
          <w:sz w:val="21"/>
          <w:szCs w:val="21"/>
        </w:rPr>
        <w:t>①产品库存必须是处于“实际库存”状态的产品，即</w:t>
      </w:r>
      <w:r>
        <w:rPr>
          <w:rFonts w:ascii="宋体" w:hAnsi="宋体" w:eastAsia="宋体" w:cs="宋体"/>
          <w:spacing w:val="-1"/>
          <w:sz w:val="21"/>
          <w:szCs w:val="21"/>
        </w:rPr>
        <w:t>产品生产出来经过检验合格并办理入库手续的</w:t>
      </w:r>
      <w:r>
        <w:rPr>
          <w:rFonts w:ascii="宋体" w:hAnsi="宋体" w:eastAsia="宋体" w:cs="宋体"/>
          <w:sz w:val="21"/>
          <w:szCs w:val="21"/>
        </w:rPr>
        <w:t xml:space="preserve"> </w:t>
      </w:r>
      <w:r>
        <w:rPr>
          <w:rFonts w:ascii="宋体" w:hAnsi="宋体" w:eastAsia="宋体" w:cs="宋体"/>
          <w:spacing w:val="-1"/>
          <w:sz w:val="21"/>
          <w:szCs w:val="21"/>
        </w:rPr>
        <w:t>产品。有的产品虽已结束了生产过程，但还没有验收合格，还没有办理入库手续，不能作为产品库存统</w:t>
      </w:r>
      <w:r>
        <w:rPr>
          <w:rFonts w:ascii="宋体" w:hAnsi="宋体" w:eastAsia="宋体" w:cs="宋体"/>
          <w:spacing w:val="3"/>
          <w:sz w:val="21"/>
          <w:szCs w:val="21"/>
        </w:rPr>
        <w:t xml:space="preserve"> </w:t>
      </w:r>
      <w:r>
        <w:rPr>
          <w:rFonts w:ascii="宋体" w:hAnsi="宋体" w:eastAsia="宋体" w:cs="宋体"/>
          <w:spacing w:val="-2"/>
          <w:sz w:val="21"/>
          <w:szCs w:val="21"/>
        </w:rPr>
        <w:t>计。有的产品已经售出，但按提货制要求还没有办妥货款结算手续的，或按送货制要求未办理承运手续</w:t>
      </w:r>
      <w:r>
        <w:rPr>
          <w:rFonts w:ascii="宋体" w:hAnsi="宋体" w:eastAsia="宋体" w:cs="宋体"/>
          <w:spacing w:val="9"/>
          <w:sz w:val="21"/>
          <w:szCs w:val="21"/>
        </w:rPr>
        <w:t xml:space="preserve"> </w:t>
      </w:r>
      <w:r>
        <w:rPr>
          <w:rFonts w:ascii="宋体" w:hAnsi="宋体" w:eastAsia="宋体" w:cs="宋体"/>
          <w:spacing w:val="-2"/>
          <w:sz w:val="21"/>
          <w:szCs w:val="21"/>
        </w:rPr>
        <w:t>的，仍应作为本企业的产品库存量统计，而不能作为产品销售量统计。</w:t>
      </w:r>
    </w:p>
    <w:p w14:paraId="2092832B">
      <w:pPr>
        <w:spacing w:before="140" w:line="279" w:lineRule="auto"/>
        <w:ind w:right="29" w:firstLine="420"/>
        <w:jc w:val="both"/>
        <w:rPr>
          <w:rFonts w:ascii="宋体" w:hAnsi="宋体" w:eastAsia="宋体" w:cs="宋体"/>
          <w:sz w:val="21"/>
          <w:szCs w:val="21"/>
        </w:rPr>
      </w:pPr>
      <w:r>
        <w:rPr>
          <w:rFonts w:ascii="宋体" w:hAnsi="宋体" w:eastAsia="宋体" w:cs="宋体"/>
          <w:spacing w:val="-1"/>
          <w:sz w:val="21"/>
          <w:szCs w:val="21"/>
        </w:rPr>
        <w:t>②计入产品库存量的产品，必须是本企业有权销售的产品，对于已经销售并已办妥各项手续，但尚</w:t>
      </w:r>
      <w:r>
        <w:rPr>
          <w:rFonts w:ascii="宋体" w:hAnsi="宋体" w:eastAsia="宋体" w:cs="宋体"/>
          <w:spacing w:val="8"/>
          <w:sz w:val="21"/>
          <w:szCs w:val="21"/>
        </w:rPr>
        <w:t xml:space="preserve"> </w:t>
      </w:r>
      <w:r>
        <w:rPr>
          <w:rFonts w:ascii="宋体" w:hAnsi="宋体" w:eastAsia="宋体" w:cs="宋体"/>
          <w:spacing w:val="-2"/>
          <w:sz w:val="21"/>
          <w:szCs w:val="21"/>
        </w:rPr>
        <w:t>未提货的产品，本企业无权支配，这种产品虽然仍存在本企业仓库中，但不应统计为库存量。凡企业有</w:t>
      </w:r>
      <w:r>
        <w:rPr>
          <w:rFonts w:ascii="宋体" w:hAnsi="宋体" w:eastAsia="宋体" w:cs="宋体"/>
          <w:spacing w:val="9"/>
          <w:sz w:val="21"/>
          <w:szCs w:val="21"/>
        </w:rPr>
        <w:t xml:space="preserve"> </w:t>
      </w:r>
      <w:r>
        <w:rPr>
          <w:rFonts w:ascii="宋体" w:hAnsi="宋体" w:eastAsia="宋体" w:cs="宋体"/>
          <w:spacing w:val="-2"/>
          <w:sz w:val="21"/>
          <w:szCs w:val="21"/>
        </w:rPr>
        <w:t>权销售的产品，不论存放在什么地方，均应统计。</w:t>
      </w:r>
    </w:p>
    <w:p w14:paraId="49443F82">
      <w:pPr>
        <w:spacing w:before="128" w:line="269" w:lineRule="auto"/>
        <w:ind w:right="30" w:firstLine="420"/>
        <w:rPr>
          <w:rFonts w:ascii="宋体" w:hAnsi="宋体" w:eastAsia="宋体" w:cs="宋体"/>
          <w:sz w:val="21"/>
          <w:szCs w:val="21"/>
        </w:rPr>
      </w:pPr>
      <w:r>
        <w:rPr>
          <w:rFonts w:ascii="宋体" w:hAnsi="宋体" w:eastAsia="宋体" w:cs="宋体"/>
          <w:spacing w:val="-1"/>
          <w:sz w:val="21"/>
          <w:szCs w:val="21"/>
        </w:rPr>
        <w:t>③产品库存量不能出现负数。如果产品还没有入库就已售出，应将售出的这部分产品补填入库和出</w:t>
      </w:r>
      <w:r>
        <w:rPr>
          <w:rFonts w:ascii="宋体" w:hAnsi="宋体" w:eastAsia="宋体" w:cs="宋体"/>
          <w:spacing w:val="7"/>
          <w:sz w:val="21"/>
          <w:szCs w:val="21"/>
        </w:rPr>
        <w:t xml:space="preserve"> </w:t>
      </w:r>
      <w:r>
        <w:rPr>
          <w:rFonts w:ascii="宋体" w:hAnsi="宋体" w:eastAsia="宋体" w:cs="宋体"/>
          <w:spacing w:val="-3"/>
          <w:sz w:val="21"/>
          <w:szCs w:val="21"/>
        </w:rPr>
        <w:t>库凭证，并相应计入产品产量中。</w:t>
      </w:r>
    </w:p>
    <w:p w14:paraId="399EF4FE">
      <w:pPr>
        <w:spacing w:before="101" w:line="219" w:lineRule="auto"/>
        <w:ind w:left="529"/>
        <w:rPr>
          <w:rFonts w:ascii="宋体" w:hAnsi="宋体" w:eastAsia="宋体" w:cs="宋体"/>
          <w:sz w:val="21"/>
          <w:szCs w:val="21"/>
        </w:rPr>
      </w:pPr>
      <w:r>
        <w:rPr>
          <w:rFonts w:ascii="宋体" w:hAnsi="宋体" w:eastAsia="宋体" w:cs="宋体"/>
          <w:spacing w:val="2"/>
          <w:sz w:val="21"/>
          <w:szCs w:val="21"/>
        </w:rPr>
        <w:t>(2)产品库存量包括的内容：</w:t>
      </w:r>
    </w:p>
    <w:p w14:paraId="1BF4EB92">
      <w:pPr>
        <w:spacing w:before="118" w:line="370" w:lineRule="exact"/>
        <w:ind w:left="420"/>
        <w:rPr>
          <w:rFonts w:ascii="宋体" w:hAnsi="宋体" w:eastAsia="宋体" w:cs="宋体"/>
          <w:sz w:val="21"/>
          <w:szCs w:val="21"/>
        </w:rPr>
      </w:pPr>
      <w:r>
        <w:rPr>
          <w:rFonts w:ascii="宋体" w:hAnsi="宋体" w:eastAsia="宋体" w:cs="宋体"/>
          <w:spacing w:val="-2"/>
          <w:position w:val="12"/>
          <w:sz w:val="21"/>
          <w:szCs w:val="21"/>
        </w:rPr>
        <w:t>①本企业生产的，报告期内经检验合格入库的产品。</w:t>
      </w:r>
    </w:p>
    <w:p w14:paraId="396A70A7">
      <w:pPr>
        <w:spacing w:line="217" w:lineRule="auto"/>
        <w:ind w:left="420"/>
        <w:rPr>
          <w:rFonts w:ascii="宋体" w:hAnsi="宋体" w:eastAsia="宋体" w:cs="宋体"/>
          <w:sz w:val="21"/>
          <w:szCs w:val="21"/>
        </w:rPr>
      </w:pPr>
      <w:r>
        <w:rPr>
          <w:rFonts w:ascii="宋体" w:hAnsi="宋体" w:eastAsia="宋体" w:cs="宋体"/>
          <w:spacing w:val="-3"/>
          <w:sz w:val="21"/>
          <w:szCs w:val="21"/>
        </w:rPr>
        <w:t>②库存产品虽有销售对象，但尚未发货的。</w:t>
      </w:r>
    </w:p>
    <w:p w14:paraId="32E68DF0">
      <w:pPr>
        <w:spacing w:before="103" w:line="360" w:lineRule="exact"/>
        <w:ind w:left="420"/>
        <w:rPr>
          <w:rFonts w:ascii="宋体" w:hAnsi="宋体" w:eastAsia="宋体" w:cs="宋体"/>
          <w:sz w:val="21"/>
          <w:szCs w:val="21"/>
        </w:rPr>
      </w:pPr>
      <w:r>
        <w:rPr>
          <w:rFonts w:ascii="宋体" w:hAnsi="宋体" w:eastAsia="宋体" w:cs="宋体"/>
          <w:spacing w:val="-4"/>
          <w:position w:val="11"/>
          <w:sz w:val="21"/>
          <w:szCs w:val="21"/>
        </w:rPr>
        <w:t>③</w:t>
      </w:r>
      <w:r>
        <w:rPr>
          <w:rFonts w:ascii="宋体" w:hAnsi="宋体" w:eastAsia="宋体" w:cs="宋体"/>
          <w:spacing w:val="-62"/>
          <w:position w:val="11"/>
          <w:sz w:val="21"/>
          <w:szCs w:val="21"/>
        </w:rPr>
        <w:t xml:space="preserve"> </w:t>
      </w:r>
      <w:r>
        <w:rPr>
          <w:rFonts w:ascii="宋体" w:hAnsi="宋体" w:eastAsia="宋体" w:cs="宋体"/>
          <w:spacing w:val="-4"/>
          <w:position w:val="11"/>
          <w:sz w:val="21"/>
          <w:szCs w:val="21"/>
        </w:rPr>
        <w:t>非工业企业和境外订货者来料加工产品尚未拨出的。</w:t>
      </w:r>
    </w:p>
    <w:p w14:paraId="63BEFA45">
      <w:pPr>
        <w:spacing w:line="217" w:lineRule="auto"/>
        <w:ind w:left="420"/>
        <w:rPr>
          <w:rFonts w:ascii="宋体" w:hAnsi="宋体" w:eastAsia="宋体" w:cs="宋体"/>
          <w:sz w:val="21"/>
          <w:szCs w:val="21"/>
        </w:rPr>
      </w:pPr>
      <w:r>
        <w:rPr>
          <w:rFonts w:ascii="宋体" w:hAnsi="宋体" w:eastAsia="宋体" w:cs="宋体"/>
          <w:spacing w:val="-5"/>
          <w:sz w:val="21"/>
          <w:szCs w:val="21"/>
        </w:rPr>
        <w:t>④盘点中的账外产品。</w:t>
      </w:r>
    </w:p>
    <w:p w14:paraId="1B34DC73">
      <w:pPr>
        <w:spacing w:before="93" w:line="217" w:lineRule="auto"/>
        <w:ind w:left="420"/>
        <w:rPr>
          <w:rFonts w:ascii="宋体" w:hAnsi="宋体" w:eastAsia="宋体" w:cs="宋体"/>
          <w:sz w:val="21"/>
          <w:szCs w:val="21"/>
        </w:rPr>
      </w:pPr>
      <w:r>
        <w:rPr>
          <w:rFonts w:ascii="宋体" w:hAnsi="宋体" w:eastAsia="宋体" w:cs="宋体"/>
          <w:spacing w:val="-1"/>
          <w:sz w:val="21"/>
          <w:szCs w:val="21"/>
        </w:rPr>
        <w:t>⑤产品入库后发现有质量问题，但未办理退库手续的</w:t>
      </w:r>
      <w:r>
        <w:rPr>
          <w:rFonts w:ascii="宋体" w:hAnsi="宋体" w:eastAsia="宋体" w:cs="宋体"/>
          <w:spacing w:val="-2"/>
          <w:sz w:val="21"/>
          <w:szCs w:val="21"/>
        </w:rPr>
        <w:t>产品。</w:t>
      </w:r>
    </w:p>
    <w:p w14:paraId="441B5041">
      <w:pPr>
        <w:spacing w:before="126" w:line="219" w:lineRule="auto"/>
        <w:ind w:left="529"/>
        <w:rPr>
          <w:rFonts w:ascii="宋体" w:hAnsi="宋体" w:eastAsia="宋体" w:cs="宋体"/>
          <w:sz w:val="21"/>
          <w:szCs w:val="21"/>
        </w:rPr>
      </w:pPr>
      <w:r>
        <w:rPr>
          <w:rFonts w:ascii="宋体" w:hAnsi="宋体" w:eastAsia="宋体" w:cs="宋体"/>
          <w:spacing w:val="2"/>
          <w:sz w:val="21"/>
          <w:szCs w:val="21"/>
        </w:rPr>
        <w:t>(3)产品库存量不应包括的内容：</w:t>
      </w:r>
    </w:p>
    <w:p w14:paraId="1033AA71">
      <w:pPr>
        <w:spacing w:before="129" w:line="262" w:lineRule="auto"/>
        <w:ind w:left="420" w:right="1296"/>
        <w:rPr>
          <w:rFonts w:ascii="宋体" w:hAnsi="宋体" w:eastAsia="宋体" w:cs="宋体"/>
          <w:sz w:val="21"/>
          <w:szCs w:val="21"/>
        </w:rPr>
      </w:pPr>
      <w:r>
        <w:rPr>
          <w:rFonts w:ascii="宋体" w:hAnsi="宋体" w:eastAsia="宋体" w:cs="宋体"/>
          <w:spacing w:val="-1"/>
          <w:sz w:val="21"/>
          <w:szCs w:val="21"/>
        </w:rPr>
        <w:t>①属于提货制销售的产品，已办理货款结算和开出提货单，但用户尚未提</w:t>
      </w:r>
      <w:r>
        <w:rPr>
          <w:rFonts w:ascii="宋体" w:hAnsi="宋体" w:eastAsia="宋体" w:cs="宋体"/>
          <w:spacing w:val="-2"/>
          <w:sz w:val="21"/>
          <w:szCs w:val="21"/>
        </w:rPr>
        <w:t>走的产品。</w:t>
      </w:r>
      <w:r>
        <w:rPr>
          <w:rFonts w:ascii="宋体" w:hAnsi="宋体" w:eastAsia="宋体" w:cs="宋体"/>
          <w:sz w:val="21"/>
          <w:szCs w:val="21"/>
        </w:rPr>
        <w:t xml:space="preserve"> </w:t>
      </w:r>
      <w:r>
        <w:rPr>
          <w:rFonts w:ascii="宋体" w:hAnsi="宋体" w:eastAsia="宋体" w:cs="宋体"/>
          <w:spacing w:val="-4"/>
          <w:sz w:val="21"/>
          <w:szCs w:val="21"/>
        </w:rPr>
        <w:t>②代外单位保管的产品。</w:t>
      </w:r>
    </w:p>
    <w:p w14:paraId="6B0FC4E6">
      <w:pPr>
        <w:spacing w:before="123" w:line="217" w:lineRule="auto"/>
        <w:ind w:left="420"/>
        <w:rPr>
          <w:rFonts w:ascii="宋体" w:hAnsi="宋体" w:eastAsia="宋体" w:cs="宋体"/>
          <w:sz w:val="21"/>
          <w:szCs w:val="21"/>
        </w:rPr>
      </w:pPr>
      <w:r>
        <w:rPr>
          <w:rFonts w:ascii="宋体" w:hAnsi="宋体" w:eastAsia="宋体" w:cs="宋体"/>
          <w:spacing w:val="-2"/>
          <w:sz w:val="21"/>
          <w:szCs w:val="21"/>
        </w:rPr>
        <w:t>③已结束生产过程但尚未办理入库手续的产品。</w:t>
      </w:r>
    </w:p>
    <w:p w14:paraId="11D4CEDE">
      <w:pPr>
        <w:spacing w:before="93" w:line="221" w:lineRule="auto"/>
        <w:ind w:left="423"/>
        <w:rPr>
          <w:rFonts w:ascii="宋体" w:hAnsi="宋体" w:eastAsia="宋体" w:cs="宋体"/>
          <w:sz w:val="21"/>
          <w:szCs w:val="21"/>
        </w:rPr>
      </w:pPr>
      <w:r>
        <w:rPr>
          <w:rFonts w:ascii="黑体" w:hAnsi="黑体" w:eastAsia="黑体" w:cs="黑体"/>
          <w:b/>
          <w:bCs/>
          <w:spacing w:val="-1"/>
          <w:sz w:val="21"/>
          <w:szCs w:val="21"/>
        </w:rPr>
        <w:t>生产量</w:t>
      </w:r>
      <w:r>
        <w:rPr>
          <w:rFonts w:ascii="黑体" w:hAnsi="黑体" w:eastAsia="黑体" w:cs="黑体"/>
          <w:spacing w:val="89"/>
          <w:sz w:val="21"/>
          <w:szCs w:val="21"/>
        </w:rPr>
        <w:t xml:space="preserve"> </w:t>
      </w:r>
      <w:r>
        <w:rPr>
          <w:rFonts w:ascii="宋体" w:hAnsi="宋体" w:eastAsia="宋体" w:cs="宋体"/>
          <w:spacing w:val="-1"/>
          <w:sz w:val="21"/>
          <w:szCs w:val="21"/>
        </w:rPr>
        <w:t>指企业在报告期内生产的并符合产品质量要求的实物数量，</w:t>
      </w:r>
      <w:r>
        <w:rPr>
          <w:rFonts w:ascii="宋体" w:hAnsi="宋体" w:eastAsia="宋体" w:cs="宋体"/>
          <w:spacing w:val="-2"/>
          <w:sz w:val="21"/>
          <w:szCs w:val="21"/>
        </w:rPr>
        <w:t>包括商品量和自用量两部分。</w:t>
      </w:r>
    </w:p>
    <w:p w14:paraId="2410EFCC">
      <w:pPr>
        <w:spacing w:before="112" w:line="219" w:lineRule="auto"/>
        <w:ind w:left="529"/>
        <w:rPr>
          <w:rFonts w:ascii="宋体" w:hAnsi="宋体" w:eastAsia="宋体" w:cs="宋体"/>
          <w:sz w:val="21"/>
          <w:szCs w:val="21"/>
        </w:rPr>
      </w:pPr>
      <w:r>
        <w:rPr>
          <w:rFonts w:ascii="宋体" w:hAnsi="宋体" w:eastAsia="宋体" w:cs="宋体"/>
          <w:spacing w:val="2"/>
          <w:sz w:val="21"/>
          <w:szCs w:val="21"/>
        </w:rPr>
        <w:t>(1)产品生产量计算应遵循的原则：</w:t>
      </w:r>
    </w:p>
    <w:p w14:paraId="65FAEDC4">
      <w:pPr>
        <w:spacing w:before="98" w:line="372" w:lineRule="exact"/>
        <w:ind w:right="32"/>
        <w:jc w:val="right"/>
        <w:rPr>
          <w:rFonts w:ascii="宋体" w:hAnsi="宋体" w:eastAsia="宋体" w:cs="宋体"/>
          <w:sz w:val="21"/>
          <w:szCs w:val="21"/>
        </w:rPr>
      </w:pPr>
      <w:r>
        <w:rPr>
          <w:rFonts w:ascii="宋体" w:hAnsi="宋体" w:eastAsia="宋体" w:cs="宋体"/>
          <w:spacing w:val="-1"/>
          <w:position w:val="12"/>
          <w:sz w:val="21"/>
          <w:szCs w:val="21"/>
        </w:rPr>
        <w:t>①产品质量标准：产品必须符合规定的质量标准或订货合同规定的技术条件，才可统计生产量。产</w:t>
      </w:r>
    </w:p>
    <w:p w14:paraId="7FF1FB74">
      <w:pPr>
        <w:spacing w:line="218" w:lineRule="auto"/>
        <w:rPr>
          <w:rFonts w:ascii="宋体" w:hAnsi="宋体" w:eastAsia="宋体" w:cs="宋体"/>
          <w:sz w:val="21"/>
          <w:szCs w:val="21"/>
        </w:rPr>
      </w:pPr>
      <w:r>
        <w:rPr>
          <w:rFonts w:ascii="宋体" w:hAnsi="宋体" w:eastAsia="宋体" w:cs="宋体"/>
          <w:spacing w:val="-2"/>
          <w:sz w:val="21"/>
          <w:szCs w:val="21"/>
        </w:rPr>
        <w:t>品质量标准一律按国家标准或部颁标准执行。没有国家标准或部颁标准的产品，应按企业主管机关的标</w:t>
      </w:r>
    </w:p>
    <w:p w14:paraId="35C98CCB">
      <w:pPr>
        <w:spacing w:line="218" w:lineRule="auto"/>
        <w:rPr>
          <w:rFonts w:ascii="宋体" w:hAnsi="宋体" w:eastAsia="宋体" w:cs="宋体"/>
          <w:sz w:val="21"/>
          <w:szCs w:val="21"/>
        </w:rPr>
        <w:sectPr>
          <w:headerReference r:id="rId72" w:type="default"/>
          <w:pgSz w:w="11910" w:h="16840"/>
          <w:pgMar w:top="1055" w:right="1233" w:bottom="400" w:left="1229" w:header="876" w:footer="0" w:gutter="0"/>
          <w:cols w:space="720" w:num="1"/>
        </w:sectPr>
      </w:pPr>
    </w:p>
    <w:p w14:paraId="55E38AA7">
      <w:pPr>
        <w:pStyle w:val="2"/>
        <w:spacing w:line="370" w:lineRule="auto"/>
      </w:pPr>
      <w:r>
        <w:pict>
          <v:rect id="_x0000_s1045" o:spid="_x0000_s1045" o:spt="1" style="position:absolute;left:0pt;margin-left:61.75pt;margin-top:52.3pt;height:0.5pt;width:19.9pt;mso-position-horizontal-relative:page;mso-position-vertical-relative:page;z-index:251756544;mso-width-relative:page;mso-height-relative:page;" fillcolor="#000000" filled="t" stroked="f" coordsize="21600,21600" o:allowincell="f">
            <v:path/>
            <v:fill on="t" focussize="0,0"/>
            <v:stroke on="f"/>
            <v:imagedata o:title=""/>
            <o:lock v:ext="edit"/>
          </v:rect>
        </w:pict>
      </w:r>
    </w:p>
    <w:p w14:paraId="51D409F0">
      <w:pPr>
        <w:spacing w:before="68" w:line="219" w:lineRule="auto"/>
        <w:ind w:left="4"/>
        <w:rPr>
          <w:rFonts w:ascii="宋体" w:hAnsi="宋体" w:eastAsia="宋体" w:cs="宋体"/>
          <w:sz w:val="21"/>
          <w:szCs w:val="21"/>
        </w:rPr>
      </w:pPr>
      <w:r>
        <w:rPr>
          <w:rFonts w:ascii="宋体" w:hAnsi="宋体" w:eastAsia="宋体" w:cs="宋体"/>
          <w:spacing w:val="-1"/>
          <w:sz w:val="21"/>
          <w:szCs w:val="21"/>
        </w:rPr>
        <w:t>准或订货合同规定的技术条件执行，不得擅自更改标准或降低标准，不合格的产品不能计算生产量。</w:t>
      </w:r>
    </w:p>
    <w:p w14:paraId="4B1F0AAE">
      <w:pPr>
        <w:spacing w:before="111" w:line="292" w:lineRule="auto"/>
        <w:ind w:left="4" w:firstLine="400"/>
        <w:rPr>
          <w:rFonts w:ascii="宋体" w:hAnsi="宋体" w:eastAsia="宋体" w:cs="宋体"/>
          <w:sz w:val="21"/>
          <w:szCs w:val="21"/>
        </w:rPr>
      </w:pPr>
      <w:r>
        <w:rPr>
          <w:rFonts w:ascii="宋体" w:hAnsi="宋体" w:eastAsia="宋体" w:cs="宋体"/>
          <w:spacing w:val="-5"/>
          <w:sz w:val="21"/>
          <w:szCs w:val="21"/>
        </w:rPr>
        <w:t>②统计时间：产品生产量反映的是报告期内的企业生产成果，凡报告期内生产的产品都应计算在内，</w:t>
      </w:r>
      <w:r>
        <w:rPr>
          <w:rFonts w:ascii="宋体" w:hAnsi="宋体" w:eastAsia="宋体" w:cs="宋体"/>
          <w:spacing w:val="13"/>
          <w:sz w:val="21"/>
          <w:szCs w:val="21"/>
        </w:rPr>
        <w:t xml:space="preserve"> </w:t>
      </w:r>
      <w:r>
        <w:rPr>
          <w:rFonts w:ascii="宋体" w:hAnsi="宋体" w:eastAsia="宋体" w:cs="宋体"/>
          <w:spacing w:val="-2"/>
          <w:sz w:val="21"/>
          <w:szCs w:val="21"/>
        </w:rPr>
        <w:t>即截至报告期最后一天检验合格并办理了入库手续的产品，其中规定要求包装的产品必须包装好才能计</w:t>
      </w:r>
      <w:r>
        <w:rPr>
          <w:rFonts w:ascii="宋体" w:hAnsi="宋体" w:eastAsia="宋体" w:cs="宋体"/>
          <w:spacing w:val="18"/>
          <w:sz w:val="21"/>
          <w:szCs w:val="21"/>
        </w:rPr>
        <w:t xml:space="preserve"> </w:t>
      </w:r>
      <w:r>
        <w:rPr>
          <w:rFonts w:ascii="宋体" w:hAnsi="宋体" w:eastAsia="宋体" w:cs="宋体"/>
          <w:spacing w:val="-2"/>
          <w:sz w:val="21"/>
          <w:szCs w:val="21"/>
        </w:rPr>
        <w:t>算其生产量。至于报告期最后一天以哪一个班次作为截止计算产量的班次则由企业主管机关规定，并应</w:t>
      </w:r>
      <w:r>
        <w:rPr>
          <w:rFonts w:ascii="宋体" w:hAnsi="宋体" w:eastAsia="宋体" w:cs="宋体"/>
          <w:spacing w:val="18"/>
          <w:sz w:val="21"/>
          <w:szCs w:val="21"/>
        </w:rPr>
        <w:t xml:space="preserve"> </w:t>
      </w:r>
      <w:r>
        <w:rPr>
          <w:rFonts w:ascii="宋体" w:hAnsi="宋体" w:eastAsia="宋体" w:cs="宋体"/>
          <w:spacing w:val="-1"/>
          <w:sz w:val="21"/>
          <w:szCs w:val="21"/>
        </w:rPr>
        <w:t>与会计核算的结算时间一致。结算时间一经确定，就要严格执行，不得随意提前</w:t>
      </w:r>
      <w:r>
        <w:rPr>
          <w:rFonts w:ascii="宋体" w:hAnsi="宋体" w:eastAsia="宋体" w:cs="宋体"/>
          <w:spacing w:val="-2"/>
          <w:sz w:val="21"/>
          <w:szCs w:val="21"/>
        </w:rPr>
        <w:t>或移后。</w:t>
      </w:r>
    </w:p>
    <w:p w14:paraId="2A1367D3">
      <w:pPr>
        <w:spacing w:before="88" w:line="285" w:lineRule="auto"/>
        <w:ind w:left="4" w:right="25" w:firstLine="400"/>
        <w:rPr>
          <w:rFonts w:ascii="宋体" w:hAnsi="宋体" w:eastAsia="宋体" w:cs="宋体"/>
          <w:sz w:val="21"/>
          <w:szCs w:val="21"/>
        </w:rPr>
      </w:pPr>
      <w:r>
        <w:rPr>
          <w:rFonts w:ascii="宋体" w:hAnsi="宋体" w:eastAsia="宋体" w:cs="宋体"/>
          <w:sz w:val="21"/>
          <w:szCs w:val="21"/>
        </w:rPr>
        <w:t>③准确度量：准确度量是计算产品产量的重要一</w:t>
      </w:r>
      <w:r>
        <w:rPr>
          <w:rFonts w:ascii="宋体" w:hAnsi="宋体" w:eastAsia="宋体" w:cs="宋体"/>
          <w:spacing w:val="-1"/>
          <w:sz w:val="21"/>
          <w:szCs w:val="21"/>
        </w:rPr>
        <w:t>环，企业应配备必要的计量设备，对产量进行实际</w:t>
      </w:r>
      <w:r>
        <w:rPr>
          <w:rFonts w:ascii="宋体" w:hAnsi="宋体" w:eastAsia="宋体" w:cs="宋体"/>
          <w:sz w:val="21"/>
          <w:szCs w:val="21"/>
        </w:rPr>
        <w:t xml:space="preserve"> </w:t>
      </w:r>
      <w:r>
        <w:rPr>
          <w:rFonts w:ascii="宋体" w:hAnsi="宋体" w:eastAsia="宋体" w:cs="宋体"/>
          <w:spacing w:val="-5"/>
          <w:sz w:val="21"/>
          <w:szCs w:val="21"/>
        </w:rPr>
        <w:t>度量，不得随意估算，对确有困难不得不推算的某些产品，</w:t>
      </w:r>
      <w:r>
        <w:rPr>
          <w:rFonts w:ascii="宋体" w:hAnsi="宋体" w:eastAsia="宋体" w:cs="宋体"/>
          <w:spacing w:val="59"/>
          <w:sz w:val="21"/>
          <w:szCs w:val="21"/>
        </w:rPr>
        <w:t xml:space="preserve"> </w:t>
      </w:r>
      <w:r>
        <w:rPr>
          <w:rFonts w:ascii="宋体" w:hAnsi="宋体" w:eastAsia="宋体" w:cs="宋体"/>
          <w:spacing w:val="-5"/>
          <w:sz w:val="21"/>
          <w:szCs w:val="21"/>
        </w:rPr>
        <w:t>一定要按</w:t>
      </w:r>
      <w:r>
        <w:rPr>
          <w:rFonts w:ascii="宋体" w:hAnsi="宋体" w:eastAsia="宋体" w:cs="宋体"/>
          <w:spacing w:val="-6"/>
          <w:sz w:val="21"/>
          <w:szCs w:val="21"/>
        </w:rPr>
        <w:t>照主管部门规定的推算方法计算，</w:t>
      </w:r>
      <w:r>
        <w:rPr>
          <w:rFonts w:ascii="宋体" w:hAnsi="宋体" w:eastAsia="宋体" w:cs="宋体"/>
          <w:sz w:val="21"/>
          <w:szCs w:val="21"/>
        </w:rPr>
        <w:t xml:space="preserve"> </w:t>
      </w:r>
      <w:r>
        <w:rPr>
          <w:rFonts w:ascii="宋体" w:hAnsi="宋体" w:eastAsia="宋体" w:cs="宋体"/>
          <w:spacing w:val="-4"/>
          <w:sz w:val="21"/>
          <w:szCs w:val="21"/>
        </w:rPr>
        <w:t>使之尽量接近实际。</w:t>
      </w:r>
    </w:p>
    <w:p w14:paraId="121A4369">
      <w:pPr>
        <w:spacing w:before="120" w:line="219" w:lineRule="auto"/>
        <w:ind w:left="544"/>
        <w:rPr>
          <w:rFonts w:ascii="宋体" w:hAnsi="宋体" w:eastAsia="宋体" w:cs="宋体"/>
          <w:sz w:val="21"/>
          <w:szCs w:val="21"/>
        </w:rPr>
      </w:pPr>
      <w:r>
        <w:rPr>
          <w:rFonts w:ascii="宋体" w:hAnsi="宋体" w:eastAsia="宋体" w:cs="宋体"/>
          <w:spacing w:val="2"/>
          <w:sz w:val="21"/>
          <w:szCs w:val="21"/>
        </w:rPr>
        <w:t>(2)产品生产量包括的内容：</w:t>
      </w:r>
    </w:p>
    <w:p w14:paraId="3949F893">
      <w:pPr>
        <w:spacing w:before="119" w:line="268" w:lineRule="auto"/>
        <w:ind w:left="4" w:right="51" w:firstLine="400"/>
        <w:rPr>
          <w:rFonts w:ascii="宋体" w:hAnsi="宋体" w:eastAsia="宋体" w:cs="宋体"/>
          <w:sz w:val="21"/>
          <w:szCs w:val="21"/>
        </w:rPr>
      </w:pPr>
      <w:r>
        <w:rPr>
          <w:rFonts w:ascii="宋体" w:hAnsi="宋体" w:eastAsia="宋体" w:cs="宋体"/>
          <w:spacing w:val="4"/>
          <w:sz w:val="21"/>
          <w:szCs w:val="21"/>
        </w:rPr>
        <w:t>①企业各车间(主要车间、辅助车间、附属品车间及副产品车间)用自备原</w:t>
      </w:r>
      <w:r>
        <w:rPr>
          <w:rFonts w:ascii="宋体" w:hAnsi="宋体" w:eastAsia="宋体" w:cs="宋体"/>
          <w:spacing w:val="3"/>
          <w:sz w:val="21"/>
          <w:szCs w:val="21"/>
        </w:rPr>
        <w:t>材料生产的全部产品产</w:t>
      </w:r>
      <w:r>
        <w:rPr>
          <w:rFonts w:ascii="宋体" w:hAnsi="宋体" w:eastAsia="宋体" w:cs="宋体"/>
          <w:sz w:val="21"/>
          <w:szCs w:val="21"/>
        </w:rPr>
        <w:t xml:space="preserve"> </w:t>
      </w:r>
      <w:r>
        <w:rPr>
          <w:rFonts w:ascii="宋体" w:hAnsi="宋体" w:eastAsia="宋体" w:cs="宋体"/>
          <w:spacing w:val="-1"/>
          <w:sz w:val="21"/>
          <w:szCs w:val="21"/>
        </w:rPr>
        <w:t>量，不论是要销售的商品量还是本企业的自用量</w:t>
      </w:r>
      <w:r>
        <w:rPr>
          <w:rFonts w:ascii="宋体" w:hAnsi="宋体" w:eastAsia="宋体" w:cs="宋体"/>
          <w:spacing w:val="-2"/>
          <w:sz w:val="21"/>
          <w:szCs w:val="21"/>
        </w:rPr>
        <w:t>，均应统计生产量。</w:t>
      </w:r>
    </w:p>
    <w:p w14:paraId="52F1690E">
      <w:pPr>
        <w:spacing w:before="129" w:line="279" w:lineRule="auto"/>
        <w:ind w:left="4" w:right="42" w:firstLine="400"/>
        <w:rPr>
          <w:rFonts w:ascii="宋体" w:hAnsi="宋体" w:eastAsia="宋体" w:cs="宋体"/>
          <w:sz w:val="21"/>
          <w:szCs w:val="21"/>
        </w:rPr>
      </w:pPr>
      <w:r>
        <w:rPr>
          <w:rFonts w:ascii="宋体" w:hAnsi="宋体" w:eastAsia="宋体" w:cs="宋体"/>
          <w:spacing w:val="-1"/>
          <w:sz w:val="21"/>
          <w:szCs w:val="21"/>
        </w:rPr>
        <w:t>②凡用订货者来料加工生产的产品，并且加工企业只收取加工费的，如果</w:t>
      </w:r>
      <w:r>
        <w:rPr>
          <w:rFonts w:ascii="宋体" w:hAnsi="宋体" w:eastAsia="宋体" w:cs="宋体"/>
          <w:spacing w:val="-2"/>
          <w:sz w:val="21"/>
          <w:szCs w:val="21"/>
        </w:rPr>
        <w:t>订货者是境内非工业企业</w:t>
      </w:r>
      <w:r>
        <w:rPr>
          <w:rFonts w:ascii="宋体" w:hAnsi="宋体" w:eastAsia="宋体" w:cs="宋体"/>
          <w:sz w:val="21"/>
          <w:szCs w:val="21"/>
        </w:rPr>
        <w:t xml:space="preserve"> </w:t>
      </w:r>
      <w:r>
        <w:rPr>
          <w:rFonts w:ascii="宋体" w:hAnsi="宋体" w:eastAsia="宋体" w:cs="宋体"/>
          <w:spacing w:val="1"/>
          <w:sz w:val="21"/>
          <w:szCs w:val="21"/>
        </w:rPr>
        <w:t xml:space="preserve">和境外企业，其产品生产量由加工企业统计；如果订货者是境内工业企业，产品生产量由委托企业(即 </w:t>
      </w:r>
      <w:r>
        <w:rPr>
          <w:rFonts w:ascii="宋体" w:hAnsi="宋体" w:eastAsia="宋体" w:cs="宋体"/>
          <w:spacing w:val="11"/>
          <w:sz w:val="21"/>
          <w:szCs w:val="21"/>
        </w:rPr>
        <w:t>发包企业)统计，加工企业(即承包企业)不统计。</w:t>
      </w:r>
    </w:p>
    <w:p w14:paraId="304A86C6">
      <w:pPr>
        <w:spacing w:before="129" w:line="255" w:lineRule="auto"/>
        <w:ind w:left="4" w:right="55" w:firstLine="400"/>
        <w:rPr>
          <w:rFonts w:ascii="宋体" w:hAnsi="宋体" w:eastAsia="宋体" w:cs="宋体"/>
          <w:sz w:val="21"/>
          <w:szCs w:val="21"/>
        </w:rPr>
      </w:pPr>
      <w:r>
        <w:rPr>
          <w:rFonts w:ascii="宋体" w:hAnsi="宋体" w:eastAsia="宋体" w:cs="宋体"/>
          <w:spacing w:val="-1"/>
          <w:sz w:val="21"/>
          <w:szCs w:val="21"/>
        </w:rPr>
        <w:t>③经正式鉴定合格的新产品、自产自用的生产设备、未正式投入生产以前试生</w:t>
      </w:r>
      <w:r>
        <w:rPr>
          <w:rFonts w:ascii="宋体" w:hAnsi="宋体" w:eastAsia="宋体" w:cs="宋体"/>
          <w:spacing w:val="-2"/>
          <w:sz w:val="21"/>
          <w:szCs w:val="21"/>
        </w:rPr>
        <w:t>产的合格品以及基本</w:t>
      </w:r>
      <w:r>
        <w:rPr>
          <w:rFonts w:ascii="宋体" w:hAnsi="宋体" w:eastAsia="宋体" w:cs="宋体"/>
          <w:sz w:val="21"/>
          <w:szCs w:val="21"/>
        </w:rPr>
        <w:t xml:space="preserve"> </w:t>
      </w:r>
      <w:r>
        <w:rPr>
          <w:rFonts w:ascii="宋体" w:hAnsi="宋体" w:eastAsia="宋体" w:cs="宋体"/>
          <w:spacing w:val="-2"/>
          <w:sz w:val="21"/>
          <w:szCs w:val="21"/>
        </w:rPr>
        <w:t>建设附产的合格品，都应包括在产品生产量中。</w:t>
      </w:r>
    </w:p>
    <w:p w14:paraId="2B96FD69">
      <w:pPr>
        <w:spacing w:before="140" w:line="260" w:lineRule="auto"/>
        <w:ind w:left="4" w:firstLine="400"/>
        <w:rPr>
          <w:rFonts w:ascii="宋体" w:hAnsi="宋体" w:eastAsia="宋体" w:cs="宋体"/>
          <w:sz w:val="21"/>
          <w:szCs w:val="21"/>
        </w:rPr>
      </w:pPr>
      <w:r>
        <w:rPr>
          <w:rFonts w:ascii="宋体" w:hAnsi="宋体" w:eastAsia="宋体" w:cs="宋体"/>
          <w:spacing w:val="-5"/>
          <w:sz w:val="21"/>
          <w:szCs w:val="21"/>
        </w:rPr>
        <w:t>④用进口原材料或关键零件生产的产品，或用进口整套散装零件及用进口组装件加工、装配的产品，</w:t>
      </w:r>
      <w:r>
        <w:rPr>
          <w:rFonts w:ascii="宋体" w:hAnsi="宋体" w:eastAsia="宋体" w:cs="宋体"/>
          <w:spacing w:val="13"/>
          <w:sz w:val="21"/>
          <w:szCs w:val="21"/>
        </w:rPr>
        <w:t xml:space="preserve"> </w:t>
      </w:r>
      <w:r>
        <w:rPr>
          <w:rFonts w:ascii="宋体" w:hAnsi="宋体" w:eastAsia="宋体" w:cs="宋体"/>
          <w:spacing w:val="-1"/>
          <w:sz w:val="21"/>
          <w:szCs w:val="21"/>
        </w:rPr>
        <w:t>不论是在国内销售还是外商经销，生产量均统计在国内</w:t>
      </w:r>
      <w:r>
        <w:rPr>
          <w:rFonts w:ascii="宋体" w:hAnsi="宋体" w:eastAsia="宋体" w:cs="宋体"/>
          <w:spacing w:val="-2"/>
          <w:sz w:val="21"/>
          <w:szCs w:val="21"/>
        </w:rPr>
        <w:t>同种产品生产量中。</w:t>
      </w:r>
    </w:p>
    <w:p w14:paraId="32C51EF8">
      <w:pPr>
        <w:spacing w:before="118" w:line="260" w:lineRule="auto"/>
        <w:ind w:left="4" w:right="46" w:firstLine="400"/>
        <w:rPr>
          <w:rFonts w:ascii="宋体" w:hAnsi="宋体" w:eastAsia="宋体" w:cs="宋体"/>
          <w:sz w:val="21"/>
          <w:szCs w:val="21"/>
        </w:rPr>
      </w:pPr>
      <w:r>
        <w:rPr>
          <w:rFonts w:ascii="宋体" w:hAnsi="宋体" w:eastAsia="宋体" w:cs="宋体"/>
          <w:spacing w:val="-1"/>
          <w:sz w:val="21"/>
          <w:szCs w:val="21"/>
        </w:rPr>
        <w:t>⑤在我国国土范围内的外商投资和港、澳、台商投资企业生产的产品，其生产量全部统计在国内同</w:t>
      </w:r>
      <w:r>
        <w:rPr>
          <w:rFonts w:ascii="宋体" w:hAnsi="宋体" w:eastAsia="宋体" w:cs="宋体"/>
          <w:sz w:val="21"/>
          <w:szCs w:val="21"/>
        </w:rPr>
        <w:t xml:space="preserve"> </w:t>
      </w:r>
      <w:r>
        <w:rPr>
          <w:rFonts w:ascii="宋体" w:hAnsi="宋体" w:eastAsia="宋体" w:cs="宋体"/>
          <w:spacing w:val="-5"/>
          <w:sz w:val="21"/>
          <w:szCs w:val="21"/>
        </w:rPr>
        <w:t>种产品生产量中。</w:t>
      </w:r>
    </w:p>
    <w:p w14:paraId="29B43076">
      <w:pPr>
        <w:spacing w:before="100" w:line="292" w:lineRule="auto"/>
        <w:ind w:left="4" w:right="55" w:firstLine="400"/>
        <w:rPr>
          <w:rFonts w:ascii="宋体" w:hAnsi="宋体" w:eastAsia="宋体" w:cs="宋体"/>
          <w:sz w:val="21"/>
          <w:szCs w:val="21"/>
        </w:rPr>
      </w:pPr>
      <w:r>
        <w:rPr>
          <w:rFonts w:ascii="宋体" w:hAnsi="宋体" w:eastAsia="宋体" w:cs="宋体"/>
          <w:spacing w:val="-2"/>
          <w:sz w:val="21"/>
          <w:szCs w:val="21"/>
        </w:rPr>
        <w:t>区分来料加工与自备原材料生产的依据是加工企业与委托加工企业间的财务结算关</w:t>
      </w:r>
      <w:r>
        <w:rPr>
          <w:rFonts w:ascii="宋体" w:hAnsi="宋体" w:eastAsia="宋体" w:cs="宋体"/>
          <w:spacing w:val="-3"/>
          <w:sz w:val="21"/>
          <w:szCs w:val="21"/>
        </w:rPr>
        <w:t>系。如果委托企</w:t>
      </w:r>
      <w:r>
        <w:rPr>
          <w:rFonts w:ascii="宋体" w:hAnsi="宋体" w:eastAsia="宋体" w:cs="宋体"/>
          <w:sz w:val="21"/>
          <w:szCs w:val="21"/>
        </w:rPr>
        <w:t xml:space="preserve"> </w:t>
      </w:r>
      <w:r>
        <w:rPr>
          <w:rFonts w:ascii="宋体" w:hAnsi="宋体" w:eastAsia="宋体" w:cs="宋体"/>
          <w:spacing w:val="-2"/>
          <w:sz w:val="21"/>
          <w:szCs w:val="21"/>
        </w:rPr>
        <w:t>业提供原材料而不与加工企业结算，加工企业收取加工费，产品返回委托企业销售，则这种模式是来料</w:t>
      </w:r>
      <w:r>
        <w:rPr>
          <w:rFonts w:ascii="宋体" w:hAnsi="宋体" w:eastAsia="宋体" w:cs="宋体"/>
          <w:spacing w:val="16"/>
          <w:sz w:val="21"/>
          <w:szCs w:val="21"/>
        </w:rPr>
        <w:t xml:space="preserve"> </w:t>
      </w:r>
      <w:r>
        <w:rPr>
          <w:rFonts w:ascii="宋体" w:hAnsi="宋体" w:eastAsia="宋体" w:cs="宋体"/>
          <w:spacing w:val="-2"/>
          <w:sz w:val="21"/>
          <w:szCs w:val="21"/>
        </w:rPr>
        <w:t>加工；如果委托加工企业提供的原材料与加工企业是结算的，制成品由加工企业返给委托企业也是结算</w:t>
      </w:r>
      <w:r>
        <w:rPr>
          <w:rFonts w:ascii="宋体" w:hAnsi="宋体" w:eastAsia="宋体" w:cs="宋体"/>
          <w:spacing w:val="18"/>
          <w:sz w:val="21"/>
          <w:szCs w:val="21"/>
        </w:rPr>
        <w:t xml:space="preserve"> </w:t>
      </w:r>
      <w:r>
        <w:rPr>
          <w:rFonts w:ascii="宋体" w:hAnsi="宋体" w:eastAsia="宋体" w:cs="宋体"/>
          <w:spacing w:val="-4"/>
          <w:sz w:val="21"/>
          <w:szCs w:val="21"/>
        </w:rPr>
        <w:t>的，则这种模式是自备原材料生产。</w:t>
      </w:r>
    </w:p>
    <w:p w14:paraId="499A0A30">
      <w:pPr>
        <w:spacing w:before="122" w:line="219" w:lineRule="auto"/>
        <w:ind w:left="544"/>
        <w:rPr>
          <w:rFonts w:ascii="宋体" w:hAnsi="宋体" w:eastAsia="宋体" w:cs="宋体"/>
          <w:sz w:val="21"/>
          <w:szCs w:val="21"/>
        </w:rPr>
      </w:pPr>
      <w:r>
        <w:rPr>
          <w:rFonts w:ascii="宋体" w:hAnsi="宋体" w:eastAsia="宋体" w:cs="宋体"/>
          <w:spacing w:val="2"/>
          <w:sz w:val="21"/>
          <w:szCs w:val="21"/>
        </w:rPr>
        <w:t>(3)产品生产量不应包括的内容：</w:t>
      </w:r>
    </w:p>
    <w:p w14:paraId="37377E6B">
      <w:pPr>
        <w:spacing w:before="129" w:line="217" w:lineRule="auto"/>
        <w:ind w:left="404"/>
        <w:rPr>
          <w:rFonts w:ascii="宋体" w:hAnsi="宋体" w:eastAsia="宋体" w:cs="宋体"/>
          <w:sz w:val="21"/>
          <w:szCs w:val="21"/>
        </w:rPr>
      </w:pPr>
      <w:r>
        <w:rPr>
          <w:rFonts w:ascii="宋体" w:hAnsi="宋体" w:eastAsia="宋体" w:cs="宋体"/>
          <w:spacing w:val="-1"/>
          <w:sz w:val="21"/>
          <w:szCs w:val="21"/>
        </w:rPr>
        <w:t>①在生产产品的同时，产生的下脚余料或废料，不应统计为产品生产量。</w:t>
      </w:r>
    </w:p>
    <w:p w14:paraId="050B4F6E">
      <w:pPr>
        <w:spacing w:before="123" w:line="217" w:lineRule="auto"/>
        <w:ind w:left="404"/>
        <w:rPr>
          <w:rFonts w:ascii="宋体" w:hAnsi="宋体" w:eastAsia="宋体" w:cs="宋体"/>
          <w:sz w:val="21"/>
          <w:szCs w:val="21"/>
        </w:rPr>
      </w:pPr>
      <w:r>
        <w:rPr>
          <w:rFonts w:ascii="宋体" w:hAnsi="宋体" w:eastAsia="宋体" w:cs="宋体"/>
          <w:spacing w:val="-1"/>
          <w:sz w:val="21"/>
          <w:szCs w:val="21"/>
        </w:rPr>
        <w:t>②投入生产过程中的原材料没有完全消耗掉，而加以回收、提浓，再供本企</w:t>
      </w:r>
      <w:r>
        <w:rPr>
          <w:rFonts w:ascii="宋体" w:hAnsi="宋体" w:eastAsia="宋体" w:cs="宋体"/>
          <w:spacing w:val="-2"/>
          <w:sz w:val="21"/>
          <w:szCs w:val="21"/>
        </w:rPr>
        <w:t>业自用的，如机械工业</w:t>
      </w:r>
    </w:p>
    <w:p w14:paraId="20E044ED">
      <w:pPr>
        <w:spacing w:before="96" w:line="219" w:lineRule="auto"/>
        <w:ind w:left="4"/>
        <w:rPr>
          <w:rFonts w:ascii="宋体" w:hAnsi="宋体" w:eastAsia="宋体" w:cs="宋体"/>
          <w:sz w:val="21"/>
          <w:szCs w:val="21"/>
        </w:rPr>
      </w:pPr>
      <w:r>
        <w:rPr>
          <w:rFonts w:ascii="宋体" w:hAnsi="宋体" w:eastAsia="宋体" w:cs="宋体"/>
          <w:spacing w:val="-4"/>
          <w:sz w:val="21"/>
          <w:szCs w:val="21"/>
        </w:rPr>
        <w:t>回收的润滑油等都不计算产品生产量。</w:t>
      </w:r>
    </w:p>
    <w:p w14:paraId="509DF8EE">
      <w:pPr>
        <w:spacing w:before="128" w:line="217" w:lineRule="auto"/>
        <w:ind w:left="404"/>
        <w:rPr>
          <w:rFonts w:ascii="宋体" w:hAnsi="宋体" w:eastAsia="宋体" w:cs="宋体"/>
          <w:sz w:val="21"/>
          <w:szCs w:val="21"/>
        </w:rPr>
      </w:pPr>
      <w:r>
        <w:rPr>
          <w:rFonts w:ascii="宋体" w:hAnsi="宋体" w:eastAsia="宋体" w:cs="宋体"/>
          <w:spacing w:val="-1"/>
          <w:sz w:val="21"/>
          <w:szCs w:val="21"/>
        </w:rPr>
        <w:t>③企业从外购进的，未经本企业任何加工的，不得作为本企业的产</w:t>
      </w:r>
      <w:r>
        <w:rPr>
          <w:rFonts w:ascii="宋体" w:hAnsi="宋体" w:eastAsia="宋体" w:cs="宋体"/>
          <w:spacing w:val="-2"/>
          <w:sz w:val="21"/>
          <w:szCs w:val="21"/>
        </w:rPr>
        <w:t>品生产量统计。</w:t>
      </w:r>
    </w:p>
    <w:p w14:paraId="383D10F8">
      <w:pPr>
        <w:spacing w:before="103" w:line="217" w:lineRule="auto"/>
        <w:ind w:right="33"/>
        <w:jc w:val="right"/>
        <w:rPr>
          <w:rFonts w:ascii="宋体" w:hAnsi="宋体" w:eastAsia="宋体" w:cs="宋体"/>
          <w:sz w:val="21"/>
          <w:szCs w:val="21"/>
        </w:rPr>
      </w:pPr>
      <w:r>
        <w:rPr>
          <w:rFonts w:ascii="宋体" w:hAnsi="宋体" w:eastAsia="宋体" w:cs="宋体"/>
          <w:spacing w:val="-1"/>
          <w:sz w:val="21"/>
          <w:szCs w:val="21"/>
        </w:rPr>
        <w:t>④某些产品在检验产品质量时，需做破坏性试验，这些用作试验的产品，不计算在产品生产量中。</w:t>
      </w:r>
    </w:p>
    <w:p w14:paraId="2634F268">
      <w:pPr>
        <w:spacing w:before="91" w:line="285" w:lineRule="auto"/>
        <w:ind w:left="4" w:right="57" w:firstLine="403"/>
        <w:jc w:val="both"/>
        <w:rPr>
          <w:rFonts w:ascii="宋体" w:hAnsi="宋体" w:eastAsia="宋体" w:cs="宋体"/>
          <w:sz w:val="21"/>
          <w:szCs w:val="21"/>
        </w:rPr>
      </w:pPr>
      <w:r>
        <w:rPr>
          <w:rFonts w:ascii="黑体" w:hAnsi="黑体" w:eastAsia="黑体" w:cs="黑体"/>
          <w:b/>
          <w:bCs/>
          <w:spacing w:val="3"/>
          <w:sz w:val="21"/>
          <w:szCs w:val="21"/>
        </w:rPr>
        <w:t>销售量</w:t>
      </w:r>
      <w:r>
        <w:rPr>
          <w:rFonts w:ascii="黑体" w:hAnsi="黑体" w:eastAsia="黑体" w:cs="黑体"/>
          <w:spacing w:val="101"/>
          <w:sz w:val="21"/>
          <w:szCs w:val="21"/>
        </w:rPr>
        <w:t xml:space="preserve"> </w:t>
      </w:r>
      <w:r>
        <w:rPr>
          <w:rFonts w:ascii="宋体" w:hAnsi="宋体" w:eastAsia="宋体" w:cs="宋体"/>
          <w:spacing w:val="3"/>
          <w:sz w:val="21"/>
          <w:szCs w:val="21"/>
        </w:rPr>
        <w:t>指报告期内企业实际销售的由本企业生产(包括本期生产和非本期生产)的符合规定的质</w:t>
      </w:r>
      <w:r>
        <w:rPr>
          <w:rFonts w:ascii="宋体" w:hAnsi="宋体" w:eastAsia="宋体" w:cs="宋体"/>
          <w:sz w:val="21"/>
          <w:szCs w:val="21"/>
        </w:rPr>
        <w:t xml:space="preserve"> </w:t>
      </w:r>
      <w:r>
        <w:rPr>
          <w:rFonts w:ascii="宋体" w:hAnsi="宋体" w:eastAsia="宋体" w:cs="宋体"/>
          <w:spacing w:val="-2"/>
          <w:sz w:val="21"/>
          <w:szCs w:val="21"/>
        </w:rPr>
        <w:t>量标准或订货合同规定的技术条件的产品的实物数量。凡用订货者来料加工生产的产品，并且加工企业</w:t>
      </w:r>
      <w:r>
        <w:rPr>
          <w:rFonts w:ascii="宋体" w:hAnsi="宋体" w:eastAsia="宋体" w:cs="宋体"/>
          <w:spacing w:val="16"/>
          <w:sz w:val="21"/>
          <w:szCs w:val="21"/>
        </w:rPr>
        <w:t xml:space="preserve"> </w:t>
      </w:r>
      <w:r>
        <w:rPr>
          <w:rFonts w:ascii="宋体" w:hAnsi="宋体" w:eastAsia="宋体" w:cs="宋体"/>
          <w:spacing w:val="2"/>
          <w:sz w:val="21"/>
          <w:szCs w:val="21"/>
        </w:rPr>
        <w:t>只收取加工费的，如果订货者是境内非工业企业和境外企业，其产品</w:t>
      </w:r>
      <w:r>
        <w:rPr>
          <w:rFonts w:ascii="宋体" w:hAnsi="宋体" w:eastAsia="宋体" w:cs="宋体"/>
          <w:spacing w:val="1"/>
          <w:sz w:val="21"/>
          <w:szCs w:val="21"/>
        </w:rPr>
        <w:t>销售量由加工企业(即承包企业)</w:t>
      </w:r>
    </w:p>
    <w:p w14:paraId="4DCD238D">
      <w:pPr>
        <w:spacing w:before="111" w:line="370" w:lineRule="exact"/>
        <w:ind w:left="4"/>
        <w:rPr>
          <w:rFonts w:ascii="宋体" w:hAnsi="宋体" w:eastAsia="宋体" w:cs="宋体"/>
          <w:sz w:val="21"/>
          <w:szCs w:val="21"/>
        </w:rPr>
      </w:pPr>
      <w:r>
        <w:rPr>
          <w:rFonts w:ascii="宋体" w:hAnsi="宋体" w:eastAsia="宋体" w:cs="宋体"/>
          <w:spacing w:val="4"/>
          <w:position w:val="12"/>
          <w:sz w:val="21"/>
          <w:szCs w:val="21"/>
        </w:rPr>
        <w:t>统计；如果订货者是境内工业企业，产品销售量由委托企业(即发包企业</w:t>
      </w:r>
      <w:r>
        <w:rPr>
          <w:rFonts w:ascii="宋体" w:hAnsi="宋体" w:eastAsia="宋体" w:cs="宋体"/>
          <w:spacing w:val="3"/>
          <w:position w:val="12"/>
          <w:sz w:val="21"/>
          <w:szCs w:val="21"/>
        </w:rPr>
        <w:t>)统计，加工企业不统计。</w:t>
      </w:r>
    </w:p>
    <w:p w14:paraId="64E0C40F">
      <w:pPr>
        <w:spacing w:before="1" w:line="218" w:lineRule="auto"/>
        <w:ind w:left="404"/>
        <w:rPr>
          <w:rFonts w:ascii="宋体" w:hAnsi="宋体" w:eastAsia="宋体" w:cs="宋体"/>
          <w:sz w:val="21"/>
          <w:szCs w:val="21"/>
        </w:rPr>
      </w:pPr>
      <w:r>
        <w:rPr>
          <w:rFonts w:ascii="宋体" w:hAnsi="宋体" w:eastAsia="宋体" w:cs="宋体"/>
          <w:spacing w:val="-2"/>
          <w:sz w:val="21"/>
          <w:szCs w:val="21"/>
        </w:rPr>
        <w:t>区分来料加工与自备原材料生产的依据同产品产量中的规定。</w:t>
      </w:r>
    </w:p>
    <w:p w14:paraId="2FA4585E">
      <w:pPr>
        <w:spacing w:before="111" w:line="284" w:lineRule="auto"/>
        <w:ind w:left="4" w:right="43" w:firstLine="539"/>
        <w:jc w:val="both"/>
        <w:rPr>
          <w:rFonts w:ascii="宋体" w:hAnsi="宋体" w:eastAsia="宋体" w:cs="宋体"/>
          <w:sz w:val="21"/>
          <w:szCs w:val="21"/>
        </w:rPr>
      </w:pPr>
      <w:r>
        <w:rPr>
          <w:rFonts w:ascii="宋体" w:hAnsi="宋体" w:eastAsia="宋体" w:cs="宋体"/>
          <w:spacing w:val="3"/>
          <w:sz w:val="21"/>
          <w:szCs w:val="21"/>
        </w:rPr>
        <w:t>(1)产品销售量的核算原则：产品销售量以产品销售实现为核算原则，即在产品已发出，货</w:t>
      </w:r>
      <w:r>
        <w:rPr>
          <w:rFonts w:ascii="宋体" w:hAnsi="宋体" w:eastAsia="宋体" w:cs="宋体"/>
          <w:spacing w:val="2"/>
          <w:sz w:val="21"/>
          <w:szCs w:val="21"/>
        </w:rPr>
        <w:t>款已</w:t>
      </w:r>
      <w:r>
        <w:rPr>
          <w:rFonts w:ascii="宋体" w:hAnsi="宋体" w:eastAsia="宋体" w:cs="宋体"/>
          <w:sz w:val="21"/>
          <w:szCs w:val="21"/>
        </w:rPr>
        <w:t xml:space="preserve"> </w:t>
      </w:r>
      <w:r>
        <w:rPr>
          <w:rFonts w:ascii="宋体" w:hAnsi="宋体" w:eastAsia="宋体" w:cs="宋体"/>
          <w:spacing w:val="-1"/>
          <w:sz w:val="21"/>
          <w:szCs w:val="21"/>
        </w:rPr>
        <w:t>经收到或者得到了收取货款的凭据时作为销售实现，统计产品销售量</w:t>
      </w:r>
      <w:r>
        <w:rPr>
          <w:rFonts w:ascii="宋体" w:hAnsi="宋体" w:eastAsia="宋体" w:cs="宋体"/>
          <w:spacing w:val="-2"/>
          <w:sz w:val="21"/>
          <w:szCs w:val="21"/>
        </w:rPr>
        <w:t>。按照企业销售方式的不同，产品</w:t>
      </w:r>
      <w:r>
        <w:rPr>
          <w:rFonts w:ascii="宋体" w:hAnsi="宋体" w:eastAsia="宋体" w:cs="宋体"/>
          <w:sz w:val="21"/>
          <w:szCs w:val="21"/>
        </w:rPr>
        <w:t xml:space="preserve"> </w:t>
      </w:r>
      <w:r>
        <w:rPr>
          <w:rFonts w:ascii="宋体" w:hAnsi="宋体" w:eastAsia="宋体" w:cs="宋体"/>
          <w:spacing w:val="-4"/>
          <w:sz w:val="21"/>
          <w:szCs w:val="21"/>
        </w:rPr>
        <w:t>销售量统计遵从以下几种规定：</w:t>
      </w:r>
    </w:p>
    <w:p w14:paraId="4F7D27BE">
      <w:pPr>
        <w:spacing w:before="130" w:line="217" w:lineRule="auto"/>
        <w:ind w:left="404"/>
        <w:rPr>
          <w:rFonts w:ascii="宋体" w:hAnsi="宋体" w:eastAsia="宋体" w:cs="宋体"/>
          <w:sz w:val="21"/>
          <w:szCs w:val="21"/>
        </w:rPr>
      </w:pPr>
      <w:r>
        <w:rPr>
          <w:rFonts w:ascii="宋体" w:hAnsi="宋体" w:eastAsia="宋体" w:cs="宋体"/>
          <w:spacing w:val="-1"/>
          <w:sz w:val="21"/>
          <w:szCs w:val="21"/>
        </w:rPr>
        <w:t>①采用送货制销售的，产品如由本企业运输部门发运，以产品出库单上的数量</w:t>
      </w:r>
      <w:r>
        <w:rPr>
          <w:rFonts w:ascii="宋体" w:hAnsi="宋体" w:eastAsia="宋体" w:cs="宋体"/>
          <w:spacing w:val="-2"/>
          <w:sz w:val="21"/>
          <w:szCs w:val="21"/>
        </w:rPr>
        <w:t>、日期为准；如委托</w:t>
      </w:r>
    </w:p>
    <w:p w14:paraId="349159F7">
      <w:pPr>
        <w:spacing w:line="217" w:lineRule="auto"/>
        <w:rPr>
          <w:rFonts w:ascii="宋体" w:hAnsi="宋体" w:eastAsia="宋体" w:cs="宋体"/>
          <w:sz w:val="21"/>
          <w:szCs w:val="21"/>
        </w:rPr>
        <w:sectPr>
          <w:headerReference r:id="rId73" w:type="default"/>
          <w:pgSz w:w="11910" w:h="16840"/>
          <w:pgMar w:top="1046" w:right="1234" w:bottom="400" w:left="1235" w:header="876" w:footer="0" w:gutter="0"/>
          <w:cols w:space="720" w:num="1"/>
        </w:sectPr>
      </w:pPr>
    </w:p>
    <w:p w14:paraId="4F52FA64">
      <w:pPr>
        <w:pStyle w:val="2"/>
        <w:spacing w:line="349" w:lineRule="auto"/>
      </w:pPr>
    </w:p>
    <w:p w14:paraId="23FEBA34">
      <w:pPr>
        <w:spacing w:before="68" w:line="219" w:lineRule="auto"/>
        <w:rPr>
          <w:rFonts w:ascii="宋体" w:hAnsi="宋体" w:eastAsia="宋体" w:cs="宋体"/>
          <w:sz w:val="21"/>
          <w:szCs w:val="21"/>
        </w:rPr>
      </w:pPr>
      <w:r>
        <w:rPr>
          <w:rFonts w:ascii="宋体" w:hAnsi="宋体" w:eastAsia="宋体" w:cs="宋体"/>
          <w:spacing w:val="-2"/>
          <w:sz w:val="21"/>
          <w:szCs w:val="21"/>
        </w:rPr>
        <w:t>专业运输部门发运，则以运输部门的承运单上的数量、日期为准。</w:t>
      </w:r>
    </w:p>
    <w:p w14:paraId="3EF5916B">
      <w:pPr>
        <w:spacing w:before="128" w:line="350" w:lineRule="exact"/>
        <w:ind w:left="410"/>
        <w:rPr>
          <w:rFonts w:ascii="宋体" w:hAnsi="宋体" w:eastAsia="宋体" w:cs="宋体"/>
          <w:sz w:val="21"/>
          <w:szCs w:val="21"/>
        </w:rPr>
      </w:pPr>
      <w:r>
        <w:rPr>
          <w:rFonts w:ascii="宋体" w:hAnsi="宋体" w:eastAsia="宋体" w:cs="宋体"/>
          <w:spacing w:val="-1"/>
          <w:position w:val="10"/>
          <w:sz w:val="21"/>
          <w:szCs w:val="21"/>
        </w:rPr>
        <w:t>②采用提货制销售的，以给用户开具的发票和提货单上的数量、日期为准。</w:t>
      </w:r>
    </w:p>
    <w:p w14:paraId="0E94E947">
      <w:pPr>
        <w:spacing w:line="217" w:lineRule="auto"/>
        <w:ind w:left="410"/>
        <w:rPr>
          <w:rFonts w:ascii="宋体" w:hAnsi="宋体" w:eastAsia="宋体" w:cs="宋体"/>
          <w:sz w:val="21"/>
          <w:szCs w:val="21"/>
        </w:rPr>
      </w:pPr>
      <w:r>
        <w:rPr>
          <w:rFonts w:ascii="宋体" w:hAnsi="宋体" w:eastAsia="宋体" w:cs="宋体"/>
          <w:spacing w:val="-1"/>
          <w:sz w:val="21"/>
          <w:szCs w:val="21"/>
        </w:rPr>
        <w:t>③委托其他单位代销的产品，以企业收到代销单位的代销清单为准。</w:t>
      </w:r>
    </w:p>
    <w:p w14:paraId="1E455B74">
      <w:pPr>
        <w:spacing w:before="123" w:line="260" w:lineRule="auto"/>
        <w:ind w:firstLine="410"/>
        <w:rPr>
          <w:rFonts w:ascii="宋体" w:hAnsi="宋体" w:eastAsia="宋体" w:cs="宋体"/>
          <w:sz w:val="21"/>
          <w:szCs w:val="21"/>
        </w:rPr>
      </w:pPr>
      <w:r>
        <w:rPr>
          <w:rFonts w:ascii="宋体" w:hAnsi="宋体" w:eastAsia="宋体" w:cs="宋体"/>
          <w:spacing w:val="-4"/>
          <w:sz w:val="21"/>
          <w:szCs w:val="21"/>
        </w:rPr>
        <w:t>④采用预收货款销售的，在发出产品时作为销售。产品</w:t>
      </w:r>
      <w:r>
        <w:rPr>
          <w:rFonts w:ascii="宋体" w:hAnsi="宋体" w:eastAsia="宋体" w:cs="宋体"/>
          <w:spacing w:val="-5"/>
          <w:sz w:val="21"/>
          <w:szCs w:val="21"/>
        </w:rPr>
        <w:t>尚未生产出来，已预收货款或预开提货单的，</w:t>
      </w:r>
      <w:r>
        <w:rPr>
          <w:rFonts w:ascii="宋体" w:hAnsi="宋体" w:eastAsia="宋体" w:cs="宋体"/>
          <w:sz w:val="21"/>
          <w:szCs w:val="21"/>
        </w:rPr>
        <w:t xml:space="preserve"> </w:t>
      </w:r>
      <w:r>
        <w:rPr>
          <w:rFonts w:ascii="宋体" w:hAnsi="宋体" w:eastAsia="宋体" w:cs="宋体"/>
          <w:spacing w:val="-6"/>
          <w:sz w:val="21"/>
          <w:szCs w:val="21"/>
        </w:rPr>
        <w:t>不应算作销售。</w:t>
      </w:r>
    </w:p>
    <w:p w14:paraId="113C3B2B">
      <w:pPr>
        <w:spacing w:before="107" w:line="285" w:lineRule="auto"/>
        <w:ind w:right="57" w:firstLine="410"/>
        <w:rPr>
          <w:rFonts w:ascii="宋体" w:hAnsi="宋体" w:eastAsia="宋体" w:cs="宋体"/>
          <w:sz w:val="21"/>
          <w:szCs w:val="21"/>
        </w:rPr>
      </w:pPr>
      <w:r>
        <w:rPr>
          <w:rFonts w:ascii="宋体" w:hAnsi="宋体" w:eastAsia="宋体" w:cs="宋体"/>
          <w:spacing w:val="-1"/>
          <w:sz w:val="21"/>
          <w:szCs w:val="21"/>
        </w:rPr>
        <w:t>⑤企业出口销售的产品，陆运以取得承运货物收据或铁路运单，海运以取得</w:t>
      </w:r>
      <w:r>
        <w:rPr>
          <w:rFonts w:ascii="宋体" w:hAnsi="宋体" w:eastAsia="宋体" w:cs="宋体"/>
          <w:spacing w:val="-2"/>
          <w:sz w:val="21"/>
          <w:szCs w:val="21"/>
        </w:rPr>
        <w:t>出口装船提单，空运以</w:t>
      </w:r>
      <w:r>
        <w:rPr>
          <w:rFonts w:ascii="宋体" w:hAnsi="宋体" w:eastAsia="宋体" w:cs="宋体"/>
          <w:sz w:val="21"/>
          <w:szCs w:val="21"/>
        </w:rPr>
        <w:t xml:space="preserve"> </w:t>
      </w:r>
      <w:r>
        <w:rPr>
          <w:rFonts w:ascii="宋体" w:hAnsi="宋体" w:eastAsia="宋体" w:cs="宋体"/>
          <w:spacing w:val="-1"/>
          <w:sz w:val="21"/>
          <w:szCs w:val="21"/>
        </w:rPr>
        <w:t>取得空运运单，并向银行办理出口交单的数量、日期为准。企业自营出口的产品，</w:t>
      </w:r>
      <w:r>
        <w:rPr>
          <w:rFonts w:ascii="宋体" w:hAnsi="宋体" w:eastAsia="宋体" w:cs="宋体"/>
          <w:spacing w:val="-2"/>
          <w:sz w:val="21"/>
          <w:szCs w:val="21"/>
        </w:rPr>
        <w:t>在委托外贸部门代理</w:t>
      </w:r>
      <w:r>
        <w:rPr>
          <w:rFonts w:ascii="宋体" w:hAnsi="宋体" w:eastAsia="宋体" w:cs="宋体"/>
          <w:sz w:val="21"/>
          <w:szCs w:val="21"/>
        </w:rPr>
        <w:t xml:space="preserve"> </w:t>
      </w:r>
      <w:r>
        <w:rPr>
          <w:rFonts w:ascii="宋体" w:hAnsi="宋体" w:eastAsia="宋体" w:cs="宋体"/>
          <w:spacing w:val="3"/>
          <w:sz w:val="21"/>
          <w:szCs w:val="21"/>
        </w:rPr>
        <w:t>出口(实行代理制)的情况下，以收到外贸部门代办的运单和银行交单凭证的数量、日期为准。</w:t>
      </w:r>
    </w:p>
    <w:p w14:paraId="38097663">
      <w:pPr>
        <w:spacing w:before="109" w:line="219" w:lineRule="auto"/>
        <w:ind w:left="539"/>
        <w:rPr>
          <w:rFonts w:ascii="宋体" w:hAnsi="宋体" w:eastAsia="宋体" w:cs="宋体"/>
          <w:sz w:val="21"/>
          <w:szCs w:val="21"/>
        </w:rPr>
      </w:pPr>
      <w:r>
        <w:rPr>
          <w:rFonts w:ascii="宋体" w:hAnsi="宋体" w:eastAsia="宋体" w:cs="宋体"/>
          <w:spacing w:val="2"/>
          <w:sz w:val="21"/>
          <w:szCs w:val="21"/>
        </w:rPr>
        <w:t>(2)统计产品销售量应注意以下几点：</w:t>
      </w:r>
    </w:p>
    <w:p w14:paraId="515BF450">
      <w:pPr>
        <w:spacing w:before="119" w:line="217" w:lineRule="auto"/>
        <w:ind w:left="410"/>
        <w:rPr>
          <w:rFonts w:ascii="宋体" w:hAnsi="宋体" w:eastAsia="宋体" w:cs="宋体"/>
          <w:sz w:val="21"/>
          <w:szCs w:val="21"/>
        </w:rPr>
      </w:pPr>
      <w:r>
        <w:rPr>
          <w:rFonts w:ascii="宋体" w:hAnsi="宋体" w:eastAsia="宋体" w:cs="宋体"/>
          <w:spacing w:val="-1"/>
          <w:sz w:val="21"/>
          <w:szCs w:val="21"/>
        </w:rPr>
        <w:t>①只有企业销售的合格产品才能统计其销售量，销售的次品不能计入产品销售量。</w:t>
      </w:r>
    </w:p>
    <w:p w14:paraId="7149BAA0">
      <w:pPr>
        <w:spacing w:before="132" w:line="276" w:lineRule="auto"/>
        <w:ind w:firstLine="410"/>
        <w:jc w:val="both"/>
        <w:rPr>
          <w:rFonts w:ascii="宋体" w:hAnsi="宋体" w:eastAsia="宋体" w:cs="宋体"/>
          <w:sz w:val="21"/>
          <w:szCs w:val="21"/>
        </w:rPr>
      </w:pPr>
      <w:r>
        <w:rPr>
          <w:rFonts w:ascii="宋体" w:hAnsi="宋体" w:eastAsia="宋体" w:cs="宋体"/>
          <w:spacing w:val="-2"/>
          <w:sz w:val="21"/>
          <w:szCs w:val="21"/>
        </w:rPr>
        <w:t xml:space="preserve">②分清产品销售和预售的界限：预售指产品还没有生产出来以前，用户为了购买这种产品事先向工 </w:t>
      </w:r>
      <w:r>
        <w:rPr>
          <w:rFonts w:ascii="宋体" w:hAnsi="宋体" w:eastAsia="宋体" w:cs="宋体"/>
          <w:spacing w:val="-4"/>
          <w:sz w:val="21"/>
          <w:szCs w:val="21"/>
        </w:rPr>
        <w:t>厂支付货款。预售不能算作销售。相反，有些产品采用</w:t>
      </w:r>
      <w:r>
        <w:rPr>
          <w:rFonts w:ascii="宋体" w:hAnsi="宋体" w:eastAsia="宋体" w:cs="宋体"/>
          <w:spacing w:val="-5"/>
          <w:sz w:val="21"/>
          <w:szCs w:val="21"/>
        </w:rPr>
        <w:t>了分期付款的形式，只要是用户拿到了这个商品，</w:t>
      </w:r>
      <w:r>
        <w:rPr>
          <w:rFonts w:ascii="宋体" w:hAnsi="宋体" w:eastAsia="宋体" w:cs="宋体"/>
          <w:sz w:val="21"/>
          <w:szCs w:val="21"/>
        </w:rPr>
        <w:t xml:space="preserve"> </w:t>
      </w:r>
      <w:r>
        <w:rPr>
          <w:rFonts w:ascii="宋体" w:hAnsi="宋体" w:eastAsia="宋体" w:cs="宋体"/>
          <w:spacing w:val="-1"/>
          <w:sz w:val="21"/>
          <w:szCs w:val="21"/>
        </w:rPr>
        <w:t>不管货款是否已付清，作为企业已经取得了收取货款的</w:t>
      </w:r>
      <w:r>
        <w:rPr>
          <w:rFonts w:ascii="宋体" w:hAnsi="宋体" w:eastAsia="宋体" w:cs="宋体"/>
          <w:spacing w:val="-2"/>
          <w:sz w:val="21"/>
          <w:szCs w:val="21"/>
        </w:rPr>
        <w:t>凭证就应作为销售。</w:t>
      </w:r>
    </w:p>
    <w:p w14:paraId="24FEDC27">
      <w:pPr>
        <w:spacing w:before="121" w:line="219" w:lineRule="auto"/>
        <w:ind w:left="539"/>
        <w:rPr>
          <w:rFonts w:ascii="宋体" w:hAnsi="宋体" w:eastAsia="宋体" w:cs="宋体"/>
          <w:sz w:val="21"/>
          <w:szCs w:val="21"/>
        </w:rPr>
      </w:pPr>
      <w:r>
        <w:rPr>
          <w:rFonts w:ascii="宋体" w:hAnsi="宋体" w:eastAsia="宋体" w:cs="宋体"/>
          <w:spacing w:val="1"/>
          <w:sz w:val="21"/>
          <w:szCs w:val="21"/>
        </w:rPr>
        <w:t>(3)售出产品退货的处理遵从以下规定：</w:t>
      </w:r>
    </w:p>
    <w:p w14:paraId="117AA6A5">
      <w:pPr>
        <w:spacing w:before="120" w:line="263" w:lineRule="auto"/>
        <w:ind w:right="68" w:firstLine="410"/>
        <w:rPr>
          <w:rFonts w:ascii="宋体" w:hAnsi="宋体" w:eastAsia="宋体" w:cs="宋体"/>
          <w:sz w:val="21"/>
          <w:szCs w:val="21"/>
        </w:rPr>
      </w:pPr>
      <w:r>
        <w:rPr>
          <w:rFonts w:ascii="宋体" w:hAnsi="宋体" w:eastAsia="宋体" w:cs="宋体"/>
          <w:spacing w:val="-1"/>
          <w:sz w:val="21"/>
          <w:szCs w:val="21"/>
        </w:rPr>
        <w:t>①退回报告期内销售的合格品，应从报告期销售量中扣除，同时计入库</w:t>
      </w:r>
      <w:r>
        <w:rPr>
          <w:rFonts w:ascii="宋体" w:hAnsi="宋体" w:eastAsia="宋体" w:cs="宋体"/>
          <w:spacing w:val="-2"/>
          <w:sz w:val="21"/>
          <w:szCs w:val="21"/>
        </w:rPr>
        <w:t>存量；退回报告期内销售的</w:t>
      </w:r>
      <w:r>
        <w:rPr>
          <w:rFonts w:ascii="宋体" w:hAnsi="宋体" w:eastAsia="宋体" w:cs="宋体"/>
          <w:sz w:val="21"/>
          <w:szCs w:val="21"/>
        </w:rPr>
        <w:t xml:space="preserve"> </w:t>
      </w:r>
      <w:r>
        <w:rPr>
          <w:rFonts w:ascii="宋体" w:hAnsi="宋体" w:eastAsia="宋体" w:cs="宋体"/>
          <w:spacing w:val="-2"/>
          <w:sz w:val="21"/>
          <w:szCs w:val="21"/>
        </w:rPr>
        <w:t>不合格品，要在报告期销售量中扣除，还要同时扣除报告期生产量。</w:t>
      </w:r>
    </w:p>
    <w:p w14:paraId="2E61F8BB">
      <w:pPr>
        <w:spacing w:before="121" w:line="263" w:lineRule="auto"/>
        <w:ind w:right="68" w:firstLine="410"/>
        <w:rPr>
          <w:rFonts w:ascii="宋体" w:hAnsi="宋体" w:eastAsia="宋体" w:cs="宋体"/>
          <w:sz w:val="21"/>
          <w:szCs w:val="21"/>
        </w:rPr>
      </w:pPr>
      <w:r>
        <w:rPr>
          <w:rFonts w:ascii="宋体" w:hAnsi="宋体" w:eastAsia="宋体" w:cs="宋体"/>
          <w:spacing w:val="-1"/>
          <w:sz w:val="21"/>
          <w:szCs w:val="21"/>
        </w:rPr>
        <w:t>②退回报告期以前售出的合格品，报告期销售量不变，计入产品库存量</w:t>
      </w:r>
      <w:r>
        <w:rPr>
          <w:rFonts w:ascii="宋体" w:hAnsi="宋体" w:eastAsia="宋体" w:cs="宋体"/>
          <w:spacing w:val="-2"/>
          <w:sz w:val="21"/>
          <w:szCs w:val="21"/>
        </w:rPr>
        <w:t>中；退回报告期以前售出的</w:t>
      </w:r>
      <w:r>
        <w:rPr>
          <w:rFonts w:ascii="宋体" w:hAnsi="宋体" w:eastAsia="宋体" w:cs="宋体"/>
          <w:sz w:val="21"/>
          <w:szCs w:val="21"/>
        </w:rPr>
        <w:t xml:space="preserve"> </w:t>
      </w:r>
      <w:r>
        <w:rPr>
          <w:rFonts w:ascii="宋体" w:hAnsi="宋体" w:eastAsia="宋体" w:cs="宋体"/>
          <w:spacing w:val="-2"/>
          <w:sz w:val="21"/>
          <w:szCs w:val="21"/>
        </w:rPr>
        <w:t>不合格品，报告期销售量和报告期生产量均不变。</w:t>
      </w:r>
    </w:p>
    <w:p w14:paraId="185CCA8C">
      <w:pPr>
        <w:spacing w:before="122" w:line="217" w:lineRule="auto"/>
        <w:ind w:left="410"/>
        <w:rPr>
          <w:rFonts w:ascii="宋体" w:hAnsi="宋体" w:eastAsia="宋体" w:cs="宋体"/>
          <w:sz w:val="21"/>
          <w:szCs w:val="21"/>
        </w:rPr>
      </w:pPr>
      <w:r>
        <w:rPr>
          <w:rFonts w:ascii="宋体" w:hAnsi="宋体" w:eastAsia="宋体" w:cs="宋体"/>
          <w:spacing w:val="-1"/>
          <w:sz w:val="21"/>
          <w:szCs w:val="21"/>
        </w:rPr>
        <w:t>③退回修理的产品，修理后仍交原用户的，不作为退货处理，在统计报表上不做反</w:t>
      </w:r>
      <w:r>
        <w:rPr>
          <w:rFonts w:ascii="宋体" w:hAnsi="宋体" w:eastAsia="宋体" w:cs="宋体"/>
          <w:spacing w:val="-2"/>
          <w:sz w:val="21"/>
          <w:szCs w:val="21"/>
        </w:rPr>
        <w:t>映。</w:t>
      </w:r>
    </w:p>
    <w:p w14:paraId="5B1EDFEE">
      <w:pPr>
        <w:spacing w:before="114" w:line="290" w:lineRule="auto"/>
        <w:ind w:right="57" w:firstLine="413"/>
        <w:rPr>
          <w:rFonts w:ascii="宋体" w:hAnsi="宋体" w:eastAsia="宋体" w:cs="宋体"/>
          <w:sz w:val="21"/>
          <w:szCs w:val="21"/>
        </w:rPr>
      </w:pPr>
      <w:r>
        <w:rPr>
          <w:rFonts w:ascii="黑体" w:hAnsi="黑体" w:eastAsia="黑体" w:cs="黑体"/>
          <w:b/>
          <w:bCs/>
          <w:spacing w:val="-1"/>
          <w:sz w:val="21"/>
          <w:szCs w:val="21"/>
        </w:rPr>
        <w:t>企业自用及其他</w:t>
      </w:r>
      <w:r>
        <w:rPr>
          <w:rFonts w:ascii="黑体" w:hAnsi="黑体" w:eastAsia="黑体" w:cs="黑体"/>
          <w:spacing w:val="98"/>
          <w:sz w:val="21"/>
          <w:szCs w:val="21"/>
        </w:rPr>
        <w:t xml:space="preserve"> </w:t>
      </w:r>
      <w:r>
        <w:rPr>
          <w:rFonts w:ascii="宋体" w:hAnsi="宋体" w:eastAsia="宋体" w:cs="宋体"/>
          <w:spacing w:val="-1"/>
          <w:sz w:val="21"/>
          <w:szCs w:val="21"/>
        </w:rPr>
        <w:t>本指标包括企业自用量和其他两部分。企业自用</w:t>
      </w:r>
      <w:r>
        <w:rPr>
          <w:rFonts w:ascii="宋体" w:hAnsi="宋体" w:eastAsia="宋体" w:cs="宋体"/>
          <w:spacing w:val="-2"/>
          <w:sz w:val="21"/>
          <w:szCs w:val="21"/>
        </w:rPr>
        <w:t>量又称企业自产自用量，指企业</w:t>
      </w:r>
      <w:r>
        <w:rPr>
          <w:rFonts w:ascii="宋体" w:hAnsi="宋体" w:eastAsia="宋体" w:cs="宋体"/>
          <w:sz w:val="21"/>
          <w:szCs w:val="21"/>
        </w:rPr>
        <w:t xml:space="preserve"> </w:t>
      </w:r>
      <w:r>
        <w:rPr>
          <w:rFonts w:ascii="宋体" w:hAnsi="宋体" w:eastAsia="宋体" w:cs="宋体"/>
          <w:spacing w:val="-2"/>
          <w:sz w:val="21"/>
          <w:szCs w:val="21"/>
        </w:rPr>
        <w:t>在报告期内生产的、已作本企业产量统计的、又为本企业使用的产品的数量。但是，由本企业验收合格</w:t>
      </w:r>
      <w:r>
        <w:rPr>
          <w:rFonts w:ascii="宋体" w:hAnsi="宋体" w:eastAsia="宋体" w:cs="宋体"/>
          <w:spacing w:val="18"/>
          <w:sz w:val="21"/>
          <w:szCs w:val="21"/>
        </w:rPr>
        <w:t xml:space="preserve"> </w:t>
      </w:r>
      <w:r>
        <w:rPr>
          <w:rFonts w:ascii="宋体" w:hAnsi="宋体" w:eastAsia="宋体" w:cs="宋体"/>
          <w:spacing w:val="-1"/>
          <w:sz w:val="21"/>
          <w:szCs w:val="21"/>
        </w:rPr>
        <w:t>后，作为商品出售给本企业生活用、在建工程用或</w:t>
      </w:r>
      <w:r>
        <w:rPr>
          <w:rFonts w:ascii="宋体" w:hAnsi="宋体" w:eastAsia="宋体" w:cs="宋体"/>
          <w:spacing w:val="-2"/>
          <w:sz w:val="21"/>
          <w:szCs w:val="21"/>
        </w:rPr>
        <w:t>行政部门用的产品数量，不能作为自用量统计，而作</w:t>
      </w:r>
      <w:r>
        <w:rPr>
          <w:rFonts w:ascii="宋体" w:hAnsi="宋体" w:eastAsia="宋体" w:cs="宋体"/>
          <w:sz w:val="21"/>
          <w:szCs w:val="21"/>
        </w:rPr>
        <w:t xml:space="preserve"> </w:t>
      </w:r>
      <w:r>
        <w:rPr>
          <w:rFonts w:ascii="宋体" w:hAnsi="宋体" w:eastAsia="宋体" w:cs="宋体"/>
          <w:spacing w:val="-2"/>
          <w:sz w:val="21"/>
          <w:szCs w:val="21"/>
        </w:rPr>
        <w:t>为销售量统计。其他是指企业在报告期内将产品用于展览、捐赠、借出以及报废等方面的产品数量和盘</w:t>
      </w:r>
      <w:r>
        <w:rPr>
          <w:rFonts w:ascii="宋体" w:hAnsi="宋体" w:eastAsia="宋体" w:cs="宋体"/>
          <w:spacing w:val="18"/>
          <w:sz w:val="21"/>
          <w:szCs w:val="21"/>
        </w:rPr>
        <w:t xml:space="preserve"> </w:t>
      </w:r>
      <w:r>
        <w:rPr>
          <w:rFonts w:ascii="宋体" w:hAnsi="宋体" w:eastAsia="宋体" w:cs="宋体"/>
          <w:spacing w:val="-1"/>
          <w:sz w:val="21"/>
          <w:szCs w:val="21"/>
        </w:rPr>
        <w:t>盈盘亏的数量。企业以促销手段搭售的产品不能视为捐赠，而应作为</w:t>
      </w:r>
      <w:r>
        <w:rPr>
          <w:rFonts w:ascii="宋体" w:hAnsi="宋体" w:eastAsia="宋体" w:cs="宋体"/>
          <w:spacing w:val="-2"/>
          <w:sz w:val="21"/>
          <w:szCs w:val="21"/>
        </w:rPr>
        <w:t>销售对待。</w:t>
      </w:r>
    </w:p>
    <w:p w14:paraId="6EFB2FF1">
      <w:pPr>
        <w:spacing w:before="138" w:line="221" w:lineRule="auto"/>
        <w:ind w:left="413"/>
        <w:rPr>
          <w:rFonts w:ascii="宋体" w:hAnsi="宋体" w:eastAsia="宋体" w:cs="宋体"/>
          <w:sz w:val="21"/>
          <w:szCs w:val="21"/>
        </w:rPr>
      </w:pPr>
      <w:r>
        <w:rPr>
          <w:rFonts w:ascii="黑体" w:hAnsi="黑体" w:eastAsia="黑体" w:cs="黑体"/>
          <w:b/>
          <w:bCs/>
          <w:spacing w:val="10"/>
          <w:sz w:val="21"/>
          <w:szCs w:val="21"/>
        </w:rPr>
        <w:t>销往省外</w:t>
      </w:r>
      <w:r>
        <w:rPr>
          <w:rFonts w:ascii="黑体" w:hAnsi="黑体" w:eastAsia="黑体" w:cs="黑体"/>
          <w:spacing w:val="107"/>
          <w:sz w:val="21"/>
          <w:szCs w:val="21"/>
        </w:rPr>
        <w:t xml:space="preserve"> </w:t>
      </w:r>
      <w:r>
        <w:rPr>
          <w:rFonts w:ascii="宋体" w:hAnsi="宋体" w:eastAsia="宋体" w:cs="宋体"/>
          <w:spacing w:val="10"/>
          <w:sz w:val="21"/>
          <w:szCs w:val="21"/>
        </w:rPr>
        <w:t>指企业在报告期内销往本省(自治区、直辖市)以外(包括出口)的数量。</w:t>
      </w:r>
    </w:p>
    <w:p w14:paraId="37E040DE">
      <w:pPr>
        <w:pStyle w:val="2"/>
        <w:spacing w:line="464" w:lineRule="auto"/>
      </w:pPr>
    </w:p>
    <w:p w14:paraId="2D01E3AB">
      <w:pPr>
        <w:spacing w:before="92" w:line="221" w:lineRule="auto"/>
        <w:ind w:left="2284"/>
        <w:rPr>
          <w:rFonts w:ascii="黑体" w:hAnsi="黑体" w:eastAsia="黑体" w:cs="黑体"/>
          <w:sz w:val="28"/>
          <w:szCs w:val="28"/>
        </w:rPr>
      </w:pPr>
      <w:r>
        <w:rPr>
          <w:rFonts w:ascii="黑体" w:hAnsi="黑体" w:eastAsia="黑体" w:cs="黑体"/>
          <w:b/>
          <w:bCs/>
          <w:spacing w:val="10"/>
          <w:sz w:val="28"/>
          <w:szCs w:val="28"/>
        </w:rPr>
        <w:t>(六)重点能源商品经销情况(205-7表)</w:t>
      </w:r>
    </w:p>
    <w:p w14:paraId="33F6B0B9">
      <w:pPr>
        <w:spacing w:before="294" w:line="269" w:lineRule="auto"/>
        <w:ind w:right="76" w:firstLine="413"/>
        <w:rPr>
          <w:rFonts w:ascii="宋体" w:hAnsi="宋体" w:eastAsia="宋体" w:cs="宋体"/>
          <w:sz w:val="21"/>
          <w:szCs w:val="21"/>
        </w:rPr>
      </w:pPr>
      <w:r>
        <w:rPr>
          <w:rFonts w:ascii="黑体" w:hAnsi="黑体" w:eastAsia="黑体" w:cs="黑体"/>
          <w:b/>
          <w:bCs/>
          <w:spacing w:val="3"/>
          <w:sz w:val="21"/>
          <w:szCs w:val="21"/>
        </w:rPr>
        <w:t>商品购进量</w:t>
      </w:r>
      <w:r>
        <w:rPr>
          <w:rFonts w:ascii="黑体" w:hAnsi="黑体" w:eastAsia="黑体" w:cs="黑体"/>
          <w:spacing w:val="112"/>
          <w:sz w:val="21"/>
          <w:szCs w:val="21"/>
        </w:rPr>
        <w:t xml:space="preserve"> </w:t>
      </w:r>
      <w:r>
        <w:rPr>
          <w:rFonts w:ascii="宋体" w:hAnsi="宋体" w:eastAsia="宋体" w:cs="宋体"/>
          <w:spacing w:val="3"/>
          <w:sz w:val="21"/>
          <w:szCs w:val="21"/>
        </w:rPr>
        <w:t>指从本单位以外的单位或个人购买和调入(开具正式发票，下同)的商品数量。购进</w:t>
      </w:r>
      <w:r>
        <w:rPr>
          <w:rFonts w:ascii="宋体" w:hAnsi="宋体" w:eastAsia="宋体" w:cs="宋体"/>
          <w:sz w:val="21"/>
          <w:szCs w:val="21"/>
        </w:rPr>
        <w:t xml:space="preserve"> </w:t>
      </w:r>
      <w:r>
        <w:rPr>
          <w:rFonts w:ascii="宋体" w:hAnsi="宋体" w:eastAsia="宋体" w:cs="宋体"/>
          <w:spacing w:val="-1"/>
          <w:sz w:val="21"/>
          <w:szCs w:val="21"/>
        </w:rPr>
        <w:t>的各种商品，不论是否进入本单位仓库，凡是通过本单位结算货</w:t>
      </w:r>
      <w:r>
        <w:rPr>
          <w:rFonts w:ascii="宋体" w:hAnsi="宋体" w:eastAsia="宋体" w:cs="宋体"/>
          <w:spacing w:val="-2"/>
          <w:sz w:val="21"/>
          <w:szCs w:val="21"/>
        </w:rPr>
        <w:t>款的，都统计在商品购进量中。</w:t>
      </w:r>
    </w:p>
    <w:p w14:paraId="11390064">
      <w:pPr>
        <w:spacing w:before="113" w:line="292" w:lineRule="auto"/>
        <w:ind w:right="75" w:firstLine="410"/>
        <w:rPr>
          <w:rFonts w:ascii="宋体" w:hAnsi="宋体" w:eastAsia="宋体" w:cs="宋体"/>
          <w:sz w:val="21"/>
          <w:szCs w:val="21"/>
        </w:rPr>
      </w:pPr>
      <w:r>
        <w:rPr>
          <w:rFonts w:ascii="宋体" w:hAnsi="宋体" w:eastAsia="宋体" w:cs="宋体"/>
          <w:spacing w:val="1"/>
          <w:sz w:val="21"/>
          <w:szCs w:val="21"/>
        </w:rPr>
        <w:t>商品购进量包括：  (1)从工农业生产者、批发和零售业单位、住宿和餐饮业单位、出版社或</w:t>
      </w:r>
      <w:r>
        <w:rPr>
          <w:rFonts w:ascii="宋体" w:hAnsi="宋体" w:eastAsia="宋体" w:cs="宋体"/>
          <w:sz w:val="21"/>
          <w:szCs w:val="21"/>
        </w:rPr>
        <w:t xml:space="preserve">报社 </w:t>
      </w:r>
      <w:r>
        <w:rPr>
          <w:rFonts w:ascii="宋体" w:hAnsi="宋体" w:eastAsia="宋体" w:cs="宋体"/>
          <w:spacing w:val="-6"/>
          <w:sz w:val="21"/>
          <w:szCs w:val="21"/>
        </w:rPr>
        <w:t>的出版发行部门和其他服务业单位购买的商品数量；</w:t>
      </w:r>
      <w:r>
        <w:rPr>
          <w:rFonts w:ascii="宋体" w:hAnsi="宋体" w:eastAsia="宋体" w:cs="宋体"/>
          <w:spacing w:val="95"/>
          <w:sz w:val="21"/>
          <w:szCs w:val="21"/>
        </w:rPr>
        <w:t xml:space="preserve"> </w:t>
      </w:r>
      <w:r>
        <w:rPr>
          <w:rFonts w:ascii="宋体" w:hAnsi="宋体" w:eastAsia="宋体" w:cs="宋体"/>
          <w:spacing w:val="-6"/>
          <w:sz w:val="21"/>
          <w:szCs w:val="21"/>
        </w:rPr>
        <w:t>(2)从机关团体、事业单位购买</w:t>
      </w:r>
      <w:r>
        <w:rPr>
          <w:rFonts w:ascii="宋体" w:hAnsi="宋体" w:eastAsia="宋体" w:cs="宋体"/>
          <w:spacing w:val="-7"/>
          <w:sz w:val="21"/>
          <w:szCs w:val="21"/>
        </w:rPr>
        <w:t>的商品数量；</w:t>
      </w:r>
      <w:r>
        <w:rPr>
          <w:rFonts w:ascii="宋体" w:hAnsi="宋体" w:eastAsia="宋体" w:cs="宋体"/>
          <w:spacing w:val="74"/>
          <w:sz w:val="21"/>
          <w:szCs w:val="21"/>
        </w:rPr>
        <w:t xml:space="preserve"> </w:t>
      </w:r>
      <w:r>
        <w:rPr>
          <w:rFonts w:ascii="宋体" w:hAnsi="宋体" w:eastAsia="宋体" w:cs="宋体"/>
          <w:spacing w:val="-7"/>
          <w:sz w:val="21"/>
          <w:szCs w:val="21"/>
        </w:rPr>
        <w:t>(3)</w:t>
      </w:r>
      <w:r>
        <w:rPr>
          <w:rFonts w:ascii="宋体" w:hAnsi="宋体" w:eastAsia="宋体" w:cs="宋体"/>
          <w:sz w:val="21"/>
          <w:szCs w:val="21"/>
        </w:rPr>
        <w:t xml:space="preserve"> </w:t>
      </w:r>
      <w:r>
        <w:rPr>
          <w:rFonts w:ascii="宋体" w:hAnsi="宋体" w:eastAsia="宋体" w:cs="宋体"/>
          <w:spacing w:val="1"/>
          <w:sz w:val="21"/>
          <w:szCs w:val="21"/>
        </w:rPr>
        <w:t>从海关、市场管理部门购买的缉私和没收的商品数量；</w:t>
      </w:r>
      <w:r>
        <w:rPr>
          <w:rFonts w:ascii="宋体" w:hAnsi="宋体" w:eastAsia="宋体" w:cs="宋体"/>
          <w:spacing w:val="84"/>
          <w:sz w:val="21"/>
          <w:szCs w:val="21"/>
        </w:rPr>
        <w:t xml:space="preserve"> </w:t>
      </w:r>
      <w:r>
        <w:rPr>
          <w:rFonts w:ascii="宋体" w:hAnsi="宋体" w:eastAsia="宋体" w:cs="宋体"/>
          <w:spacing w:val="1"/>
          <w:sz w:val="21"/>
          <w:szCs w:val="21"/>
        </w:rPr>
        <w:t>(4)从国(境)外直接进口的商</w:t>
      </w:r>
      <w:r>
        <w:rPr>
          <w:rFonts w:ascii="宋体" w:hAnsi="宋体" w:eastAsia="宋体" w:cs="宋体"/>
          <w:sz w:val="21"/>
          <w:szCs w:val="21"/>
        </w:rPr>
        <w:t xml:space="preserve">品数量；  (5)  </w:t>
      </w:r>
      <w:r>
        <w:rPr>
          <w:rFonts w:ascii="宋体" w:hAnsi="宋体" w:eastAsia="宋体" w:cs="宋体"/>
          <w:spacing w:val="-5"/>
          <w:sz w:val="21"/>
          <w:szCs w:val="21"/>
        </w:rPr>
        <w:t>从居民收购的废旧商品数量。</w:t>
      </w:r>
    </w:p>
    <w:p w14:paraId="01A09E80">
      <w:pPr>
        <w:spacing w:before="109" w:line="284" w:lineRule="auto"/>
        <w:ind w:right="49" w:firstLine="410"/>
        <w:rPr>
          <w:rFonts w:ascii="宋体" w:hAnsi="宋体" w:eastAsia="宋体" w:cs="宋体"/>
          <w:sz w:val="21"/>
          <w:szCs w:val="21"/>
        </w:rPr>
      </w:pPr>
      <w:r>
        <w:rPr>
          <w:rFonts w:ascii="宋体" w:hAnsi="宋体" w:eastAsia="宋体" w:cs="宋体"/>
          <w:spacing w:val="1"/>
          <w:sz w:val="21"/>
          <w:szCs w:val="21"/>
        </w:rPr>
        <w:t>商品购进量不包括：  (1)未通过买卖</w:t>
      </w:r>
      <w:r>
        <w:rPr>
          <w:rFonts w:ascii="宋体" w:hAnsi="宋体" w:eastAsia="宋体" w:cs="宋体"/>
          <w:sz w:val="21"/>
          <w:szCs w:val="21"/>
        </w:rPr>
        <w:t xml:space="preserve">行为而收入的商品数量，如接收其他部门移交的、借入的、 </w:t>
      </w:r>
      <w:r>
        <w:rPr>
          <w:rFonts w:ascii="宋体" w:hAnsi="宋体" w:eastAsia="宋体" w:cs="宋体"/>
          <w:spacing w:val="1"/>
          <w:sz w:val="21"/>
          <w:szCs w:val="21"/>
        </w:rPr>
        <w:t>代其他单位保管的、其他单位赠送的样品、加工回收的成品等；  (2</w:t>
      </w:r>
      <w:r>
        <w:rPr>
          <w:rFonts w:ascii="宋体" w:hAnsi="宋体" w:eastAsia="宋体" w:cs="宋体"/>
          <w:sz w:val="21"/>
          <w:szCs w:val="21"/>
        </w:rPr>
        <w:t xml:space="preserve">)经本单位介绍，由买卖双方直接 </w:t>
      </w:r>
      <w:r>
        <w:rPr>
          <w:rFonts w:ascii="宋体" w:hAnsi="宋体" w:eastAsia="宋体" w:cs="宋体"/>
          <w:spacing w:val="-1"/>
          <w:sz w:val="21"/>
          <w:szCs w:val="21"/>
        </w:rPr>
        <w:t>结算，本单位只收取手续费的业务；  (3)销货退回、买方拒付货款的商品数量；  (4)溢余商品数量。</w:t>
      </w:r>
    </w:p>
    <w:p w14:paraId="0C512D0A">
      <w:pPr>
        <w:spacing w:before="109" w:line="269" w:lineRule="auto"/>
        <w:ind w:right="73" w:firstLine="413"/>
        <w:rPr>
          <w:rFonts w:ascii="宋体" w:hAnsi="宋体" w:eastAsia="宋体" w:cs="宋体"/>
          <w:sz w:val="21"/>
          <w:szCs w:val="21"/>
        </w:rPr>
      </w:pPr>
      <w:r>
        <w:rPr>
          <w:rFonts w:ascii="黑体" w:hAnsi="黑体" w:eastAsia="黑体" w:cs="黑体"/>
          <w:b/>
          <w:bCs/>
          <w:spacing w:val="3"/>
          <w:sz w:val="21"/>
          <w:szCs w:val="21"/>
        </w:rPr>
        <w:t>商品销售量</w:t>
      </w:r>
      <w:r>
        <w:rPr>
          <w:rFonts w:ascii="黑体" w:hAnsi="黑体" w:eastAsia="黑体" w:cs="黑体"/>
          <w:spacing w:val="115"/>
          <w:sz w:val="21"/>
          <w:szCs w:val="21"/>
        </w:rPr>
        <w:t xml:space="preserve"> </w:t>
      </w:r>
      <w:r>
        <w:rPr>
          <w:rFonts w:ascii="宋体" w:hAnsi="宋体" w:eastAsia="宋体" w:cs="宋体"/>
          <w:spacing w:val="3"/>
          <w:sz w:val="21"/>
          <w:szCs w:val="21"/>
        </w:rPr>
        <w:t>指销售和调出(开具正式发票，下同)给本单位以外的单位或个人的商品数量。销售</w:t>
      </w:r>
      <w:r>
        <w:rPr>
          <w:rFonts w:ascii="宋体" w:hAnsi="宋体" w:eastAsia="宋体" w:cs="宋体"/>
          <w:sz w:val="21"/>
          <w:szCs w:val="21"/>
        </w:rPr>
        <w:t xml:space="preserve"> </w:t>
      </w:r>
      <w:r>
        <w:rPr>
          <w:rFonts w:ascii="宋体" w:hAnsi="宋体" w:eastAsia="宋体" w:cs="宋体"/>
          <w:spacing w:val="-2"/>
          <w:sz w:val="21"/>
          <w:szCs w:val="21"/>
        </w:rPr>
        <w:t>的各种商品，凡是收到货款或取得收款凭证的，都统计在商品销售量中。</w:t>
      </w:r>
    </w:p>
    <w:p w14:paraId="049F7469">
      <w:pPr>
        <w:spacing w:line="269" w:lineRule="auto"/>
        <w:rPr>
          <w:rFonts w:ascii="宋体" w:hAnsi="宋体" w:eastAsia="宋体" w:cs="宋体"/>
          <w:sz w:val="21"/>
          <w:szCs w:val="21"/>
        </w:rPr>
        <w:sectPr>
          <w:headerReference r:id="rId74" w:type="default"/>
          <w:pgSz w:w="11910" w:h="16840"/>
          <w:pgMar w:top="1059" w:right="1214" w:bottom="400" w:left="1239" w:header="838" w:footer="0" w:gutter="0"/>
          <w:cols w:space="720" w:num="1"/>
        </w:sectPr>
      </w:pPr>
    </w:p>
    <w:p w14:paraId="3341EEE1">
      <w:pPr>
        <w:pStyle w:val="2"/>
        <w:spacing w:line="298" w:lineRule="auto"/>
      </w:pPr>
    </w:p>
    <w:p w14:paraId="193B6278">
      <w:pPr>
        <w:spacing w:before="68" w:line="321" w:lineRule="auto"/>
        <w:ind w:left="130" w:right="4" w:firstLine="300"/>
        <w:rPr>
          <w:rFonts w:ascii="宋体" w:hAnsi="宋体" w:eastAsia="宋体" w:cs="宋体"/>
          <w:sz w:val="21"/>
          <w:szCs w:val="21"/>
        </w:rPr>
      </w:pPr>
      <w:r>
        <w:rPr>
          <w:rFonts w:ascii="宋体" w:hAnsi="宋体" w:eastAsia="宋体" w:cs="宋体"/>
          <w:spacing w:val="4"/>
          <w:sz w:val="21"/>
          <w:szCs w:val="21"/>
        </w:rPr>
        <w:t>商品销售量包括：</w:t>
      </w:r>
      <w:r>
        <w:rPr>
          <w:rFonts w:ascii="宋体" w:hAnsi="宋体" w:eastAsia="宋体" w:cs="宋体"/>
          <w:spacing w:val="113"/>
          <w:sz w:val="21"/>
          <w:szCs w:val="21"/>
        </w:rPr>
        <w:t xml:space="preserve"> </w:t>
      </w:r>
      <w:r>
        <w:rPr>
          <w:rFonts w:ascii="宋体" w:hAnsi="宋体" w:eastAsia="宋体" w:cs="宋体"/>
          <w:spacing w:val="4"/>
          <w:sz w:val="21"/>
          <w:szCs w:val="21"/>
        </w:rPr>
        <w:t xml:space="preserve">(1)售给城乡居民、社会集团消费和其他个人(如外来旅游者)的商品数量； </w:t>
      </w:r>
      <w:r>
        <w:rPr>
          <w:rFonts w:ascii="宋体" w:hAnsi="宋体" w:eastAsia="宋体" w:cs="宋体"/>
          <w:spacing w:val="3"/>
          <w:sz w:val="21"/>
          <w:szCs w:val="21"/>
        </w:rPr>
        <w:t>(2)售给国民经济各行业用于生产、经营使用的商品数量，包括售给批发和零售业作为转卖或加工后</w:t>
      </w:r>
    </w:p>
    <w:p w14:paraId="742474BE">
      <w:pPr>
        <w:spacing w:line="219" w:lineRule="auto"/>
        <w:ind w:left="10"/>
        <w:rPr>
          <w:rFonts w:ascii="宋体" w:hAnsi="宋体" w:eastAsia="宋体" w:cs="宋体"/>
          <w:sz w:val="21"/>
          <w:szCs w:val="21"/>
        </w:rPr>
      </w:pPr>
      <w:r>
        <w:rPr>
          <w:rFonts w:ascii="宋体" w:hAnsi="宋体" w:eastAsia="宋体" w:cs="宋体"/>
          <w:spacing w:val="5"/>
          <w:sz w:val="21"/>
          <w:szCs w:val="21"/>
        </w:rPr>
        <w:t>转卖的商品数量；  (3)对国(境)外直接出口的商品数量。</w:t>
      </w:r>
    </w:p>
    <w:p w14:paraId="56586F0B">
      <w:pPr>
        <w:spacing w:before="89" w:line="284" w:lineRule="auto"/>
        <w:ind w:left="10" w:right="31" w:firstLine="420"/>
        <w:rPr>
          <w:rFonts w:ascii="宋体" w:hAnsi="宋体" w:eastAsia="宋体" w:cs="宋体"/>
          <w:sz w:val="21"/>
          <w:szCs w:val="21"/>
        </w:rPr>
      </w:pPr>
      <w:r>
        <w:rPr>
          <w:rFonts w:ascii="宋体" w:hAnsi="宋体" w:eastAsia="宋体" w:cs="宋体"/>
          <w:spacing w:val="-7"/>
          <w:sz w:val="21"/>
          <w:szCs w:val="21"/>
        </w:rPr>
        <w:t>商品销售量不包括：  (1)未通过买卖行为付出的商品数量，如：转移、借出、归还、赠送等；  (2)</w:t>
      </w:r>
      <w:r>
        <w:rPr>
          <w:rFonts w:ascii="宋体" w:hAnsi="宋体" w:eastAsia="宋体" w:cs="宋体"/>
          <w:spacing w:val="11"/>
          <w:sz w:val="21"/>
          <w:szCs w:val="21"/>
        </w:rPr>
        <w:t xml:space="preserve"> </w:t>
      </w:r>
      <w:r>
        <w:rPr>
          <w:rFonts w:ascii="宋体" w:hAnsi="宋体" w:eastAsia="宋体" w:cs="宋体"/>
          <w:spacing w:val="-1"/>
          <w:sz w:val="21"/>
          <w:szCs w:val="21"/>
        </w:rPr>
        <w:t xml:space="preserve">购货单位退回的商品数量；  (3)商品的损耗数量；  </w:t>
      </w:r>
      <w:r>
        <w:rPr>
          <w:rFonts w:ascii="宋体" w:hAnsi="宋体" w:eastAsia="宋体" w:cs="宋体"/>
          <w:spacing w:val="-2"/>
          <w:sz w:val="21"/>
          <w:szCs w:val="21"/>
        </w:rPr>
        <w:t>(4)经本单位介绍，由买卖双方直接结算，本单位</w:t>
      </w:r>
      <w:r>
        <w:rPr>
          <w:rFonts w:ascii="宋体" w:hAnsi="宋体" w:eastAsia="宋体" w:cs="宋体"/>
          <w:sz w:val="21"/>
          <w:szCs w:val="21"/>
        </w:rPr>
        <w:t xml:space="preserve"> </w:t>
      </w:r>
      <w:r>
        <w:rPr>
          <w:rFonts w:ascii="宋体" w:hAnsi="宋体" w:eastAsia="宋体" w:cs="宋体"/>
          <w:spacing w:val="-2"/>
          <w:sz w:val="21"/>
          <w:szCs w:val="21"/>
        </w:rPr>
        <w:t>只收取手续费的业务；  (5)出售本单位自用的废旧商品数量。</w:t>
      </w:r>
    </w:p>
    <w:p w14:paraId="74D5C6EB">
      <w:pPr>
        <w:spacing w:before="139" w:line="259" w:lineRule="auto"/>
        <w:ind w:left="10" w:right="26" w:firstLine="423"/>
        <w:rPr>
          <w:rFonts w:ascii="宋体" w:hAnsi="宋体" w:eastAsia="宋体" w:cs="宋体"/>
          <w:sz w:val="21"/>
          <w:szCs w:val="21"/>
        </w:rPr>
      </w:pPr>
      <w:r>
        <w:rPr>
          <w:rFonts w:ascii="黑体" w:hAnsi="黑体" w:eastAsia="黑体" w:cs="黑体"/>
          <w:b/>
          <w:bCs/>
          <w:spacing w:val="-2"/>
          <w:sz w:val="21"/>
          <w:szCs w:val="21"/>
        </w:rPr>
        <w:t>商品库存量</w:t>
      </w:r>
      <w:r>
        <w:rPr>
          <w:rFonts w:ascii="黑体" w:hAnsi="黑体" w:eastAsia="黑体" w:cs="黑体"/>
          <w:spacing w:val="107"/>
          <w:sz w:val="21"/>
          <w:szCs w:val="21"/>
        </w:rPr>
        <w:t xml:space="preserve"> </w:t>
      </w:r>
      <w:r>
        <w:rPr>
          <w:rFonts w:ascii="宋体" w:hAnsi="宋体" w:eastAsia="宋体" w:cs="宋体"/>
          <w:spacing w:val="-2"/>
          <w:sz w:val="21"/>
          <w:szCs w:val="21"/>
        </w:rPr>
        <w:t>指本单位已取得所有权的全部商品数量。商品库存量必须按照规定时点核算，期初库</w:t>
      </w:r>
      <w:r>
        <w:rPr>
          <w:rFonts w:ascii="宋体" w:hAnsi="宋体" w:eastAsia="宋体" w:cs="宋体"/>
          <w:sz w:val="21"/>
          <w:szCs w:val="21"/>
        </w:rPr>
        <w:t xml:space="preserve"> </w:t>
      </w:r>
      <w:r>
        <w:rPr>
          <w:rFonts w:ascii="宋体" w:hAnsi="宋体" w:eastAsia="宋体" w:cs="宋体"/>
          <w:spacing w:val="2"/>
          <w:sz w:val="21"/>
          <w:szCs w:val="21"/>
        </w:rPr>
        <w:t>存量指报告期第一天零时的实际库存量，期末库存</w:t>
      </w:r>
      <w:r>
        <w:rPr>
          <w:rFonts w:ascii="宋体" w:hAnsi="宋体" w:eastAsia="宋体" w:cs="宋体"/>
          <w:spacing w:val="1"/>
          <w:sz w:val="21"/>
          <w:szCs w:val="21"/>
        </w:rPr>
        <w:t>量指报告期最后一天24时的实际库存量。</w:t>
      </w:r>
    </w:p>
    <w:p w14:paraId="091C4F98">
      <w:pPr>
        <w:spacing w:before="103" w:line="297" w:lineRule="auto"/>
        <w:ind w:left="10" w:right="14" w:firstLine="420"/>
        <w:rPr>
          <w:rFonts w:ascii="宋体" w:hAnsi="宋体" w:eastAsia="宋体" w:cs="宋体"/>
          <w:sz w:val="21"/>
          <w:szCs w:val="21"/>
        </w:rPr>
      </w:pPr>
      <w:r>
        <w:rPr>
          <w:rFonts w:ascii="宋体" w:hAnsi="宋体" w:eastAsia="宋体" w:cs="宋体"/>
          <w:spacing w:val="6"/>
          <w:sz w:val="21"/>
          <w:szCs w:val="21"/>
        </w:rPr>
        <w:t>商品库存量包括：  (1)存放在本单位(如门市部、</w:t>
      </w:r>
      <w:r>
        <w:rPr>
          <w:rFonts w:ascii="宋体" w:hAnsi="宋体" w:eastAsia="宋体" w:cs="宋体"/>
          <w:spacing w:val="5"/>
          <w:sz w:val="21"/>
          <w:szCs w:val="21"/>
        </w:rPr>
        <w:t>批发站、采购站、经营处)的仓库、货场、货</w:t>
      </w:r>
      <w:r>
        <w:rPr>
          <w:rFonts w:ascii="宋体" w:hAnsi="宋体" w:eastAsia="宋体" w:cs="宋体"/>
          <w:sz w:val="21"/>
          <w:szCs w:val="21"/>
        </w:rPr>
        <w:t xml:space="preserve"> </w:t>
      </w:r>
      <w:r>
        <w:rPr>
          <w:rFonts w:ascii="宋体" w:hAnsi="宋体" w:eastAsia="宋体" w:cs="宋体"/>
          <w:spacing w:val="-1"/>
          <w:sz w:val="21"/>
          <w:szCs w:val="21"/>
        </w:rPr>
        <w:t>柜和货架中的商品数量；  (2)挑选、整理、包装中的商</w:t>
      </w:r>
      <w:r>
        <w:rPr>
          <w:rFonts w:ascii="宋体" w:hAnsi="宋体" w:eastAsia="宋体" w:cs="宋体"/>
          <w:spacing w:val="-2"/>
          <w:sz w:val="21"/>
          <w:szCs w:val="21"/>
        </w:rPr>
        <w:t>品数量；  (3)已记入购进而尚未运到的本单位</w:t>
      </w:r>
      <w:r>
        <w:rPr>
          <w:rFonts w:ascii="宋体" w:hAnsi="宋体" w:eastAsia="宋体" w:cs="宋体"/>
          <w:sz w:val="21"/>
          <w:szCs w:val="21"/>
        </w:rPr>
        <w:t xml:space="preserve"> </w:t>
      </w:r>
      <w:r>
        <w:rPr>
          <w:rFonts w:ascii="宋体" w:hAnsi="宋体" w:eastAsia="宋体" w:cs="宋体"/>
          <w:spacing w:val="1"/>
          <w:sz w:val="21"/>
          <w:szCs w:val="21"/>
        </w:rPr>
        <w:t>的商品数量，即发货单或银行承兑凭证已到而货未到的商品数量；  (4)寄存在他处的商品数量，</w:t>
      </w:r>
      <w:r>
        <w:rPr>
          <w:rFonts w:ascii="宋体" w:hAnsi="宋体" w:eastAsia="宋体" w:cs="宋体"/>
          <w:sz w:val="21"/>
          <w:szCs w:val="21"/>
        </w:rPr>
        <w:t xml:space="preserve">如因 </w:t>
      </w:r>
      <w:r>
        <w:rPr>
          <w:rFonts w:ascii="宋体" w:hAnsi="宋体" w:eastAsia="宋体" w:cs="宋体"/>
          <w:spacing w:val="7"/>
          <w:sz w:val="21"/>
          <w:szCs w:val="21"/>
        </w:rPr>
        <w:t>购货方拒绝付款而暂时存在购货方的商品数</w:t>
      </w:r>
      <w:r>
        <w:rPr>
          <w:rFonts w:ascii="宋体" w:hAnsi="宋体" w:eastAsia="宋体" w:cs="宋体"/>
          <w:spacing w:val="6"/>
          <w:sz w:val="21"/>
          <w:szCs w:val="21"/>
        </w:rPr>
        <w:t>量；</w:t>
      </w:r>
      <w:r>
        <w:rPr>
          <w:rFonts w:ascii="宋体" w:hAnsi="宋体" w:eastAsia="宋体" w:cs="宋体"/>
          <w:spacing w:val="75"/>
          <w:sz w:val="21"/>
          <w:szCs w:val="21"/>
        </w:rPr>
        <w:t xml:space="preserve"> </w:t>
      </w:r>
      <w:r>
        <w:rPr>
          <w:rFonts w:ascii="宋体" w:hAnsi="宋体" w:eastAsia="宋体" w:cs="宋体"/>
          <w:spacing w:val="6"/>
          <w:sz w:val="21"/>
          <w:szCs w:val="21"/>
        </w:rPr>
        <w:t>(5)委托其他单位代销(未做销售货调出)尚未售出</w:t>
      </w:r>
      <w:r>
        <w:rPr>
          <w:rFonts w:ascii="宋体" w:hAnsi="宋体" w:eastAsia="宋体" w:cs="宋体"/>
          <w:sz w:val="21"/>
          <w:szCs w:val="21"/>
        </w:rPr>
        <w:t xml:space="preserve"> </w:t>
      </w:r>
      <w:r>
        <w:rPr>
          <w:rFonts w:ascii="宋体" w:hAnsi="宋体" w:eastAsia="宋体" w:cs="宋体"/>
          <w:spacing w:val="-2"/>
          <w:sz w:val="21"/>
          <w:szCs w:val="21"/>
        </w:rPr>
        <w:t>的商品数量；  (6)代其他单位购进尚未交付的商品数量。</w:t>
      </w:r>
    </w:p>
    <w:p w14:paraId="643C82FF">
      <w:pPr>
        <w:spacing w:before="128" w:line="294" w:lineRule="auto"/>
        <w:ind w:left="10" w:right="18" w:firstLine="420"/>
        <w:rPr>
          <w:rFonts w:ascii="宋体" w:hAnsi="宋体" w:eastAsia="宋体" w:cs="宋体"/>
          <w:sz w:val="21"/>
          <w:szCs w:val="21"/>
        </w:rPr>
      </w:pPr>
      <w:r>
        <w:rPr>
          <w:rFonts w:ascii="宋体" w:hAnsi="宋体" w:eastAsia="宋体" w:cs="宋体"/>
          <w:spacing w:val="1"/>
          <w:sz w:val="21"/>
          <w:szCs w:val="21"/>
        </w:rPr>
        <w:t>商品库存量不包括：  (1)所有权不属于本单位的商品数量，如商品已作销售但</w:t>
      </w:r>
      <w:r>
        <w:rPr>
          <w:rFonts w:ascii="宋体" w:hAnsi="宋体" w:eastAsia="宋体" w:cs="宋体"/>
          <w:sz w:val="21"/>
          <w:szCs w:val="21"/>
        </w:rPr>
        <w:t xml:space="preserve">买方尚未取走的商 </w:t>
      </w:r>
      <w:r>
        <w:rPr>
          <w:rFonts w:ascii="宋体" w:hAnsi="宋体" w:eastAsia="宋体" w:cs="宋体"/>
          <w:spacing w:val="3"/>
          <w:sz w:val="21"/>
          <w:szCs w:val="21"/>
        </w:rPr>
        <w:t>品数量，代替他人保管、运输、加工的商品数量，代其他单位销售(未做购进或调入)而未售出的商品</w:t>
      </w:r>
      <w:r>
        <w:rPr>
          <w:rFonts w:ascii="宋体" w:hAnsi="宋体" w:eastAsia="宋体" w:cs="宋体"/>
          <w:spacing w:val="15"/>
          <w:sz w:val="21"/>
          <w:szCs w:val="21"/>
        </w:rPr>
        <w:t xml:space="preserve"> </w:t>
      </w:r>
      <w:r>
        <w:rPr>
          <w:rFonts w:ascii="宋体" w:hAnsi="宋体" w:eastAsia="宋体" w:cs="宋体"/>
          <w:spacing w:val="4"/>
          <w:sz w:val="21"/>
          <w:szCs w:val="21"/>
        </w:rPr>
        <w:t>数量；</w:t>
      </w:r>
      <w:r>
        <w:rPr>
          <w:rFonts w:ascii="宋体" w:hAnsi="宋体" w:eastAsia="宋体" w:cs="宋体"/>
          <w:spacing w:val="74"/>
          <w:sz w:val="21"/>
          <w:szCs w:val="21"/>
        </w:rPr>
        <w:t xml:space="preserve"> </w:t>
      </w:r>
      <w:r>
        <w:rPr>
          <w:rFonts w:ascii="宋体" w:hAnsi="宋体" w:eastAsia="宋体" w:cs="宋体"/>
          <w:spacing w:val="4"/>
          <w:sz w:val="21"/>
          <w:szCs w:val="21"/>
        </w:rPr>
        <w:t>(2)委托外单位加工的商品数量(包括本单位所属加工厂和其他生产</w:t>
      </w:r>
      <w:r>
        <w:rPr>
          <w:rFonts w:ascii="宋体" w:hAnsi="宋体" w:eastAsia="宋体" w:cs="宋体"/>
          <w:spacing w:val="3"/>
          <w:sz w:val="21"/>
          <w:szCs w:val="21"/>
        </w:rPr>
        <w:t>单位加工生产尚未收回成</w:t>
      </w:r>
      <w:r>
        <w:rPr>
          <w:rFonts w:ascii="宋体" w:hAnsi="宋体" w:eastAsia="宋体" w:cs="宋体"/>
          <w:sz w:val="21"/>
          <w:szCs w:val="21"/>
        </w:rPr>
        <w:t xml:space="preserve"> </w:t>
      </w:r>
      <w:r>
        <w:rPr>
          <w:rFonts w:ascii="宋体" w:hAnsi="宋体" w:eastAsia="宋体" w:cs="宋体"/>
          <w:spacing w:val="5"/>
          <w:sz w:val="21"/>
          <w:szCs w:val="21"/>
        </w:rPr>
        <w:t>品的商品数量);</w:t>
      </w:r>
      <w:r>
        <w:rPr>
          <w:rFonts w:ascii="宋体" w:hAnsi="宋体" w:eastAsia="宋体" w:cs="宋体"/>
          <w:spacing w:val="71"/>
          <w:sz w:val="21"/>
          <w:szCs w:val="21"/>
        </w:rPr>
        <w:t xml:space="preserve"> </w:t>
      </w:r>
      <w:r>
        <w:rPr>
          <w:rFonts w:ascii="宋体" w:hAnsi="宋体" w:eastAsia="宋体" w:cs="宋体"/>
          <w:spacing w:val="5"/>
          <w:sz w:val="21"/>
          <w:szCs w:val="21"/>
        </w:rPr>
        <w:t>(3)外贸企业代理其他单位从国外进口，尚未付</w:t>
      </w:r>
      <w:r>
        <w:rPr>
          <w:rFonts w:ascii="宋体" w:hAnsi="宋体" w:eastAsia="宋体" w:cs="宋体"/>
          <w:spacing w:val="4"/>
          <w:sz w:val="21"/>
          <w:szCs w:val="21"/>
        </w:rPr>
        <w:t>给订货单位的商品数量；</w:t>
      </w:r>
      <w:r>
        <w:rPr>
          <w:rFonts w:ascii="宋体" w:hAnsi="宋体" w:eastAsia="宋体" w:cs="宋体"/>
          <w:spacing w:val="75"/>
          <w:sz w:val="21"/>
          <w:szCs w:val="21"/>
        </w:rPr>
        <w:t xml:space="preserve"> </w:t>
      </w:r>
      <w:r>
        <w:rPr>
          <w:rFonts w:ascii="宋体" w:hAnsi="宋体" w:eastAsia="宋体" w:cs="宋体"/>
          <w:spacing w:val="4"/>
          <w:sz w:val="21"/>
          <w:szCs w:val="21"/>
        </w:rPr>
        <w:t>(4)代国</w:t>
      </w:r>
      <w:r>
        <w:rPr>
          <w:rFonts w:ascii="宋体" w:hAnsi="宋体" w:eastAsia="宋体" w:cs="宋体"/>
          <w:sz w:val="21"/>
          <w:szCs w:val="21"/>
        </w:rPr>
        <w:t xml:space="preserve"> </w:t>
      </w:r>
      <w:r>
        <w:rPr>
          <w:rFonts w:ascii="宋体" w:hAnsi="宋体" w:eastAsia="宋体" w:cs="宋体"/>
          <w:spacing w:val="-3"/>
          <w:sz w:val="21"/>
          <w:szCs w:val="21"/>
        </w:rPr>
        <w:t>家储备部门保管的商品数量。</w:t>
      </w:r>
    </w:p>
    <w:p w14:paraId="4253BBCD">
      <w:pPr>
        <w:spacing w:before="117" w:line="221" w:lineRule="auto"/>
        <w:ind w:right="5"/>
        <w:jc w:val="right"/>
        <w:rPr>
          <w:rFonts w:ascii="宋体" w:hAnsi="宋体" w:eastAsia="宋体" w:cs="宋体"/>
          <w:sz w:val="21"/>
          <w:szCs w:val="21"/>
        </w:rPr>
      </w:pPr>
      <w:r>
        <w:rPr>
          <w:rFonts w:ascii="黑体" w:hAnsi="黑体" w:eastAsia="黑体" w:cs="黑体"/>
          <w:b/>
          <w:bCs/>
          <w:spacing w:val="9"/>
          <w:sz w:val="21"/>
          <w:szCs w:val="21"/>
        </w:rPr>
        <w:t>购自省外</w:t>
      </w:r>
      <w:r>
        <w:rPr>
          <w:rFonts w:ascii="黑体" w:hAnsi="黑体" w:eastAsia="黑体" w:cs="黑体"/>
          <w:spacing w:val="88"/>
          <w:sz w:val="21"/>
          <w:szCs w:val="21"/>
        </w:rPr>
        <w:t xml:space="preserve"> </w:t>
      </w:r>
      <w:r>
        <w:rPr>
          <w:rFonts w:ascii="宋体" w:hAnsi="宋体" w:eastAsia="宋体" w:cs="宋体"/>
          <w:spacing w:val="9"/>
          <w:sz w:val="21"/>
          <w:szCs w:val="21"/>
        </w:rPr>
        <w:t>指企业在报告期内从本省(自治区、直辖市)以外(包括进口)购进的能源产品数量。</w:t>
      </w:r>
    </w:p>
    <w:p w14:paraId="7ADD8BA2">
      <w:pPr>
        <w:spacing w:before="129" w:line="221" w:lineRule="auto"/>
        <w:ind w:left="433"/>
        <w:rPr>
          <w:rFonts w:ascii="宋体" w:hAnsi="宋体" w:eastAsia="宋体" w:cs="宋体"/>
          <w:sz w:val="21"/>
          <w:szCs w:val="21"/>
        </w:rPr>
      </w:pPr>
      <w:r>
        <w:rPr>
          <w:rFonts w:ascii="黑体" w:hAnsi="黑体" w:eastAsia="黑体" w:cs="黑体"/>
          <w:b/>
          <w:bCs/>
          <w:spacing w:val="10"/>
          <w:sz w:val="21"/>
          <w:szCs w:val="21"/>
        </w:rPr>
        <w:t>销往省外</w:t>
      </w:r>
      <w:r>
        <w:rPr>
          <w:rFonts w:ascii="黑体" w:hAnsi="黑体" w:eastAsia="黑体" w:cs="黑体"/>
          <w:spacing w:val="97"/>
          <w:sz w:val="21"/>
          <w:szCs w:val="21"/>
        </w:rPr>
        <w:t xml:space="preserve"> </w:t>
      </w:r>
      <w:r>
        <w:rPr>
          <w:rFonts w:ascii="宋体" w:hAnsi="宋体" w:eastAsia="宋体" w:cs="宋体"/>
          <w:spacing w:val="10"/>
          <w:sz w:val="21"/>
          <w:szCs w:val="21"/>
        </w:rPr>
        <w:t>指企业在报告期内销往本省(自治区、直辖市)以外(包括出口)的数量。</w:t>
      </w:r>
    </w:p>
    <w:p w14:paraId="04D41196">
      <w:pPr>
        <w:spacing w:before="78" w:line="293" w:lineRule="auto"/>
        <w:ind w:left="10" w:right="21" w:firstLine="423"/>
        <w:rPr>
          <w:rFonts w:ascii="宋体" w:hAnsi="宋体" w:eastAsia="宋体" w:cs="宋体"/>
          <w:sz w:val="21"/>
          <w:szCs w:val="21"/>
        </w:rPr>
      </w:pPr>
      <w:r>
        <w:rPr>
          <w:rFonts w:ascii="黑体" w:hAnsi="黑体" w:eastAsia="黑体" w:cs="黑体"/>
          <w:b/>
          <w:bCs/>
          <w:spacing w:val="-1"/>
          <w:sz w:val="21"/>
          <w:szCs w:val="21"/>
        </w:rPr>
        <w:t>损耗量及其他</w:t>
      </w:r>
      <w:r>
        <w:rPr>
          <w:rFonts w:ascii="黑体" w:hAnsi="黑体" w:eastAsia="黑体" w:cs="黑体"/>
          <w:spacing w:val="80"/>
          <w:sz w:val="21"/>
          <w:szCs w:val="21"/>
        </w:rPr>
        <w:t xml:space="preserve"> </w:t>
      </w:r>
      <w:r>
        <w:rPr>
          <w:rFonts w:ascii="宋体" w:hAnsi="宋体" w:eastAsia="宋体" w:cs="宋体"/>
          <w:spacing w:val="-1"/>
          <w:sz w:val="21"/>
          <w:szCs w:val="21"/>
        </w:rPr>
        <w:t>本指标包括损耗量和其他两部</w:t>
      </w:r>
      <w:r>
        <w:rPr>
          <w:rFonts w:ascii="宋体" w:hAnsi="宋体" w:eastAsia="宋体" w:cs="宋体"/>
          <w:spacing w:val="-2"/>
          <w:sz w:val="21"/>
          <w:szCs w:val="21"/>
        </w:rPr>
        <w:t>分。损耗量一般指报告期内能源商品在库存或运输过</w:t>
      </w:r>
      <w:r>
        <w:rPr>
          <w:rFonts w:ascii="宋体" w:hAnsi="宋体" w:eastAsia="宋体" w:cs="宋体"/>
          <w:sz w:val="21"/>
          <w:szCs w:val="21"/>
        </w:rPr>
        <w:t xml:space="preserve"> </w:t>
      </w:r>
      <w:r>
        <w:rPr>
          <w:rFonts w:ascii="宋体" w:hAnsi="宋体" w:eastAsia="宋体" w:cs="宋体"/>
          <w:spacing w:val="5"/>
          <w:sz w:val="21"/>
          <w:szCs w:val="21"/>
        </w:rPr>
        <w:t>程中由于各种原因产生的损耗(如物理碰撞损伤、易挥发物料的挥发、液体物料的泄露等),以及企业</w:t>
      </w:r>
      <w:r>
        <w:rPr>
          <w:rFonts w:ascii="宋体" w:hAnsi="宋体" w:eastAsia="宋体" w:cs="宋体"/>
          <w:spacing w:val="16"/>
          <w:sz w:val="21"/>
          <w:szCs w:val="21"/>
        </w:rPr>
        <w:t xml:space="preserve"> </w:t>
      </w:r>
      <w:r>
        <w:rPr>
          <w:rFonts w:ascii="宋体" w:hAnsi="宋体" w:eastAsia="宋体" w:cs="宋体"/>
          <w:spacing w:val="-1"/>
          <w:sz w:val="21"/>
          <w:szCs w:val="21"/>
        </w:rPr>
        <w:t>库存的盘盈盘亏的数量；其他是指能源经销企业在报告期内将</w:t>
      </w:r>
      <w:r>
        <w:rPr>
          <w:rFonts w:ascii="宋体" w:hAnsi="宋体" w:eastAsia="宋体" w:cs="宋体"/>
          <w:spacing w:val="-2"/>
          <w:sz w:val="21"/>
          <w:szCs w:val="21"/>
        </w:rPr>
        <w:t>能源商品用于消费、展览、捐赠、借出以</w:t>
      </w:r>
      <w:r>
        <w:rPr>
          <w:rFonts w:ascii="宋体" w:hAnsi="宋体" w:eastAsia="宋体" w:cs="宋体"/>
          <w:sz w:val="21"/>
          <w:szCs w:val="21"/>
        </w:rPr>
        <w:t xml:space="preserve"> </w:t>
      </w:r>
      <w:r>
        <w:rPr>
          <w:rFonts w:ascii="宋体" w:hAnsi="宋体" w:eastAsia="宋体" w:cs="宋体"/>
          <w:spacing w:val="-6"/>
          <w:sz w:val="21"/>
          <w:szCs w:val="21"/>
        </w:rPr>
        <w:t>及报废等方面的数量。</w:t>
      </w:r>
    </w:p>
    <w:p w14:paraId="52A69DDA">
      <w:pPr>
        <w:spacing w:line="293" w:lineRule="auto"/>
        <w:rPr>
          <w:rFonts w:ascii="宋体" w:hAnsi="宋体" w:eastAsia="宋体" w:cs="宋体"/>
          <w:sz w:val="21"/>
          <w:szCs w:val="21"/>
        </w:rPr>
        <w:sectPr>
          <w:headerReference r:id="rId75" w:type="default"/>
          <w:pgSz w:w="11910" w:h="16840"/>
          <w:pgMar w:top="1109" w:right="1249" w:bottom="400" w:left="1239" w:header="867" w:footer="0" w:gutter="0"/>
          <w:cols w:space="720" w:num="1"/>
        </w:sectPr>
      </w:pPr>
    </w:p>
    <w:p w14:paraId="68A9DC62">
      <w:pPr>
        <w:pStyle w:val="2"/>
        <w:spacing w:line="259" w:lineRule="auto"/>
      </w:pPr>
    </w:p>
    <w:p w14:paraId="1419A2E7">
      <w:pPr>
        <w:pStyle w:val="2"/>
        <w:spacing w:line="260" w:lineRule="auto"/>
      </w:pPr>
    </w:p>
    <w:p w14:paraId="77A48A54">
      <w:pPr>
        <w:pStyle w:val="2"/>
        <w:spacing w:line="260" w:lineRule="auto"/>
      </w:pPr>
    </w:p>
    <w:p w14:paraId="54CA7838">
      <w:pPr>
        <w:spacing w:before="104" w:line="222" w:lineRule="auto"/>
        <w:ind w:left="3774"/>
        <w:outlineLvl w:val="0"/>
        <w:rPr>
          <w:rFonts w:ascii="黑体" w:hAnsi="黑体" w:eastAsia="黑体" w:cs="黑体"/>
          <w:sz w:val="32"/>
          <w:szCs w:val="32"/>
        </w:rPr>
      </w:pPr>
      <w:bookmarkStart w:id="24" w:name="bookmark33"/>
      <w:bookmarkEnd w:id="24"/>
      <w:r>
        <w:rPr>
          <w:rFonts w:ascii="黑体" w:hAnsi="黑体" w:eastAsia="黑体" w:cs="黑体"/>
          <w:b/>
          <w:bCs/>
          <w:spacing w:val="-40"/>
          <w:sz w:val="32"/>
          <w:szCs w:val="32"/>
        </w:rPr>
        <w:t>六、</w:t>
      </w:r>
      <w:r>
        <w:rPr>
          <w:rFonts w:ascii="黑体" w:hAnsi="黑体" w:eastAsia="黑体" w:cs="黑体"/>
          <w:spacing w:val="-75"/>
          <w:sz w:val="32"/>
          <w:szCs w:val="32"/>
        </w:rPr>
        <w:t xml:space="preserve"> </w:t>
      </w:r>
      <w:r>
        <w:rPr>
          <w:rFonts w:ascii="黑体" w:hAnsi="黑体" w:eastAsia="黑体" w:cs="黑体"/>
          <w:b/>
          <w:bCs/>
          <w:spacing w:val="-40"/>
          <w:sz w:val="32"/>
          <w:szCs w:val="32"/>
        </w:rPr>
        <w:t>附</w:t>
      </w:r>
      <w:r>
        <w:rPr>
          <w:rFonts w:ascii="黑体" w:hAnsi="黑体" w:eastAsia="黑体" w:cs="黑体"/>
          <w:spacing w:val="5"/>
          <w:sz w:val="32"/>
          <w:szCs w:val="32"/>
        </w:rPr>
        <w:t xml:space="preserve">    </w:t>
      </w:r>
      <w:r>
        <w:rPr>
          <w:rFonts w:ascii="黑体" w:hAnsi="黑体" w:eastAsia="黑体" w:cs="黑体"/>
          <w:b/>
          <w:bCs/>
          <w:spacing w:val="-40"/>
          <w:sz w:val="32"/>
          <w:szCs w:val="32"/>
        </w:rPr>
        <w:t>录</w:t>
      </w:r>
    </w:p>
    <w:p w14:paraId="44F3A209">
      <w:pPr>
        <w:spacing w:before="253" w:line="221" w:lineRule="auto"/>
        <w:ind w:left="2784"/>
        <w:rPr>
          <w:rFonts w:ascii="黑体" w:hAnsi="黑体" w:eastAsia="黑体" w:cs="黑体"/>
          <w:sz w:val="28"/>
          <w:szCs w:val="28"/>
        </w:rPr>
      </w:pPr>
      <w:r>
        <w:rPr>
          <w:rFonts w:ascii="黑体" w:hAnsi="黑体" w:eastAsia="黑体" w:cs="黑体"/>
          <w:b/>
          <w:bCs/>
          <w:spacing w:val="2"/>
          <w:sz w:val="28"/>
          <w:szCs w:val="28"/>
        </w:rPr>
        <w:t>(一)各种能源折标准煤参考系数</w:t>
      </w:r>
    </w:p>
    <w:p w14:paraId="63E76539">
      <w:pPr>
        <w:spacing w:line="124" w:lineRule="exact"/>
      </w:pPr>
    </w:p>
    <w:tbl>
      <w:tblPr>
        <w:tblStyle w:val="5"/>
        <w:tblW w:w="9390" w:type="dxa"/>
        <w:tblInd w:w="1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3030"/>
        <w:gridCol w:w="3040"/>
        <w:gridCol w:w="3320"/>
      </w:tblGrid>
      <w:tr w14:paraId="2AAB25B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44" w:hRule="atLeast"/>
        </w:trPr>
        <w:tc>
          <w:tcPr>
            <w:tcW w:w="3030" w:type="dxa"/>
            <w:tcBorders>
              <w:top w:val="single" w:color="000000" w:sz="4" w:space="0"/>
              <w:bottom w:val="single" w:color="000000" w:sz="4" w:space="0"/>
              <w:right w:val="single" w:color="000000" w:sz="4" w:space="0"/>
            </w:tcBorders>
            <w:vAlign w:val="top"/>
          </w:tcPr>
          <w:p w14:paraId="20920D72">
            <w:pPr>
              <w:pStyle w:val="6"/>
              <w:spacing w:before="183" w:line="221" w:lineRule="auto"/>
              <w:ind w:left="1160"/>
            </w:pPr>
            <w:r>
              <w:rPr>
                <w:spacing w:val="2"/>
              </w:rPr>
              <w:t>能源名称</w:t>
            </w:r>
          </w:p>
        </w:tc>
        <w:tc>
          <w:tcPr>
            <w:tcW w:w="3040" w:type="dxa"/>
            <w:tcBorders>
              <w:top w:val="single" w:color="000000" w:sz="4" w:space="0"/>
              <w:left w:val="single" w:color="000000" w:sz="4" w:space="0"/>
              <w:bottom w:val="single" w:color="000000" w:sz="4" w:space="0"/>
              <w:right w:val="single" w:color="000000" w:sz="4" w:space="0"/>
            </w:tcBorders>
            <w:vAlign w:val="top"/>
          </w:tcPr>
          <w:p w14:paraId="1305F5E3">
            <w:pPr>
              <w:pStyle w:val="6"/>
              <w:spacing w:before="183" w:line="220" w:lineRule="auto"/>
              <w:ind w:left="895"/>
            </w:pPr>
            <w:r>
              <w:rPr>
                <w:spacing w:val="-1"/>
              </w:rPr>
              <w:t>平均低位发热量</w:t>
            </w:r>
          </w:p>
        </w:tc>
        <w:tc>
          <w:tcPr>
            <w:tcW w:w="3320" w:type="dxa"/>
            <w:tcBorders>
              <w:top w:val="single" w:color="000000" w:sz="4" w:space="0"/>
              <w:left w:val="single" w:color="000000" w:sz="4" w:space="0"/>
              <w:bottom w:val="single" w:color="000000" w:sz="4" w:space="0"/>
            </w:tcBorders>
            <w:vAlign w:val="top"/>
          </w:tcPr>
          <w:p w14:paraId="5DEBADF2">
            <w:pPr>
              <w:pStyle w:val="6"/>
              <w:spacing w:before="182" w:line="219" w:lineRule="auto"/>
              <w:ind w:left="965"/>
            </w:pPr>
            <w:r>
              <w:rPr>
                <w:spacing w:val="-1"/>
              </w:rPr>
              <w:t>参考折标准煤系数</w:t>
            </w:r>
          </w:p>
        </w:tc>
      </w:tr>
      <w:tr w14:paraId="6320A16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46" w:hRule="atLeast"/>
        </w:trPr>
        <w:tc>
          <w:tcPr>
            <w:tcW w:w="3030" w:type="dxa"/>
            <w:tcBorders>
              <w:top w:val="single" w:color="000000" w:sz="4" w:space="0"/>
              <w:right w:val="single" w:color="000000" w:sz="4" w:space="0"/>
            </w:tcBorders>
            <w:vAlign w:val="top"/>
          </w:tcPr>
          <w:p w14:paraId="333DA3AE">
            <w:pPr>
              <w:pStyle w:val="6"/>
              <w:spacing w:before="99" w:line="220" w:lineRule="auto"/>
              <w:ind w:left="100"/>
            </w:pPr>
            <w:r>
              <w:rPr>
                <w:spacing w:val="-3"/>
              </w:rPr>
              <w:t>原煤</w:t>
            </w:r>
          </w:p>
        </w:tc>
        <w:tc>
          <w:tcPr>
            <w:tcW w:w="3040" w:type="dxa"/>
            <w:tcBorders>
              <w:top w:val="single" w:color="000000" w:sz="4" w:space="0"/>
              <w:left w:val="single" w:color="000000" w:sz="4" w:space="0"/>
              <w:right w:val="single" w:color="000000" w:sz="4" w:space="0"/>
            </w:tcBorders>
            <w:vAlign w:val="top"/>
          </w:tcPr>
          <w:p w14:paraId="429612DC">
            <w:pPr>
              <w:rPr>
                <w:rFonts w:ascii="Arial"/>
                <w:sz w:val="21"/>
              </w:rPr>
            </w:pPr>
          </w:p>
        </w:tc>
        <w:tc>
          <w:tcPr>
            <w:tcW w:w="3320" w:type="dxa"/>
            <w:tcBorders>
              <w:top w:val="single" w:color="000000" w:sz="4" w:space="0"/>
              <w:left w:val="single" w:color="000000" w:sz="4" w:space="0"/>
            </w:tcBorders>
            <w:vAlign w:val="top"/>
          </w:tcPr>
          <w:p w14:paraId="73B208FD">
            <w:pPr>
              <w:rPr>
                <w:rFonts w:ascii="Arial"/>
                <w:sz w:val="21"/>
              </w:rPr>
            </w:pPr>
          </w:p>
        </w:tc>
      </w:tr>
      <w:tr w14:paraId="267B98A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9" w:hRule="atLeast"/>
        </w:trPr>
        <w:tc>
          <w:tcPr>
            <w:tcW w:w="3030" w:type="dxa"/>
            <w:tcBorders>
              <w:right w:val="single" w:color="000000" w:sz="4" w:space="0"/>
            </w:tcBorders>
            <w:vAlign w:val="top"/>
          </w:tcPr>
          <w:p w14:paraId="3FF1B194">
            <w:pPr>
              <w:pStyle w:val="6"/>
              <w:spacing w:before="72" w:line="220" w:lineRule="auto"/>
              <w:ind w:left="270"/>
            </w:pPr>
            <w:r>
              <w:rPr>
                <w:spacing w:val="-2"/>
              </w:rPr>
              <w:t>其中：无烟煤</w:t>
            </w:r>
          </w:p>
        </w:tc>
        <w:tc>
          <w:tcPr>
            <w:tcW w:w="3040" w:type="dxa"/>
            <w:tcBorders>
              <w:left w:val="single" w:color="000000" w:sz="4" w:space="0"/>
              <w:right w:val="single" w:color="000000" w:sz="4" w:space="0"/>
            </w:tcBorders>
            <w:vAlign w:val="top"/>
          </w:tcPr>
          <w:p w14:paraId="05B6F08F">
            <w:pPr>
              <w:pStyle w:val="6"/>
              <w:spacing w:before="82" w:line="219" w:lineRule="auto"/>
              <w:ind w:left="115"/>
            </w:pPr>
            <w:r>
              <w:rPr>
                <w:spacing w:val="-1"/>
              </w:rPr>
              <w:t>约6000千卡/千克以上</w:t>
            </w:r>
          </w:p>
        </w:tc>
        <w:tc>
          <w:tcPr>
            <w:tcW w:w="3320" w:type="dxa"/>
            <w:tcBorders>
              <w:left w:val="single" w:color="000000" w:sz="4" w:space="0"/>
            </w:tcBorders>
            <w:vAlign w:val="top"/>
          </w:tcPr>
          <w:p w14:paraId="7BD5729D">
            <w:pPr>
              <w:pStyle w:val="6"/>
              <w:spacing w:before="102" w:line="219" w:lineRule="auto"/>
              <w:ind w:left="124"/>
            </w:pPr>
            <w:r>
              <w:rPr>
                <w:spacing w:val="-1"/>
              </w:rPr>
              <w:t>0.9428千克标准煤/千克</w:t>
            </w:r>
          </w:p>
        </w:tc>
      </w:tr>
      <w:tr w14:paraId="6CEA237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5" w:hRule="atLeast"/>
        </w:trPr>
        <w:tc>
          <w:tcPr>
            <w:tcW w:w="3030" w:type="dxa"/>
            <w:tcBorders>
              <w:right w:val="single" w:color="000000" w:sz="4" w:space="0"/>
            </w:tcBorders>
            <w:vAlign w:val="top"/>
          </w:tcPr>
          <w:p w14:paraId="23E2F4EA">
            <w:pPr>
              <w:pStyle w:val="6"/>
              <w:spacing w:before="73" w:line="220" w:lineRule="auto"/>
              <w:ind w:left="809"/>
            </w:pPr>
            <w:r>
              <w:rPr>
                <w:spacing w:val="-2"/>
              </w:rPr>
              <w:t>炼焦烟煤</w:t>
            </w:r>
          </w:p>
        </w:tc>
        <w:tc>
          <w:tcPr>
            <w:tcW w:w="3040" w:type="dxa"/>
            <w:tcBorders>
              <w:left w:val="single" w:color="000000" w:sz="4" w:space="0"/>
              <w:right w:val="single" w:color="000000" w:sz="4" w:space="0"/>
            </w:tcBorders>
            <w:vAlign w:val="top"/>
          </w:tcPr>
          <w:p w14:paraId="13E902E5">
            <w:pPr>
              <w:pStyle w:val="6"/>
              <w:spacing w:before="63" w:line="219" w:lineRule="auto"/>
              <w:ind w:left="115"/>
            </w:pPr>
            <w:r>
              <w:rPr>
                <w:spacing w:val="-1"/>
              </w:rPr>
              <w:t>约6000千卡/千克以上</w:t>
            </w:r>
          </w:p>
        </w:tc>
        <w:tc>
          <w:tcPr>
            <w:tcW w:w="3320" w:type="dxa"/>
            <w:tcBorders>
              <w:left w:val="single" w:color="000000" w:sz="4" w:space="0"/>
            </w:tcBorders>
            <w:vAlign w:val="top"/>
          </w:tcPr>
          <w:p w14:paraId="2D53E424">
            <w:pPr>
              <w:pStyle w:val="6"/>
              <w:spacing w:before="83" w:line="219" w:lineRule="auto"/>
              <w:ind w:left="124"/>
            </w:pPr>
            <w:r>
              <w:rPr>
                <w:spacing w:val="-1"/>
              </w:rPr>
              <w:t>0.9千克标准煤/千克</w:t>
            </w:r>
          </w:p>
        </w:tc>
      </w:tr>
      <w:tr w14:paraId="4BF9150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5" w:hRule="atLeast"/>
        </w:trPr>
        <w:tc>
          <w:tcPr>
            <w:tcW w:w="3030" w:type="dxa"/>
            <w:tcBorders>
              <w:right w:val="single" w:color="000000" w:sz="4" w:space="0"/>
            </w:tcBorders>
            <w:vAlign w:val="top"/>
          </w:tcPr>
          <w:p w14:paraId="70CD6268">
            <w:pPr>
              <w:pStyle w:val="6"/>
              <w:spacing w:before="78" w:line="220" w:lineRule="auto"/>
              <w:ind w:left="820"/>
            </w:pPr>
            <w:r>
              <w:rPr>
                <w:spacing w:val="-3"/>
              </w:rPr>
              <w:t>一般烟煤</w:t>
            </w:r>
          </w:p>
        </w:tc>
        <w:tc>
          <w:tcPr>
            <w:tcW w:w="3040" w:type="dxa"/>
            <w:tcBorders>
              <w:left w:val="single" w:color="000000" w:sz="4" w:space="0"/>
              <w:right w:val="single" w:color="000000" w:sz="4" w:space="0"/>
            </w:tcBorders>
            <w:vAlign w:val="top"/>
          </w:tcPr>
          <w:p w14:paraId="1B0D75E2">
            <w:pPr>
              <w:pStyle w:val="6"/>
              <w:spacing w:before="78" w:line="219" w:lineRule="auto"/>
              <w:ind w:left="115"/>
            </w:pPr>
            <w:r>
              <w:t>约4500-5500千卡/千克</w:t>
            </w:r>
          </w:p>
        </w:tc>
        <w:tc>
          <w:tcPr>
            <w:tcW w:w="3320" w:type="dxa"/>
            <w:tcBorders>
              <w:left w:val="single" w:color="000000" w:sz="4" w:space="0"/>
            </w:tcBorders>
            <w:vAlign w:val="top"/>
          </w:tcPr>
          <w:p w14:paraId="2EB83FC3">
            <w:pPr>
              <w:pStyle w:val="6"/>
              <w:spacing w:before="98" w:line="219" w:lineRule="auto"/>
              <w:ind w:left="124"/>
            </w:pPr>
            <w:r>
              <w:rPr>
                <w:spacing w:val="-1"/>
              </w:rPr>
              <w:t>0.7143千克标准煤/千克</w:t>
            </w:r>
          </w:p>
        </w:tc>
      </w:tr>
      <w:tr w14:paraId="28E9CE9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5" w:hRule="atLeast"/>
        </w:trPr>
        <w:tc>
          <w:tcPr>
            <w:tcW w:w="3030" w:type="dxa"/>
            <w:tcBorders>
              <w:right w:val="single" w:color="000000" w:sz="4" w:space="0"/>
            </w:tcBorders>
            <w:vAlign w:val="top"/>
          </w:tcPr>
          <w:p w14:paraId="4FE20BB6">
            <w:pPr>
              <w:pStyle w:val="6"/>
              <w:spacing w:before="73" w:line="219" w:lineRule="auto"/>
              <w:ind w:left="789"/>
            </w:pPr>
            <w:r>
              <w:rPr>
                <w:spacing w:val="-2"/>
              </w:rPr>
              <w:t>褐煤</w:t>
            </w:r>
          </w:p>
        </w:tc>
        <w:tc>
          <w:tcPr>
            <w:tcW w:w="3040" w:type="dxa"/>
            <w:tcBorders>
              <w:left w:val="single" w:color="000000" w:sz="4" w:space="0"/>
              <w:right w:val="single" w:color="000000" w:sz="4" w:space="0"/>
            </w:tcBorders>
            <w:vAlign w:val="top"/>
          </w:tcPr>
          <w:p w14:paraId="188E569D">
            <w:pPr>
              <w:pStyle w:val="6"/>
              <w:spacing w:before="63" w:line="219" w:lineRule="auto"/>
              <w:ind w:left="115"/>
            </w:pPr>
            <w:r>
              <w:t>约2500-3500千卡/千克</w:t>
            </w:r>
          </w:p>
        </w:tc>
        <w:tc>
          <w:tcPr>
            <w:tcW w:w="3320" w:type="dxa"/>
            <w:tcBorders>
              <w:left w:val="single" w:color="000000" w:sz="4" w:space="0"/>
            </w:tcBorders>
            <w:vAlign w:val="top"/>
          </w:tcPr>
          <w:p w14:paraId="07378E7F">
            <w:pPr>
              <w:pStyle w:val="6"/>
              <w:spacing w:before="83" w:line="219" w:lineRule="auto"/>
              <w:ind w:left="124"/>
            </w:pPr>
            <w:r>
              <w:rPr>
                <w:spacing w:val="-1"/>
              </w:rPr>
              <w:t>0.4286千克标准煤/千克</w:t>
            </w:r>
          </w:p>
        </w:tc>
      </w:tr>
      <w:tr w14:paraId="7D898A6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5" w:hRule="atLeast"/>
        </w:trPr>
        <w:tc>
          <w:tcPr>
            <w:tcW w:w="3030" w:type="dxa"/>
            <w:tcBorders>
              <w:right w:val="single" w:color="000000" w:sz="4" w:space="0"/>
            </w:tcBorders>
            <w:vAlign w:val="top"/>
          </w:tcPr>
          <w:p w14:paraId="5FAC3394">
            <w:pPr>
              <w:pStyle w:val="6"/>
              <w:spacing w:before="87" w:line="219" w:lineRule="auto"/>
              <w:ind w:left="100"/>
            </w:pPr>
            <w:r>
              <w:rPr>
                <w:spacing w:val="4"/>
              </w:rPr>
              <w:t>洗精煤(用于炼焦)</w:t>
            </w:r>
          </w:p>
        </w:tc>
        <w:tc>
          <w:tcPr>
            <w:tcW w:w="3040" w:type="dxa"/>
            <w:tcBorders>
              <w:left w:val="single" w:color="000000" w:sz="4" w:space="0"/>
              <w:right w:val="single" w:color="000000" w:sz="4" w:space="0"/>
            </w:tcBorders>
            <w:vAlign w:val="top"/>
          </w:tcPr>
          <w:p w14:paraId="7D351BF3">
            <w:pPr>
              <w:pStyle w:val="6"/>
              <w:spacing w:before="78" w:line="219" w:lineRule="auto"/>
              <w:ind w:left="115"/>
            </w:pPr>
            <w:r>
              <w:rPr>
                <w:spacing w:val="-1"/>
              </w:rPr>
              <w:t>约6000千卡/千克以上</w:t>
            </w:r>
          </w:p>
        </w:tc>
        <w:tc>
          <w:tcPr>
            <w:tcW w:w="3320" w:type="dxa"/>
            <w:tcBorders>
              <w:left w:val="single" w:color="000000" w:sz="4" w:space="0"/>
            </w:tcBorders>
            <w:vAlign w:val="top"/>
          </w:tcPr>
          <w:p w14:paraId="4EB0B8AD">
            <w:pPr>
              <w:pStyle w:val="6"/>
              <w:spacing w:before="98" w:line="219" w:lineRule="auto"/>
              <w:ind w:left="124"/>
            </w:pPr>
            <w:r>
              <w:rPr>
                <w:spacing w:val="-1"/>
              </w:rPr>
              <w:t>0.9千克标准煤/千克</w:t>
            </w:r>
          </w:p>
        </w:tc>
      </w:tr>
      <w:tr w14:paraId="7EF8E18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45" w:hRule="atLeast"/>
        </w:trPr>
        <w:tc>
          <w:tcPr>
            <w:tcW w:w="3030" w:type="dxa"/>
            <w:tcBorders>
              <w:right w:val="single" w:color="000000" w:sz="4" w:space="0"/>
            </w:tcBorders>
            <w:vAlign w:val="top"/>
          </w:tcPr>
          <w:p w14:paraId="7CA44AD5">
            <w:pPr>
              <w:pStyle w:val="6"/>
              <w:spacing w:before="84" w:line="220" w:lineRule="auto"/>
              <w:ind w:left="100"/>
            </w:pPr>
            <w:r>
              <w:rPr>
                <w:spacing w:val="-2"/>
              </w:rPr>
              <w:t>其他洗煤</w:t>
            </w:r>
          </w:p>
        </w:tc>
        <w:tc>
          <w:tcPr>
            <w:tcW w:w="3040" w:type="dxa"/>
            <w:tcBorders>
              <w:left w:val="single" w:color="000000" w:sz="4" w:space="0"/>
              <w:right w:val="single" w:color="000000" w:sz="4" w:space="0"/>
            </w:tcBorders>
            <w:vAlign w:val="top"/>
          </w:tcPr>
          <w:p w14:paraId="0CFB9023">
            <w:pPr>
              <w:pStyle w:val="6"/>
              <w:spacing w:before="63" w:line="219" w:lineRule="auto"/>
              <w:ind w:left="115"/>
            </w:pPr>
            <w:r>
              <w:t>约2500-6000千卡/千克</w:t>
            </w:r>
          </w:p>
        </w:tc>
        <w:tc>
          <w:tcPr>
            <w:tcW w:w="3320" w:type="dxa"/>
            <w:tcBorders>
              <w:left w:val="single" w:color="000000" w:sz="4" w:space="0"/>
            </w:tcBorders>
            <w:vAlign w:val="top"/>
          </w:tcPr>
          <w:p w14:paraId="59F2C8CD">
            <w:pPr>
              <w:pStyle w:val="6"/>
              <w:spacing w:before="113" w:line="219" w:lineRule="auto"/>
              <w:ind w:left="124"/>
            </w:pPr>
            <w:r>
              <w:rPr>
                <w:spacing w:val="-1"/>
              </w:rPr>
              <w:t>0.4643-0.9千克标准煤/千克</w:t>
            </w:r>
          </w:p>
        </w:tc>
      </w:tr>
      <w:tr w14:paraId="3853FE9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24" w:hRule="atLeast"/>
        </w:trPr>
        <w:tc>
          <w:tcPr>
            <w:tcW w:w="3030" w:type="dxa"/>
            <w:tcBorders>
              <w:right w:val="single" w:color="000000" w:sz="4" w:space="0"/>
            </w:tcBorders>
            <w:vAlign w:val="top"/>
          </w:tcPr>
          <w:p w14:paraId="6CF6B6C3">
            <w:pPr>
              <w:pStyle w:val="6"/>
              <w:spacing w:before="59" w:line="220" w:lineRule="auto"/>
              <w:ind w:left="100"/>
            </w:pPr>
            <w:r>
              <w:rPr>
                <w:spacing w:val="6"/>
              </w:rPr>
              <w:t>煤制品</w:t>
            </w:r>
          </w:p>
        </w:tc>
        <w:tc>
          <w:tcPr>
            <w:tcW w:w="3040" w:type="dxa"/>
            <w:tcBorders>
              <w:left w:val="single" w:color="000000" w:sz="4" w:space="0"/>
              <w:right w:val="single" w:color="000000" w:sz="4" w:space="0"/>
            </w:tcBorders>
            <w:vAlign w:val="top"/>
          </w:tcPr>
          <w:p w14:paraId="7D77B115">
            <w:pPr>
              <w:pStyle w:val="6"/>
              <w:spacing w:before="78" w:line="219" w:lineRule="auto"/>
              <w:ind w:left="115"/>
            </w:pPr>
            <w:r>
              <w:t>约3000-5000千卡/千克</w:t>
            </w:r>
          </w:p>
        </w:tc>
        <w:tc>
          <w:tcPr>
            <w:tcW w:w="3320" w:type="dxa"/>
            <w:tcBorders>
              <w:left w:val="single" w:color="000000" w:sz="4" w:space="0"/>
            </w:tcBorders>
            <w:vAlign w:val="top"/>
          </w:tcPr>
          <w:p w14:paraId="23C6E989">
            <w:pPr>
              <w:pStyle w:val="6"/>
              <w:spacing w:before="88" w:line="219" w:lineRule="auto"/>
              <w:ind w:left="124"/>
            </w:pPr>
            <w:r>
              <w:rPr>
                <w:spacing w:val="-1"/>
              </w:rPr>
              <w:t>0.5286千克标准煤/千克</w:t>
            </w:r>
          </w:p>
        </w:tc>
      </w:tr>
      <w:tr w14:paraId="0218B20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5" w:hRule="atLeast"/>
        </w:trPr>
        <w:tc>
          <w:tcPr>
            <w:tcW w:w="3030" w:type="dxa"/>
            <w:tcBorders>
              <w:right w:val="single" w:color="000000" w:sz="4" w:space="0"/>
            </w:tcBorders>
            <w:vAlign w:val="top"/>
          </w:tcPr>
          <w:p w14:paraId="3A091E13">
            <w:pPr>
              <w:pStyle w:val="6"/>
              <w:spacing w:before="85" w:line="221" w:lineRule="auto"/>
              <w:ind w:left="100"/>
            </w:pPr>
            <w:r>
              <w:rPr>
                <w:spacing w:val="-2"/>
              </w:rPr>
              <w:t>焦炭</w:t>
            </w:r>
          </w:p>
        </w:tc>
        <w:tc>
          <w:tcPr>
            <w:tcW w:w="3040" w:type="dxa"/>
            <w:tcBorders>
              <w:left w:val="single" w:color="000000" w:sz="4" w:space="0"/>
              <w:right w:val="single" w:color="000000" w:sz="4" w:space="0"/>
            </w:tcBorders>
            <w:vAlign w:val="top"/>
          </w:tcPr>
          <w:p w14:paraId="32F626CC">
            <w:pPr>
              <w:pStyle w:val="6"/>
              <w:spacing w:before="64" w:line="219" w:lineRule="auto"/>
              <w:ind w:left="115"/>
            </w:pPr>
            <w:r>
              <w:rPr>
                <w:spacing w:val="1"/>
              </w:rPr>
              <w:t>约6800千卡/千克</w:t>
            </w:r>
          </w:p>
        </w:tc>
        <w:tc>
          <w:tcPr>
            <w:tcW w:w="3320" w:type="dxa"/>
            <w:tcBorders>
              <w:left w:val="single" w:color="000000" w:sz="4" w:space="0"/>
            </w:tcBorders>
            <w:vAlign w:val="top"/>
          </w:tcPr>
          <w:p w14:paraId="1255B117">
            <w:pPr>
              <w:pStyle w:val="6"/>
              <w:spacing w:before="84" w:line="219" w:lineRule="auto"/>
              <w:ind w:left="124"/>
            </w:pPr>
            <w:r>
              <w:rPr>
                <w:spacing w:val="-1"/>
              </w:rPr>
              <w:t>0.9714千克标准煤/千克</w:t>
            </w:r>
          </w:p>
        </w:tc>
      </w:tr>
      <w:tr w14:paraId="0FFD906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40" w:hRule="atLeast"/>
        </w:trPr>
        <w:tc>
          <w:tcPr>
            <w:tcW w:w="3030" w:type="dxa"/>
            <w:tcBorders>
              <w:right w:val="single" w:color="000000" w:sz="4" w:space="0"/>
            </w:tcBorders>
            <w:vAlign w:val="top"/>
          </w:tcPr>
          <w:p w14:paraId="55324866">
            <w:pPr>
              <w:pStyle w:val="6"/>
              <w:spacing w:before="80" w:line="220" w:lineRule="auto"/>
              <w:ind w:left="100"/>
            </w:pPr>
            <w:r>
              <w:rPr>
                <w:spacing w:val="-2"/>
              </w:rPr>
              <w:t>焦炉煤气</w:t>
            </w:r>
          </w:p>
        </w:tc>
        <w:tc>
          <w:tcPr>
            <w:tcW w:w="3040" w:type="dxa"/>
            <w:tcBorders>
              <w:left w:val="single" w:color="000000" w:sz="4" w:space="0"/>
              <w:right w:val="single" w:color="000000" w:sz="4" w:space="0"/>
            </w:tcBorders>
            <w:vAlign w:val="top"/>
          </w:tcPr>
          <w:p w14:paraId="1ED08038">
            <w:pPr>
              <w:pStyle w:val="6"/>
              <w:spacing w:before="79" w:line="219" w:lineRule="auto"/>
              <w:ind w:left="115"/>
            </w:pPr>
            <w:r>
              <w:rPr>
                <w:spacing w:val="-1"/>
              </w:rPr>
              <w:t>约4000-4300千卡/立方米</w:t>
            </w:r>
          </w:p>
        </w:tc>
        <w:tc>
          <w:tcPr>
            <w:tcW w:w="3320" w:type="dxa"/>
            <w:tcBorders>
              <w:left w:val="single" w:color="000000" w:sz="4" w:space="0"/>
            </w:tcBorders>
            <w:vAlign w:val="top"/>
          </w:tcPr>
          <w:p w14:paraId="2CBAD3A2">
            <w:pPr>
              <w:pStyle w:val="6"/>
              <w:spacing w:before="89" w:line="219" w:lineRule="auto"/>
              <w:ind w:left="124"/>
            </w:pPr>
            <w:r>
              <w:rPr>
                <w:spacing w:val="-1"/>
              </w:rPr>
              <w:t>0.5714-0.6143千克标准煤/立方米</w:t>
            </w:r>
          </w:p>
        </w:tc>
      </w:tr>
      <w:tr w14:paraId="4586FD7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44" w:hRule="atLeast"/>
        </w:trPr>
        <w:tc>
          <w:tcPr>
            <w:tcW w:w="3030" w:type="dxa"/>
            <w:tcBorders>
              <w:right w:val="single" w:color="000000" w:sz="4" w:space="0"/>
            </w:tcBorders>
            <w:vAlign w:val="top"/>
          </w:tcPr>
          <w:p w14:paraId="6A306790">
            <w:pPr>
              <w:pStyle w:val="6"/>
              <w:spacing w:before="79" w:line="220" w:lineRule="auto"/>
              <w:ind w:left="100"/>
            </w:pPr>
            <w:r>
              <w:rPr>
                <w:spacing w:val="2"/>
              </w:rPr>
              <w:t>发生炉煤气</w:t>
            </w:r>
          </w:p>
        </w:tc>
        <w:tc>
          <w:tcPr>
            <w:tcW w:w="3040" w:type="dxa"/>
            <w:tcBorders>
              <w:left w:val="single" w:color="000000" w:sz="4" w:space="0"/>
              <w:right w:val="single" w:color="000000" w:sz="4" w:space="0"/>
            </w:tcBorders>
            <w:vAlign w:val="top"/>
          </w:tcPr>
          <w:p w14:paraId="2FE49305">
            <w:pPr>
              <w:pStyle w:val="6"/>
              <w:spacing w:before="89" w:line="219" w:lineRule="auto"/>
              <w:ind w:left="115"/>
            </w:pPr>
            <w:r>
              <w:rPr>
                <w:spacing w:val="-1"/>
              </w:rPr>
              <w:t>约1250千卡/立方米</w:t>
            </w:r>
          </w:p>
        </w:tc>
        <w:tc>
          <w:tcPr>
            <w:tcW w:w="3320" w:type="dxa"/>
            <w:tcBorders>
              <w:left w:val="single" w:color="000000" w:sz="4" w:space="0"/>
            </w:tcBorders>
            <w:vAlign w:val="top"/>
          </w:tcPr>
          <w:p w14:paraId="6189F81E">
            <w:pPr>
              <w:pStyle w:val="6"/>
              <w:spacing w:before="109" w:line="219" w:lineRule="auto"/>
              <w:ind w:left="124"/>
            </w:pPr>
            <w:r>
              <w:rPr>
                <w:spacing w:val="-1"/>
              </w:rPr>
              <w:t>0.1786千克标准煤/立方米</w:t>
            </w:r>
          </w:p>
        </w:tc>
      </w:tr>
      <w:tr w14:paraId="28A14E9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25" w:hRule="atLeast"/>
        </w:trPr>
        <w:tc>
          <w:tcPr>
            <w:tcW w:w="3030" w:type="dxa"/>
            <w:tcBorders>
              <w:right w:val="single" w:color="000000" w:sz="4" w:space="0"/>
            </w:tcBorders>
            <w:vAlign w:val="top"/>
          </w:tcPr>
          <w:p w14:paraId="4272BDA2">
            <w:pPr>
              <w:pStyle w:val="6"/>
              <w:spacing w:before="65" w:line="219" w:lineRule="auto"/>
              <w:ind w:left="100"/>
            </w:pPr>
            <w:r>
              <w:rPr>
                <w:spacing w:val="-1"/>
              </w:rPr>
              <w:t>重油催化裂解煤气</w:t>
            </w:r>
          </w:p>
        </w:tc>
        <w:tc>
          <w:tcPr>
            <w:tcW w:w="3040" w:type="dxa"/>
            <w:tcBorders>
              <w:left w:val="single" w:color="000000" w:sz="4" w:space="0"/>
              <w:right w:val="single" w:color="000000" w:sz="4" w:space="0"/>
            </w:tcBorders>
            <w:vAlign w:val="top"/>
          </w:tcPr>
          <w:p w14:paraId="1D6C75E2">
            <w:pPr>
              <w:pStyle w:val="6"/>
              <w:spacing w:before="65" w:line="219" w:lineRule="auto"/>
              <w:ind w:left="115"/>
            </w:pPr>
            <w:r>
              <w:rPr>
                <w:spacing w:val="-1"/>
              </w:rPr>
              <w:t>约4600千卡/立方米</w:t>
            </w:r>
          </w:p>
        </w:tc>
        <w:tc>
          <w:tcPr>
            <w:tcW w:w="3320" w:type="dxa"/>
            <w:tcBorders>
              <w:left w:val="single" w:color="000000" w:sz="4" w:space="0"/>
            </w:tcBorders>
            <w:vAlign w:val="top"/>
          </w:tcPr>
          <w:p w14:paraId="379DC6B2">
            <w:pPr>
              <w:pStyle w:val="6"/>
              <w:spacing w:before="75" w:line="219" w:lineRule="auto"/>
              <w:ind w:left="124"/>
            </w:pPr>
            <w:r>
              <w:rPr>
                <w:spacing w:val="-1"/>
              </w:rPr>
              <w:t>0.6571千克标准煤/立方米</w:t>
            </w:r>
          </w:p>
        </w:tc>
      </w:tr>
      <w:tr w14:paraId="1861A95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9" w:hRule="atLeast"/>
        </w:trPr>
        <w:tc>
          <w:tcPr>
            <w:tcW w:w="3030" w:type="dxa"/>
            <w:tcBorders>
              <w:right w:val="single" w:color="000000" w:sz="4" w:space="0"/>
            </w:tcBorders>
            <w:vAlign w:val="top"/>
          </w:tcPr>
          <w:p w14:paraId="1F4A60D9">
            <w:pPr>
              <w:pStyle w:val="6"/>
              <w:spacing w:before="81" w:line="220" w:lineRule="auto"/>
              <w:ind w:left="100"/>
            </w:pPr>
            <w:r>
              <w:rPr>
                <w:spacing w:val="-1"/>
              </w:rPr>
              <w:t>重油热裂解煤气</w:t>
            </w:r>
          </w:p>
        </w:tc>
        <w:tc>
          <w:tcPr>
            <w:tcW w:w="3040" w:type="dxa"/>
            <w:tcBorders>
              <w:left w:val="single" w:color="000000" w:sz="4" w:space="0"/>
              <w:right w:val="single" w:color="000000" w:sz="4" w:space="0"/>
            </w:tcBorders>
            <w:vAlign w:val="top"/>
          </w:tcPr>
          <w:p w14:paraId="544D534C">
            <w:pPr>
              <w:pStyle w:val="6"/>
              <w:spacing w:before="100" w:line="219" w:lineRule="auto"/>
              <w:ind w:left="115"/>
            </w:pPr>
            <w:r>
              <w:rPr>
                <w:spacing w:val="-1"/>
              </w:rPr>
              <w:t>约8500千卡/立方米</w:t>
            </w:r>
          </w:p>
        </w:tc>
        <w:tc>
          <w:tcPr>
            <w:tcW w:w="3320" w:type="dxa"/>
            <w:tcBorders>
              <w:left w:val="single" w:color="000000" w:sz="4" w:space="0"/>
            </w:tcBorders>
            <w:vAlign w:val="top"/>
          </w:tcPr>
          <w:p w14:paraId="34B6B68E">
            <w:pPr>
              <w:pStyle w:val="6"/>
              <w:spacing w:before="100" w:line="219" w:lineRule="auto"/>
              <w:ind w:left="124"/>
            </w:pPr>
            <w:r>
              <w:t>1.2143千克标准煤/立方米</w:t>
            </w:r>
          </w:p>
        </w:tc>
      </w:tr>
      <w:tr w14:paraId="08A5D0A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24" w:hRule="atLeast"/>
        </w:trPr>
        <w:tc>
          <w:tcPr>
            <w:tcW w:w="3030" w:type="dxa"/>
            <w:tcBorders>
              <w:right w:val="single" w:color="000000" w:sz="4" w:space="0"/>
            </w:tcBorders>
            <w:vAlign w:val="top"/>
          </w:tcPr>
          <w:p w14:paraId="6F88E9A8">
            <w:pPr>
              <w:pStyle w:val="6"/>
              <w:spacing w:before="82" w:line="220" w:lineRule="auto"/>
              <w:ind w:left="100"/>
            </w:pPr>
            <w:r>
              <w:rPr>
                <w:spacing w:val="-2"/>
              </w:rPr>
              <w:t>焦炭制气</w:t>
            </w:r>
          </w:p>
        </w:tc>
        <w:tc>
          <w:tcPr>
            <w:tcW w:w="3040" w:type="dxa"/>
            <w:tcBorders>
              <w:left w:val="single" w:color="000000" w:sz="4" w:space="0"/>
              <w:right w:val="single" w:color="000000" w:sz="4" w:space="0"/>
            </w:tcBorders>
            <w:vAlign w:val="top"/>
          </w:tcPr>
          <w:p w14:paraId="00798336">
            <w:pPr>
              <w:pStyle w:val="6"/>
              <w:spacing w:before="71" w:line="219" w:lineRule="auto"/>
              <w:ind w:left="115"/>
            </w:pPr>
            <w:r>
              <w:rPr>
                <w:spacing w:val="-1"/>
              </w:rPr>
              <w:t>约3900千卡/立方米</w:t>
            </w:r>
          </w:p>
        </w:tc>
        <w:tc>
          <w:tcPr>
            <w:tcW w:w="3320" w:type="dxa"/>
            <w:tcBorders>
              <w:left w:val="single" w:color="000000" w:sz="4" w:space="0"/>
            </w:tcBorders>
            <w:vAlign w:val="top"/>
          </w:tcPr>
          <w:p w14:paraId="6EE52D6B">
            <w:pPr>
              <w:pStyle w:val="6"/>
              <w:spacing w:before="81" w:line="219" w:lineRule="auto"/>
              <w:ind w:left="124"/>
            </w:pPr>
            <w:r>
              <w:rPr>
                <w:spacing w:val="-1"/>
              </w:rPr>
              <w:t>0.5571千克标准煤/立方米</w:t>
            </w:r>
          </w:p>
        </w:tc>
      </w:tr>
      <w:tr w14:paraId="17B43AD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50" w:hRule="atLeast"/>
        </w:trPr>
        <w:tc>
          <w:tcPr>
            <w:tcW w:w="3030" w:type="dxa"/>
            <w:tcBorders>
              <w:right w:val="single" w:color="000000" w:sz="4" w:space="0"/>
            </w:tcBorders>
            <w:vAlign w:val="top"/>
          </w:tcPr>
          <w:p w14:paraId="30FD1530">
            <w:pPr>
              <w:pStyle w:val="6"/>
              <w:spacing w:before="77" w:line="219" w:lineRule="auto"/>
              <w:ind w:left="100"/>
            </w:pPr>
            <w:r>
              <w:rPr>
                <w:spacing w:val="-2"/>
              </w:rPr>
              <w:t>压力气化煤气</w:t>
            </w:r>
          </w:p>
        </w:tc>
        <w:tc>
          <w:tcPr>
            <w:tcW w:w="3040" w:type="dxa"/>
            <w:tcBorders>
              <w:left w:val="single" w:color="000000" w:sz="4" w:space="0"/>
              <w:right w:val="single" w:color="000000" w:sz="4" w:space="0"/>
            </w:tcBorders>
            <w:vAlign w:val="top"/>
          </w:tcPr>
          <w:p w14:paraId="4892EEED">
            <w:pPr>
              <w:pStyle w:val="6"/>
              <w:spacing w:before="77" w:line="219" w:lineRule="auto"/>
              <w:ind w:left="115"/>
            </w:pPr>
            <w:r>
              <w:rPr>
                <w:spacing w:val="-1"/>
              </w:rPr>
              <w:t>约3600千卡/立方米</w:t>
            </w:r>
          </w:p>
        </w:tc>
        <w:tc>
          <w:tcPr>
            <w:tcW w:w="3320" w:type="dxa"/>
            <w:tcBorders>
              <w:left w:val="single" w:color="000000" w:sz="4" w:space="0"/>
            </w:tcBorders>
            <w:vAlign w:val="top"/>
          </w:tcPr>
          <w:p w14:paraId="2A7C5C37">
            <w:pPr>
              <w:pStyle w:val="6"/>
              <w:spacing w:before="117" w:line="219" w:lineRule="auto"/>
              <w:ind w:left="124"/>
            </w:pPr>
            <w:r>
              <w:rPr>
                <w:spacing w:val="-1"/>
              </w:rPr>
              <w:t>0.5143千克标准煤/立方米</w:t>
            </w:r>
          </w:p>
        </w:tc>
      </w:tr>
      <w:tr w14:paraId="4C70492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25" w:hRule="atLeast"/>
        </w:trPr>
        <w:tc>
          <w:tcPr>
            <w:tcW w:w="3030" w:type="dxa"/>
            <w:tcBorders>
              <w:right w:val="single" w:color="000000" w:sz="4" w:space="0"/>
            </w:tcBorders>
            <w:vAlign w:val="top"/>
          </w:tcPr>
          <w:p w14:paraId="644200D9">
            <w:pPr>
              <w:pStyle w:val="6"/>
              <w:spacing w:before="67" w:line="219" w:lineRule="auto"/>
              <w:ind w:left="100"/>
            </w:pPr>
            <w:r>
              <w:rPr>
                <w:spacing w:val="3"/>
              </w:rPr>
              <w:t>水煤气</w:t>
            </w:r>
          </w:p>
        </w:tc>
        <w:tc>
          <w:tcPr>
            <w:tcW w:w="3040" w:type="dxa"/>
            <w:tcBorders>
              <w:left w:val="single" w:color="000000" w:sz="4" w:space="0"/>
              <w:right w:val="single" w:color="000000" w:sz="4" w:space="0"/>
            </w:tcBorders>
            <w:vAlign w:val="top"/>
          </w:tcPr>
          <w:p w14:paraId="7B2A95B4">
            <w:pPr>
              <w:pStyle w:val="6"/>
              <w:spacing w:before="67" w:line="219" w:lineRule="auto"/>
              <w:ind w:left="115"/>
            </w:pPr>
            <w:r>
              <w:rPr>
                <w:spacing w:val="-1"/>
              </w:rPr>
              <w:t>约2500千卡/立方米</w:t>
            </w:r>
          </w:p>
        </w:tc>
        <w:tc>
          <w:tcPr>
            <w:tcW w:w="3320" w:type="dxa"/>
            <w:tcBorders>
              <w:left w:val="single" w:color="000000" w:sz="4" w:space="0"/>
            </w:tcBorders>
            <w:vAlign w:val="top"/>
          </w:tcPr>
          <w:p w14:paraId="50538BA2">
            <w:pPr>
              <w:pStyle w:val="6"/>
              <w:spacing w:before="77" w:line="219" w:lineRule="auto"/>
              <w:ind w:left="124"/>
            </w:pPr>
            <w:r>
              <w:rPr>
                <w:spacing w:val="-1"/>
              </w:rPr>
              <w:t>0.3571千克标准煤/立方米</w:t>
            </w:r>
          </w:p>
        </w:tc>
      </w:tr>
      <w:tr w14:paraId="2727DCF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9" w:hRule="atLeast"/>
        </w:trPr>
        <w:tc>
          <w:tcPr>
            <w:tcW w:w="3030" w:type="dxa"/>
            <w:tcBorders>
              <w:right w:val="single" w:color="000000" w:sz="4" w:space="0"/>
            </w:tcBorders>
            <w:vAlign w:val="top"/>
          </w:tcPr>
          <w:p w14:paraId="0D4B152E">
            <w:pPr>
              <w:pStyle w:val="6"/>
              <w:spacing w:before="83" w:line="220" w:lineRule="auto"/>
              <w:ind w:left="100"/>
            </w:pPr>
            <w:r>
              <w:rPr>
                <w:spacing w:val="3"/>
              </w:rPr>
              <w:t>天然气</w:t>
            </w:r>
          </w:p>
        </w:tc>
        <w:tc>
          <w:tcPr>
            <w:tcW w:w="3040" w:type="dxa"/>
            <w:tcBorders>
              <w:left w:val="single" w:color="000000" w:sz="4" w:space="0"/>
              <w:right w:val="single" w:color="000000" w:sz="4" w:space="0"/>
            </w:tcBorders>
            <w:vAlign w:val="top"/>
          </w:tcPr>
          <w:p w14:paraId="063B59D5">
            <w:pPr>
              <w:pStyle w:val="6"/>
              <w:spacing w:before="102" w:line="219" w:lineRule="auto"/>
              <w:ind w:left="115"/>
            </w:pPr>
            <w:r>
              <w:rPr>
                <w:spacing w:val="-1"/>
              </w:rPr>
              <w:t>约7700-9300千卡/立方米</w:t>
            </w:r>
          </w:p>
        </w:tc>
        <w:tc>
          <w:tcPr>
            <w:tcW w:w="3320" w:type="dxa"/>
            <w:tcBorders>
              <w:left w:val="single" w:color="000000" w:sz="4" w:space="0"/>
            </w:tcBorders>
            <w:vAlign w:val="top"/>
          </w:tcPr>
          <w:p w14:paraId="0B090545">
            <w:pPr>
              <w:pStyle w:val="6"/>
              <w:spacing w:before="102" w:line="219" w:lineRule="auto"/>
              <w:ind w:left="124"/>
            </w:pPr>
            <w:r>
              <w:t>1.10-1.33千克标准煤/立方米</w:t>
            </w:r>
          </w:p>
        </w:tc>
      </w:tr>
      <w:tr w14:paraId="45DB347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0" w:hRule="atLeast"/>
        </w:trPr>
        <w:tc>
          <w:tcPr>
            <w:tcW w:w="3030" w:type="dxa"/>
            <w:tcBorders>
              <w:right w:val="single" w:color="000000" w:sz="4" w:space="0"/>
            </w:tcBorders>
            <w:vAlign w:val="top"/>
          </w:tcPr>
          <w:p w14:paraId="3601916F">
            <w:pPr>
              <w:pStyle w:val="6"/>
              <w:spacing w:before="74" w:line="220" w:lineRule="auto"/>
              <w:ind w:left="100"/>
            </w:pPr>
            <w:r>
              <w:rPr>
                <w:spacing w:val="2"/>
              </w:rPr>
              <w:t>液化天然气</w:t>
            </w:r>
          </w:p>
        </w:tc>
        <w:tc>
          <w:tcPr>
            <w:tcW w:w="3040" w:type="dxa"/>
            <w:tcBorders>
              <w:left w:val="single" w:color="000000" w:sz="4" w:space="0"/>
              <w:right w:val="single" w:color="000000" w:sz="4" w:space="0"/>
            </w:tcBorders>
            <w:vAlign w:val="top"/>
          </w:tcPr>
          <w:p w14:paraId="3284C522">
            <w:pPr>
              <w:pStyle w:val="6"/>
              <w:spacing w:before="73" w:line="219" w:lineRule="auto"/>
              <w:ind w:left="115"/>
            </w:pPr>
            <w:r>
              <w:t>约12300千卡/千克</w:t>
            </w:r>
          </w:p>
        </w:tc>
        <w:tc>
          <w:tcPr>
            <w:tcW w:w="3320" w:type="dxa"/>
            <w:tcBorders>
              <w:left w:val="single" w:color="000000" w:sz="4" w:space="0"/>
            </w:tcBorders>
            <w:vAlign w:val="top"/>
          </w:tcPr>
          <w:p w14:paraId="0C46DE3B">
            <w:pPr>
              <w:pStyle w:val="6"/>
              <w:spacing w:before="83" w:line="219" w:lineRule="auto"/>
              <w:ind w:left="124"/>
            </w:pPr>
            <w:r>
              <w:t>1.7572千克标准煤/千克</w:t>
            </w:r>
          </w:p>
        </w:tc>
      </w:tr>
      <w:tr w14:paraId="020515E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4" w:hRule="atLeast"/>
        </w:trPr>
        <w:tc>
          <w:tcPr>
            <w:tcW w:w="3030" w:type="dxa"/>
            <w:tcBorders>
              <w:right w:val="single" w:color="000000" w:sz="4" w:space="0"/>
            </w:tcBorders>
            <w:vAlign w:val="top"/>
          </w:tcPr>
          <w:p w14:paraId="17EA0055">
            <w:pPr>
              <w:pStyle w:val="6"/>
              <w:spacing w:before="83" w:line="219" w:lineRule="auto"/>
              <w:ind w:left="100"/>
            </w:pPr>
            <w:r>
              <w:rPr>
                <w:spacing w:val="-2"/>
              </w:rPr>
              <w:t>煤层气</w:t>
            </w:r>
          </w:p>
        </w:tc>
        <w:tc>
          <w:tcPr>
            <w:tcW w:w="3040" w:type="dxa"/>
            <w:tcBorders>
              <w:left w:val="single" w:color="000000" w:sz="4" w:space="0"/>
              <w:right w:val="single" w:color="000000" w:sz="4" w:space="0"/>
            </w:tcBorders>
            <w:vAlign w:val="top"/>
          </w:tcPr>
          <w:p w14:paraId="6433692B">
            <w:pPr>
              <w:pStyle w:val="6"/>
              <w:spacing w:before="83" w:line="219" w:lineRule="auto"/>
              <w:ind w:left="115"/>
            </w:pPr>
            <w:r>
              <w:rPr>
                <w:spacing w:val="-1"/>
              </w:rPr>
              <w:t>约7700千卡/立方米</w:t>
            </w:r>
          </w:p>
        </w:tc>
        <w:tc>
          <w:tcPr>
            <w:tcW w:w="3320" w:type="dxa"/>
            <w:tcBorders>
              <w:left w:val="single" w:color="000000" w:sz="4" w:space="0"/>
            </w:tcBorders>
            <w:vAlign w:val="top"/>
          </w:tcPr>
          <w:p w14:paraId="3442E2FE">
            <w:pPr>
              <w:pStyle w:val="6"/>
              <w:spacing w:before="93" w:line="219" w:lineRule="auto"/>
              <w:ind w:left="124"/>
            </w:pPr>
            <w:r>
              <w:t>1.11千克标准煤/立方米</w:t>
            </w:r>
          </w:p>
        </w:tc>
      </w:tr>
      <w:tr w14:paraId="76D90B4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0" w:hRule="atLeast"/>
        </w:trPr>
        <w:tc>
          <w:tcPr>
            <w:tcW w:w="3030" w:type="dxa"/>
            <w:tcBorders>
              <w:right w:val="single" w:color="000000" w:sz="4" w:space="0"/>
            </w:tcBorders>
            <w:vAlign w:val="top"/>
          </w:tcPr>
          <w:p w14:paraId="4D632FFA">
            <w:pPr>
              <w:pStyle w:val="6"/>
              <w:spacing w:before="83" w:line="224" w:lineRule="auto"/>
              <w:ind w:left="100"/>
            </w:pPr>
            <w:r>
              <w:rPr>
                <w:spacing w:val="9"/>
              </w:rPr>
              <w:t>原油</w:t>
            </w:r>
          </w:p>
        </w:tc>
        <w:tc>
          <w:tcPr>
            <w:tcW w:w="3040" w:type="dxa"/>
            <w:tcBorders>
              <w:left w:val="single" w:color="000000" w:sz="4" w:space="0"/>
              <w:right w:val="single" w:color="000000" w:sz="4" w:space="0"/>
            </w:tcBorders>
            <w:vAlign w:val="top"/>
          </w:tcPr>
          <w:p w14:paraId="28241A8C">
            <w:pPr>
              <w:pStyle w:val="6"/>
              <w:spacing w:before="79" w:line="219" w:lineRule="auto"/>
              <w:ind w:left="115"/>
            </w:pPr>
            <w:r>
              <w:t>约10000千卡/千克</w:t>
            </w:r>
          </w:p>
        </w:tc>
        <w:tc>
          <w:tcPr>
            <w:tcW w:w="3320" w:type="dxa"/>
            <w:tcBorders>
              <w:left w:val="single" w:color="000000" w:sz="4" w:space="0"/>
            </w:tcBorders>
            <w:vAlign w:val="top"/>
          </w:tcPr>
          <w:p w14:paraId="116F55E5">
            <w:pPr>
              <w:pStyle w:val="6"/>
              <w:spacing w:before="89" w:line="219" w:lineRule="auto"/>
              <w:ind w:left="124"/>
            </w:pPr>
            <w:r>
              <w:t>1.4286千克标准煤/千克</w:t>
            </w:r>
          </w:p>
        </w:tc>
      </w:tr>
      <w:tr w14:paraId="30FD5D6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4" w:hRule="atLeast"/>
        </w:trPr>
        <w:tc>
          <w:tcPr>
            <w:tcW w:w="3030" w:type="dxa"/>
            <w:tcBorders>
              <w:right w:val="single" w:color="000000" w:sz="4" w:space="0"/>
            </w:tcBorders>
            <w:vAlign w:val="top"/>
          </w:tcPr>
          <w:p w14:paraId="7CB5DA24">
            <w:pPr>
              <w:pStyle w:val="6"/>
              <w:spacing w:before="92" w:line="223" w:lineRule="auto"/>
              <w:ind w:left="100"/>
            </w:pPr>
            <w:r>
              <w:rPr>
                <w:spacing w:val="9"/>
              </w:rPr>
              <w:t>汽油</w:t>
            </w:r>
          </w:p>
        </w:tc>
        <w:tc>
          <w:tcPr>
            <w:tcW w:w="3040" w:type="dxa"/>
            <w:tcBorders>
              <w:left w:val="single" w:color="000000" w:sz="4" w:space="0"/>
              <w:right w:val="single" w:color="000000" w:sz="4" w:space="0"/>
            </w:tcBorders>
            <w:vAlign w:val="top"/>
          </w:tcPr>
          <w:p w14:paraId="7383D5E6">
            <w:pPr>
              <w:pStyle w:val="6"/>
              <w:spacing w:before="79" w:line="219" w:lineRule="auto"/>
              <w:ind w:left="115"/>
            </w:pPr>
            <w:r>
              <w:t>约10300千卡/千克</w:t>
            </w:r>
          </w:p>
        </w:tc>
        <w:tc>
          <w:tcPr>
            <w:tcW w:w="3320" w:type="dxa"/>
            <w:tcBorders>
              <w:left w:val="single" w:color="000000" w:sz="4" w:space="0"/>
            </w:tcBorders>
            <w:vAlign w:val="top"/>
          </w:tcPr>
          <w:p w14:paraId="34BBA390">
            <w:pPr>
              <w:pStyle w:val="6"/>
              <w:spacing w:before="89" w:line="219" w:lineRule="auto"/>
              <w:ind w:left="124"/>
            </w:pPr>
            <w:r>
              <w:t>1.4714千克标准煤/千克</w:t>
            </w:r>
          </w:p>
        </w:tc>
      </w:tr>
      <w:tr w14:paraId="6C555FC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40" w:hRule="atLeast"/>
        </w:trPr>
        <w:tc>
          <w:tcPr>
            <w:tcW w:w="3030" w:type="dxa"/>
            <w:tcBorders>
              <w:right w:val="single" w:color="000000" w:sz="4" w:space="0"/>
            </w:tcBorders>
            <w:vAlign w:val="top"/>
          </w:tcPr>
          <w:p w14:paraId="544C44CC">
            <w:pPr>
              <w:pStyle w:val="6"/>
              <w:spacing w:before="86" w:line="220" w:lineRule="auto"/>
              <w:ind w:left="100"/>
            </w:pPr>
            <w:r>
              <w:rPr>
                <w:spacing w:val="9"/>
              </w:rPr>
              <w:t>煤油</w:t>
            </w:r>
          </w:p>
        </w:tc>
        <w:tc>
          <w:tcPr>
            <w:tcW w:w="3040" w:type="dxa"/>
            <w:tcBorders>
              <w:left w:val="single" w:color="000000" w:sz="4" w:space="0"/>
              <w:right w:val="single" w:color="000000" w:sz="4" w:space="0"/>
            </w:tcBorders>
            <w:vAlign w:val="top"/>
          </w:tcPr>
          <w:p w14:paraId="24AE2D23">
            <w:pPr>
              <w:pStyle w:val="6"/>
              <w:spacing w:before="85" w:line="219" w:lineRule="auto"/>
              <w:ind w:left="115"/>
            </w:pPr>
            <w:r>
              <w:t>约10300千卡/千克</w:t>
            </w:r>
          </w:p>
        </w:tc>
        <w:tc>
          <w:tcPr>
            <w:tcW w:w="3320" w:type="dxa"/>
            <w:tcBorders>
              <w:left w:val="single" w:color="000000" w:sz="4" w:space="0"/>
            </w:tcBorders>
            <w:vAlign w:val="top"/>
          </w:tcPr>
          <w:p w14:paraId="1AEAD5E2">
            <w:pPr>
              <w:pStyle w:val="6"/>
              <w:spacing w:before="95" w:line="219" w:lineRule="auto"/>
              <w:ind w:left="124"/>
            </w:pPr>
            <w:r>
              <w:t>1.4714千克标准煤/千克</w:t>
            </w:r>
          </w:p>
        </w:tc>
      </w:tr>
      <w:tr w14:paraId="665EFF8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0" w:hRule="atLeast"/>
        </w:trPr>
        <w:tc>
          <w:tcPr>
            <w:tcW w:w="3030" w:type="dxa"/>
            <w:tcBorders>
              <w:right w:val="single" w:color="000000" w:sz="4" w:space="0"/>
            </w:tcBorders>
            <w:vAlign w:val="top"/>
          </w:tcPr>
          <w:p w14:paraId="264AD2A3">
            <w:pPr>
              <w:pStyle w:val="6"/>
              <w:spacing w:before="86" w:line="220" w:lineRule="auto"/>
              <w:ind w:left="100"/>
            </w:pPr>
            <w:r>
              <w:rPr>
                <w:spacing w:val="9"/>
              </w:rPr>
              <w:t>柴油</w:t>
            </w:r>
          </w:p>
        </w:tc>
        <w:tc>
          <w:tcPr>
            <w:tcW w:w="3040" w:type="dxa"/>
            <w:tcBorders>
              <w:left w:val="single" w:color="000000" w:sz="4" w:space="0"/>
              <w:right w:val="single" w:color="000000" w:sz="4" w:space="0"/>
            </w:tcBorders>
            <w:vAlign w:val="top"/>
          </w:tcPr>
          <w:p w14:paraId="560417B1">
            <w:pPr>
              <w:pStyle w:val="6"/>
              <w:spacing w:before="85" w:line="219" w:lineRule="auto"/>
              <w:ind w:left="115"/>
            </w:pPr>
            <w:r>
              <w:t>约10200千卡/千克</w:t>
            </w:r>
          </w:p>
        </w:tc>
        <w:tc>
          <w:tcPr>
            <w:tcW w:w="3320" w:type="dxa"/>
            <w:tcBorders>
              <w:left w:val="single" w:color="000000" w:sz="4" w:space="0"/>
            </w:tcBorders>
            <w:vAlign w:val="top"/>
          </w:tcPr>
          <w:p w14:paraId="14A28C90">
            <w:pPr>
              <w:pStyle w:val="6"/>
              <w:spacing w:before="85" w:line="219" w:lineRule="auto"/>
              <w:ind w:left="124"/>
            </w:pPr>
            <w:r>
              <w:t>1.4571千克标准煤/千克</w:t>
            </w:r>
          </w:p>
        </w:tc>
      </w:tr>
      <w:tr w14:paraId="1AEFAE9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40" w:hRule="atLeast"/>
        </w:trPr>
        <w:tc>
          <w:tcPr>
            <w:tcW w:w="3030" w:type="dxa"/>
            <w:tcBorders>
              <w:right w:val="single" w:color="000000" w:sz="4" w:space="0"/>
            </w:tcBorders>
            <w:vAlign w:val="top"/>
          </w:tcPr>
          <w:p w14:paraId="5BE98B3D">
            <w:pPr>
              <w:pStyle w:val="6"/>
              <w:spacing w:before="85" w:line="220" w:lineRule="auto"/>
              <w:ind w:left="100"/>
            </w:pPr>
            <w:r>
              <w:rPr>
                <w:spacing w:val="6"/>
              </w:rPr>
              <w:t>燃料油</w:t>
            </w:r>
          </w:p>
        </w:tc>
        <w:tc>
          <w:tcPr>
            <w:tcW w:w="3040" w:type="dxa"/>
            <w:tcBorders>
              <w:left w:val="single" w:color="000000" w:sz="4" w:space="0"/>
              <w:right w:val="single" w:color="000000" w:sz="4" w:space="0"/>
            </w:tcBorders>
            <w:vAlign w:val="top"/>
          </w:tcPr>
          <w:p w14:paraId="016EC564">
            <w:pPr>
              <w:pStyle w:val="6"/>
              <w:spacing w:before="85" w:line="219" w:lineRule="auto"/>
              <w:ind w:left="115"/>
            </w:pPr>
            <w:r>
              <w:t>约10000千卡/千克</w:t>
            </w:r>
          </w:p>
        </w:tc>
        <w:tc>
          <w:tcPr>
            <w:tcW w:w="3320" w:type="dxa"/>
            <w:tcBorders>
              <w:left w:val="single" w:color="000000" w:sz="4" w:space="0"/>
            </w:tcBorders>
            <w:vAlign w:val="top"/>
          </w:tcPr>
          <w:p w14:paraId="0959AB46">
            <w:pPr>
              <w:pStyle w:val="6"/>
              <w:spacing w:before="95" w:line="219" w:lineRule="auto"/>
              <w:ind w:left="124"/>
            </w:pPr>
            <w:r>
              <w:t>1.4286千克标准煤/千克</w:t>
            </w:r>
          </w:p>
        </w:tc>
      </w:tr>
      <w:tr w14:paraId="273A734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5" w:hRule="atLeast"/>
        </w:trPr>
        <w:tc>
          <w:tcPr>
            <w:tcW w:w="3030" w:type="dxa"/>
            <w:tcBorders>
              <w:right w:val="single" w:color="000000" w:sz="4" w:space="0"/>
            </w:tcBorders>
            <w:vAlign w:val="top"/>
          </w:tcPr>
          <w:p w14:paraId="2AF14240">
            <w:pPr>
              <w:pStyle w:val="6"/>
              <w:spacing w:before="85" w:line="220" w:lineRule="auto"/>
              <w:ind w:left="100"/>
            </w:pPr>
            <w:r>
              <w:rPr>
                <w:spacing w:val="2"/>
              </w:rPr>
              <w:t>液化石油气</w:t>
            </w:r>
          </w:p>
        </w:tc>
        <w:tc>
          <w:tcPr>
            <w:tcW w:w="3040" w:type="dxa"/>
            <w:tcBorders>
              <w:left w:val="single" w:color="000000" w:sz="4" w:space="0"/>
              <w:right w:val="single" w:color="000000" w:sz="4" w:space="0"/>
            </w:tcBorders>
            <w:vAlign w:val="top"/>
          </w:tcPr>
          <w:p w14:paraId="032AFF23">
            <w:pPr>
              <w:pStyle w:val="6"/>
              <w:spacing w:before="85" w:line="219" w:lineRule="auto"/>
              <w:ind w:left="115"/>
            </w:pPr>
            <w:r>
              <w:t>约12000千卡/千克</w:t>
            </w:r>
          </w:p>
        </w:tc>
        <w:tc>
          <w:tcPr>
            <w:tcW w:w="3320" w:type="dxa"/>
            <w:tcBorders>
              <w:left w:val="single" w:color="000000" w:sz="4" w:space="0"/>
            </w:tcBorders>
            <w:vAlign w:val="top"/>
          </w:tcPr>
          <w:p w14:paraId="7D675B63">
            <w:pPr>
              <w:pStyle w:val="6"/>
              <w:spacing w:before="95" w:line="219" w:lineRule="auto"/>
              <w:ind w:left="124"/>
            </w:pPr>
            <w:r>
              <w:t>1.7143千克标准煤/千克</w:t>
            </w:r>
          </w:p>
        </w:tc>
      </w:tr>
      <w:tr w14:paraId="1F6B8B6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5" w:hRule="atLeast"/>
        </w:trPr>
        <w:tc>
          <w:tcPr>
            <w:tcW w:w="3030" w:type="dxa"/>
            <w:tcBorders>
              <w:right w:val="single" w:color="000000" w:sz="4" w:space="0"/>
            </w:tcBorders>
            <w:vAlign w:val="top"/>
          </w:tcPr>
          <w:p w14:paraId="156B68DE">
            <w:pPr>
              <w:pStyle w:val="6"/>
              <w:spacing w:before="89" w:line="219" w:lineRule="auto"/>
              <w:ind w:left="100"/>
            </w:pPr>
            <w:r>
              <w:rPr>
                <w:spacing w:val="2"/>
              </w:rPr>
              <w:t>炼厂干气</w:t>
            </w:r>
          </w:p>
        </w:tc>
        <w:tc>
          <w:tcPr>
            <w:tcW w:w="3040" w:type="dxa"/>
            <w:tcBorders>
              <w:left w:val="single" w:color="000000" w:sz="4" w:space="0"/>
              <w:right w:val="single" w:color="000000" w:sz="4" w:space="0"/>
            </w:tcBorders>
            <w:vAlign w:val="top"/>
          </w:tcPr>
          <w:p w14:paraId="391918C7">
            <w:pPr>
              <w:pStyle w:val="6"/>
              <w:spacing w:before="80" w:line="219" w:lineRule="auto"/>
              <w:ind w:left="115"/>
            </w:pPr>
            <w:r>
              <w:t>约11000千卡/千克</w:t>
            </w:r>
          </w:p>
        </w:tc>
        <w:tc>
          <w:tcPr>
            <w:tcW w:w="3320" w:type="dxa"/>
            <w:tcBorders>
              <w:left w:val="single" w:color="000000" w:sz="4" w:space="0"/>
            </w:tcBorders>
            <w:vAlign w:val="top"/>
          </w:tcPr>
          <w:p w14:paraId="33DA5FCB">
            <w:pPr>
              <w:pStyle w:val="6"/>
              <w:spacing w:before="90" w:line="219" w:lineRule="auto"/>
              <w:ind w:left="124"/>
            </w:pPr>
            <w:r>
              <w:t>1.5714千克标准煤/千克</w:t>
            </w:r>
          </w:p>
        </w:tc>
      </w:tr>
      <w:tr w14:paraId="793DDA5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5" w:hRule="atLeast"/>
        </w:trPr>
        <w:tc>
          <w:tcPr>
            <w:tcW w:w="3030" w:type="dxa"/>
            <w:tcBorders>
              <w:right w:val="single" w:color="000000" w:sz="4" w:space="0"/>
            </w:tcBorders>
            <w:vAlign w:val="top"/>
          </w:tcPr>
          <w:p w14:paraId="3B79A15C">
            <w:pPr>
              <w:pStyle w:val="6"/>
              <w:spacing w:before="86" w:line="221" w:lineRule="auto"/>
              <w:ind w:left="100"/>
            </w:pPr>
            <w:r>
              <w:rPr>
                <w:spacing w:val="6"/>
              </w:rPr>
              <w:t>石脑油</w:t>
            </w:r>
          </w:p>
        </w:tc>
        <w:tc>
          <w:tcPr>
            <w:tcW w:w="3040" w:type="dxa"/>
            <w:tcBorders>
              <w:left w:val="single" w:color="000000" w:sz="4" w:space="0"/>
              <w:right w:val="single" w:color="000000" w:sz="4" w:space="0"/>
            </w:tcBorders>
            <w:vAlign w:val="top"/>
          </w:tcPr>
          <w:p w14:paraId="27CBCFE8">
            <w:pPr>
              <w:pStyle w:val="6"/>
              <w:spacing w:before="85" w:line="219" w:lineRule="auto"/>
              <w:ind w:left="115"/>
            </w:pPr>
            <w:r>
              <w:t>约10500千卡/千克</w:t>
            </w:r>
          </w:p>
        </w:tc>
        <w:tc>
          <w:tcPr>
            <w:tcW w:w="3320" w:type="dxa"/>
            <w:tcBorders>
              <w:left w:val="single" w:color="000000" w:sz="4" w:space="0"/>
            </w:tcBorders>
            <w:vAlign w:val="top"/>
          </w:tcPr>
          <w:p w14:paraId="6D2D04DD">
            <w:pPr>
              <w:pStyle w:val="6"/>
              <w:spacing w:before="95" w:line="219" w:lineRule="auto"/>
              <w:ind w:left="124"/>
            </w:pPr>
            <w:r>
              <w:t>1.5千克标准煤/千克</w:t>
            </w:r>
          </w:p>
        </w:tc>
      </w:tr>
      <w:tr w14:paraId="4664B3E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5" w:hRule="atLeast"/>
        </w:trPr>
        <w:tc>
          <w:tcPr>
            <w:tcW w:w="3030" w:type="dxa"/>
            <w:tcBorders>
              <w:right w:val="single" w:color="000000" w:sz="4" w:space="0"/>
            </w:tcBorders>
            <w:vAlign w:val="top"/>
          </w:tcPr>
          <w:p w14:paraId="3CA65AD3">
            <w:pPr>
              <w:pStyle w:val="6"/>
              <w:spacing w:before="90" w:line="220" w:lineRule="auto"/>
              <w:ind w:left="100"/>
            </w:pPr>
            <w:r>
              <w:rPr>
                <w:spacing w:val="6"/>
              </w:rPr>
              <w:t>润滑油</w:t>
            </w:r>
          </w:p>
        </w:tc>
        <w:tc>
          <w:tcPr>
            <w:tcW w:w="3040" w:type="dxa"/>
            <w:tcBorders>
              <w:left w:val="single" w:color="000000" w:sz="4" w:space="0"/>
              <w:right w:val="single" w:color="000000" w:sz="4" w:space="0"/>
            </w:tcBorders>
            <w:vAlign w:val="top"/>
          </w:tcPr>
          <w:p w14:paraId="393DAEAA">
            <w:pPr>
              <w:pStyle w:val="6"/>
              <w:spacing w:before="80" w:line="219" w:lineRule="auto"/>
              <w:ind w:left="115"/>
            </w:pPr>
            <w:r>
              <w:rPr>
                <w:spacing w:val="1"/>
              </w:rPr>
              <w:t>约9900千卡/千克</w:t>
            </w:r>
          </w:p>
        </w:tc>
        <w:tc>
          <w:tcPr>
            <w:tcW w:w="3320" w:type="dxa"/>
            <w:tcBorders>
              <w:left w:val="single" w:color="000000" w:sz="4" w:space="0"/>
            </w:tcBorders>
            <w:vAlign w:val="top"/>
          </w:tcPr>
          <w:p w14:paraId="07093C52">
            <w:pPr>
              <w:pStyle w:val="6"/>
              <w:spacing w:before="90" w:line="219" w:lineRule="auto"/>
              <w:ind w:left="124"/>
            </w:pPr>
            <w:r>
              <w:t>1.4143千克标准煤/千克</w:t>
            </w:r>
          </w:p>
        </w:tc>
      </w:tr>
      <w:tr w14:paraId="013FF63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4" w:hRule="atLeast"/>
        </w:trPr>
        <w:tc>
          <w:tcPr>
            <w:tcW w:w="3030" w:type="dxa"/>
            <w:tcBorders>
              <w:right w:val="single" w:color="000000" w:sz="4" w:space="0"/>
            </w:tcBorders>
            <w:vAlign w:val="top"/>
          </w:tcPr>
          <w:p w14:paraId="332C38C5">
            <w:pPr>
              <w:pStyle w:val="6"/>
              <w:spacing w:before="95" w:line="220" w:lineRule="auto"/>
              <w:ind w:left="100"/>
            </w:pPr>
            <w:r>
              <w:rPr>
                <w:spacing w:val="-2"/>
              </w:rPr>
              <w:t>石蜡</w:t>
            </w:r>
          </w:p>
        </w:tc>
        <w:tc>
          <w:tcPr>
            <w:tcW w:w="3040" w:type="dxa"/>
            <w:tcBorders>
              <w:left w:val="single" w:color="000000" w:sz="4" w:space="0"/>
              <w:right w:val="single" w:color="000000" w:sz="4" w:space="0"/>
            </w:tcBorders>
            <w:vAlign w:val="top"/>
          </w:tcPr>
          <w:p w14:paraId="53BEAA2D">
            <w:pPr>
              <w:pStyle w:val="6"/>
              <w:spacing w:before="85" w:line="219" w:lineRule="auto"/>
              <w:ind w:left="115"/>
            </w:pPr>
            <w:r>
              <w:rPr>
                <w:spacing w:val="1"/>
              </w:rPr>
              <w:t>约9550千卡/千克</w:t>
            </w:r>
          </w:p>
        </w:tc>
        <w:tc>
          <w:tcPr>
            <w:tcW w:w="3320" w:type="dxa"/>
            <w:tcBorders>
              <w:left w:val="single" w:color="000000" w:sz="4" w:space="0"/>
            </w:tcBorders>
            <w:vAlign w:val="top"/>
          </w:tcPr>
          <w:p w14:paraId="7BD18476">
            <w:pPr>
              <w:pStyle w:val="6"/>
              <w:spacing w:before="95" w:line="219" w:lineRule="auto"/>
              <w:ind w:left="124"/>
            </w:pPr>
            <w:r>
              <w:t>1.3648千克标准煤/千克</w:t>
            </w:r>
          </w:p>
        </w:tc>
      </w:tr>
      <w:tr w14:paraId="3EB9638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5" w:hRule="atLeast"/>
        </w:trPr>
        <w:tc>
          <w:tcPr>
            <w:tcW w:w="3030" w:type="dxa"/>
            <w:tcBorders>
              <w:right w:val="single" w:color="000000" w:sz="4" w:space="0"/>
            </w:tcBorders>
            <w:vAlign w:val="top"/>
          </w:tcPr>
          <w:p w14:paraId="228EC0AE">
            <w:pPr>
              <w:pStyle w:val="6"/>
              <w:spacing w:before="100" w:line="219" w:lineRule="auto"/>
              <w:ind w:left="100"/>
            </w:pPr>
            <w:r>
              <w:rPr>
                <w:spacing w:val="6"/>
              </w:rPr>
              <w:t>溶剂油</w:t>
            </w:r>
          </w:p>
        </w:tc>
        <w:tc>
          <w:tcPr>
            <w:tcW w:w="3040" w:type="dxa"/>
            <w:tcBorders>
              <w:left w:val="single" w:color="000000" w:sz="4" w:space="0"/>
              <w:right w:val="single" w:color="000000" w:sz="4" w:space="0"/>
            </w:tcBorders>
            <w:vAlign w:val="top"/>
          </w:tcPr>
          <w:p w14:paraId="12E14114">
            <w:pPr>
              <w:pStyle w:val="6"/>
              <w:spacing w:before="81" w:line="219" w:lineRule="auto"/>
              <w:ind w:left="115"/>
            </w:pPr>
            <w:r>
              <w:t>约10270千卡/千克</w:t>
            </w:r>
          </w:p>
        </w:tc>
        <w:tc>
          <w:tcPr>
            <w:tcW w:w="3320" w:type="dxa"/>
            <w:tcBorders>
              <w:left w:val="single" w:color="000000" w:sz="4" w:space="0"/>
            </w:tcBorders>
            <w:vAlign w:val="top"/>
          </w:tcPr>
          <w:p w14:paraId="6ED67AB5">
            <w:pPr>
              <w:pStyle w:val="6"/>
              <w:spacing w:before="91" w:line="219" w:lineRule="auto"/>
              <w:ind w:left="124"/>
            </w:pPr>
            <w:r>
              <w:t>1.4672千克标准煤/千克</w:t>
            </w:r>
          </w:p>
        </w:tc>
      </w:tr>
      <w:tr w14:paraId="66B7AC5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5" w:hRule="atLeast"/>
        </w:trPr>
        <w:tc>
          <w:tcPr>
            <w:tcW w:w="3030" w:type="dxa"/>
            <w:tcBorders>
              <w:right w:val="single" w:color="000000" w:sz="4" w:space="0"/>
            </w:tcBorders>
            <w:vAlign w:val="top"/>
          </w:tcPr>
          <w:p w14:paraId="40874968">
            <w:pPr>
              <w:pStyle w:val="6"/>
              <w:spacing w:before="97" w:line="221" w:lineRule="auto"/>
              <w:ind w:left="100"/>
            </w:pPr>
            <w:r>
              <w:rPr>
                <w:spacing w:val="-2"/>
              </w:rPr>
              <w:t>石油焦</w:t>
            </w:r>
          </w:p>
        </w:tc>
        <w:tc>
          <w:tcPr>
            <w:tcW w:w="3040" w:type="dxa"/>
            <w:tcBorders>
              <w:left w:val="single" w:color="000000" w:sz="4" w:space="0"/>
              <w:right w:val="single" w:color="000000" w:sz="4" w:space="0"/>
            </w:tcBorders>
            <w:vAlign w:val="top"/>
          </w:tcPr>
          <w:p w14:paraId="351DD591">
            <w:pPr>
              <w:pStyle w:val="6"/>
              <w:spacing w:before="86" w:line="219" w:lineRule="auto"/>
              <w:ind w:left="115"/>
            </w:pPr>
            <w:r>
              <w:rPr>
                <w:spacing w:val="1"/>
              </w:rPr>
              <w:t>约7640千卡/千克</w:t>
            </w:r>
          </w:p>
        </w:tc>
        <w:tc>
          <w:tcPr>
            <w:tcW w:w="3320" w:type="dxa"/>
            <w:tcBorders>
              <w:left w:val="single" w:color="000000" w:sz="4" w:space="0"/>
            </w:tcBorders>
            <w:vAlign w:val="top"/>
          </w:tcPr>
          <w:p w14:paraId="0619216D">
            <w:pPr>
              <w:pStyle w:val="6"/>
              <w:spacing w:before="76" w:line="219" w:lineRule="auto"/>
              <w:ind w:left="124"/>
            </w:pPr>
            <w:r>
              <w:t>1.0918千克标准煤/千克</w:t>
            </w:r>
          </w:p>
        </w:tc>
      </w:tr>
      <w:tr w14:paraId="44892D7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40" w:hRule="atLeast"/>
        </w:trPr>
        <w:tc>
          <w:tcPr>
            <w:tcW w:w="3030" w:type="dxa"/>
            <w:tcBorders>
              <w:right w:val="single" w:color="000000" w:sz="4" w:space="0"/>
            </w:tcBorders>
            <w:vAlign w:val="top"/>
          </w:tcPr>
          <w:p w14:paraId="4E92B1A2">
            <w:pPr>
              <w:pStyle w:val="6"/>
              <w:spacing w:before="100" w:line="219" w:lineRule="auto"/>
              <w:ind w:left="100"/>
            </w:pPr>
            <w:r>
              <w:rPr>
                <w:spacing w:val="-2"/>
              </w:rPr>
              <w:t>石油沥青</w:t>
            </w:r>
          </w:p>
        </w:tc>
        <w:tc>
          <w:tcPr>
            <w:tcW w:w="3040" w:type="dxa"/>
            <w:tcBorders>
              <w:left w:val="single" w:color="000000" w:sz="4" w:space="0"/>
              <w:right w:val="single" w:color="000000" w:sz="4" w:space="0"/>
            </w:tcBorders>
            <w:vAlign w:val="top"/>
          </w:tcPr>
          <w:p w14:paraId="790F1FDA">
            <w:pPr>
              <w:pStyle w:val="6"/>
              <w:spacing w:before="81" w:line="219" w:lineRule="auto"/>
              <w:ind w:left="115"/>
            </w:pPr>
            <w:r>
              <w:rPr>
                <w:spacing w:val="1"/>
              </w:rPr>
              <w:t>约9310千卡/千克</w:t>
            </w:r>
          </w:p>
        </w:tc>
        <w:tc>
          <w:tcPr>
            <w:tcW w:w="3320" w:type="dxa"/>
            <w:tcBorders>
              <w:left w:val="single" w:color="000000" w:sz="4" w:space="0"/>
            </w:tcBorders>
            <w:vAlign w:val="top"/>
          </w:tcPr>
          <w:p w14:paraId="33D5798D">
            <w:pPr>
              <w:pStyle w:val="6"/>
              <w:spacing w:before="91" w:line="219" w:lineRule="auto"/>
              <w:ind w:left="124"/>
            </w:pPr>
            <w:r>
              <w:t>1.3307千克标准煤/千克</w:t>
            </w:r>
          </w:p>
        </w:tc>
      </w:tr>
      <w:tr w14:paraId="7BB6416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0" w:hRule="atLeast"/>
        </w:trPr>
        <w:tc>
          <w:tcPr>
            <w:tcW w:w="3030" w:type="dxa"/>
            <w:tcBorders>
              <w:right w:val="single" w:color="000000" w:sz="4" w:space="0"/>
            </w:tcBorders>
            <w:vAlign w:val="top"/>
          </w:tcPr>
          <w:p w14:paraId="5A9402A3">
            <w:pPr>
              <w:pStyle w:val="6"/>
              <w:spacing w:before="91" w:line="220" w:lineRule="auto"/>
              <w:ind w:left="100"/>
            </w:pPr>
            <w:r>
              <w:rPr>
                <w:spacing w:val="3"/>
              </w:rPr>
              <w:t>其他石油制品</w:t>
            </w:r>
          </w:p>
        </w:tc>
        <w:tc>
          <w:tcPr>
            <w:tcW w:w="3040" w:type="dxa"/>
            <w:tcBorders>
              <w:left w:val="single" w:color="000000" w:sz="4" w:space="0"/>
              <w:right w:val="single" w:color="000000" w:sz="4" w:space="0"/>
            </w:tcBorders>
            <w:vAlign w:val="top"/>
          </w:tcPr>
          <w:p w14:paraId="4A826FDE">
            <w:pPr>
              <w:pStyle w:val="6"/>
              <w:spacing w:before="81" w:line="219" w:lineRule="auto"/>
              <w:ind w:left="115"/>
            </w:pPr>
            <w:r>
              <w:rPr>
                <w:spacing w:val="1"/>
              </w:rPr>
              <w:t>约9800千卡/千克</w:t>
            </w:r>
          </w:p>
        </w:tc>
        <w:tc>
          <w:tcPr>
            <w:tcW w:w="3320" w:type="dxa"/>
            <w:tcBorders>
              <w:left w:val="single" w:color="000000" w:sz="4" w:space="0"/>
            </w:tcBorders>
            <w:vAlign w:val="top"/>
          </w:tcPr>
          <w:p w14:paraId="46744167">
            <w:pPr>
              <w:pStyle w:val="6"/>
              <w:spacing w:before="91" w:line="219" w:lineRule="auto"/>
              <w:ind w:left="124"/>
            </w:pPr>
            <w:r>
              <w:t>1.4千克标准煤/千克</w:t>
            </w:r>
          </w:p>
        </w:tc>
      </w:tr>
      <w:tr w14:paraId="76D281F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40" w:hRule="atLeast"/>
        </w:trPr>
        <w:tc>
          <w:tcPr>
            <w:tcW w:w="3030" w:type="dxa"/>
            <w:tcBorders>
              <w:right w:val="single" w:color="000000" w:sz="4" w:space="0"/>
            </w:tcBorders>
            <w:vAlign w:val="top"/>
          </w:tcPr>
          <w:p w14:paraId="52148581">
            <w:pPr>
              <w:pStyle w:val="6"/>
              <w:spacing w:before="101" w:line="220" w:lineRule="auto"/>
              <w:ind w:left="100"/>
            </w:pPr>
            <w:r>
              <w:rPr>
                <w:spacing w:val="6"/>
              </w:rPr>
              <w:t>煤焦油</w:t>
            </w:r>
          </w:p>
        </w:tc>
        <w:tc>
          <w:tcPr>
            <w:tcW w:w="3040" w:type="dxa"/>
            <w:tcBorders>
              <w:left w:val="single" w:color="000000" w:sz="4" w:space="0"/>
              <w:right w:val="single" w:color="000000" w:sz="4" w:space="0"/>
            </w:tcBorders>
            <w:vAlign w:val="top"/>
          </w:tcPr>
          <w:p w14:paraId="7AFC9A3D">
            <w:pPr>
              <w:pStyle w:val="6"/>
              <w:spacing w:before="81" w:line="219" w:lineRule="auto"/>
              <w:ind w:left="115"/>
            </w:pPr>
            <w:r>
              <w:rPr>
                <w:spacing w:val="1"/>
              </w:rPr>
              <w:t>约8000千卡/千克</w:t>
            </w:r>
          </w:p>
        </w:tc>
        <w:tc>
          <w:tcPr>
            <w:tcW w:w="3320" w:type="dxa"/>
            <w:tcBorders>
              <w:left w:val="single" w:color="000000" w:sz="4" w:space="0"/>
            </w:tcBorders>
            <w:vAlign w:val="top"/>
          </w:tcPr>
          <w:p w14:paraId="331CD82D">
            <w:pPr>
              <w:pStyle w:val="6"/>
              <w:spacing w:before="81" w:line="219" w:lineRule="auto"/>
              <w:ind w:left="124"/>
            </w:pPr>
            <w:r>
              <w:t>1.1429千克标准煤/千克</w:t>
            </w:r>
          </w:p>
        </w:tc>
      </w:tr>
      <w:tr w14:paraId="5BE6B1D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29" w:hRule="atLeast"/>
        </w:trPr>
        <w:tc>
          <w:tcPr>
            <w:tcW w:w="3030" w:type="dxa"/>
            <w:tcBorders>
              <w:bottom w:val="single" w:color="000000" w:sz="4" w:space="0"/>
              <w:right w:val="single" w:color="000000" w:sz="4" w:space="0"/>
            </w:tcBorders>
            <w:vAlign w:val="top"/>
          </w:tcPr>
          <w:p w14:paraId="59954661">
            <w:pPr>
              <w:pStyle w:val="6"/>
              <w:spacing w:before="90" w:line="219" w:lineRule="auto"/>
              <w:ind w:left="100"/>
            </w:pPr>
            <w:r>
              <w:rPr>
                <w:spacing w:val="-2"/>
              </w:rPr>
              <w:t>粗苯</w:t>
            </w:r>
          </w:p>
        </w:tc>
        <w:tc>
          <w:tcPr>
            <w:tcW w:w="3040" w:type="dxa"/>
            <w:tcBorders>
              <w:left w:val="single" w:color="000000" w:sz="4" w:space="0"/>
              <w:bottom w:val="single" w:color="000000" w:sz="4" w:space="0"/>
              <w:right w:val="single" w:color="000000" w:sz="4" w:space="0"/>
            </w:tcBorders>
            <w:vAlign w:val="top"/>
          </w:tcPr>
          <w:p w14:paraId="0557214A">
            <w:pPr>
              <w:pStyle w:val="6"/>
              <w:spacing w:before="81" w:line="219" w:lineRule="auto"/>
              <w:ind w:left="115"/>
            </w:pPr>
            <w:r>
              <w:t>约10000千卡/千克</w:t>
            </w:r>
          </w:p>
        </w:tc>
        <w:tc>
          <w:tcPr>
            <w:tcW w:w="3320" w:type="dxa"/>
            <w:tcBorders>
              <w:left w:val="single" w:color="000000" w:sz="4" w:space="0"/>
              <w:bottom w:val="single" w:color="000000" w:sz="4" w:space="0"/>
            </w:tcBorders>
            <w:vAlign w:val="top"/>
          </w:tcPr>
          <w:p w14:paraId="68ECD8A9">
            <w:pPr>
              <w:pStyle w:val="6"/>
              <w:spacing w:before="91" w:line="219" w:lineRule="auto"/>
              <w:ind w:left="124"/>
            </w:pPr>
            <w:r>
              <w:t>1.4286千克标准煤/千克</w:t>
            </w:r>
          </w:p>
        </w:tc>
      </w:tr>
    </w:tbl>
    <w:p w14:paraId="3E17D9DE">
      <w:pPr>
        <w:pStyle w:val="2"/>
      </w:pPr>
    </w:p>
    <w:p w14:paraId="7D5857EF">
      <w:pPr>
        <w:sectPr>
          <w:headerReference r:id="rId76" w:type="default"/>
          <w:pgSz w:w="11910" w:h="16840"/>
          <w:pgMar w:top="1048" w:right="1236" w:bottom="400" w:left="1239" w:header="876" w:footer="0" w:gutter="0"/>
          <w:cols w:space="720" w:num="1"/>
        </w:sectPr>
      </w:pPr>
    </w:p>
    <w:p w14:paraId="4A87BA29">
      <w:pPr>
        <w:spacing w:before="15"/>
      </w:pPr>
    </w:p>
    <w:p w14:paraId="66FDF58D">
      <w:pPr>
        <w:spacing w:before="14"/>
      </w:pPr>
    </w:p>
    <w:p w14:paraId="69013B34">
      <w:pPr>
        <w:spacing w:before="14"/>
      </w:pPr>
    </w:p>
    <w:tbl>
      <w:tblPr>
        <w:tblStyle w:val="5"/>
        <w:tblW w:w="9430" w:type="dxa"/>
        <w:tblInd w:w="1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3040"/>
        <w:gridCol w:w="3050"/>
        <w:gridCol w:w="3340"/>
      </w:tblGrid>
      <w:tr w14:paraId="4A81D24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74" w:hRule="atLeast"/>
        </w:trPr>
        <w:tc>
          <w:tcPr>
            <w:tcW w:w="3040" w:type="dxa"/>
            <w:tcBorders>
              <w:top w:val="single" w:color="000000" w:sz="4" w:space="0"/>
              <w:bottom w:val="single" w:color="000000" w:sz="4" w:space="0"/>
              <w:right w:val="single" w:color="000000" w:sz="4" w:space="0"/>
            </w:tcBorders>
            <w:vAlign w:val="top"/>
          </w:tcPr>
          <w:p w14:paraId="1E845879">
            <w:pPr>
              <w:pStyle w:val="6"/>
              <w:spacing w:before="203" w:line="221" w:lineRule="auto"/>
              <w:ind w:left="1160"/>
            </w:pPr>
            <w:r>
              <w:rPr>
                <w:spacing w:val="2"/>
              </w:rPr>
              <w:t>能源名称</w:t>
            </w:r>
          </w:p>
        </w:tc>
        <w:tc>
          <w:tcPr>
            <w:tcW w:w="3050" w:type="dxa"/>
            <w:tcBorders>
              <w:top w:val="single" w:color="000000" w:sz="4" w:space="0"/>
              <w:left w:val="single" w:color="000000" w:sz="4" w:space="0"/>
              <w:bottom w:val="single" w:color="000000" w:sz="4" w:space="0"/>
              <w:right w:val="single" w:color="000000" w:sz="4" w:space="0"/>
            </w:tcBorders>
            <w:vAlign w:val="top"/>
          </w:tcPr>
          <w:p w14:paraId="758E5943">
            <w:pPr>
              <w:pStyle w:val="6"/>
              <w:spacing w:before="202" w:line="220" w:lineRule="auto"/>
              <w:ind w:left="915"/>
            </w:pPr>
            <w:r>
              <w:rPr>
                <w:spacing w:val="-1"/>
              </w:rPr>
              <w:t>平均低位发热量</w:t>
            </w:r>
          </w:p>
        </w:tc>
        <w:tc>
          <w:tcPr>
            <w:tcW w:w="3340" w:type="dxa"/>
            <w:tcBorders>
              <w:top w:val="single" w:color="000000" w:sz="4" w:space="0"/>
              <w:left w:val="single" w:color="000000" w:sz="4" w:space="0"/>
              <w:bottom w:val="single" w:color="000000" w:sz="4" w:space="0"/>
            </w:tcBorders>
            <w:vAlign w:val="top"/>
          </w:tcPr>
          <w:p w14:paraId="129DBD65">
            <w:pPr>
              <w:pStyle w:val="6"/>
              <w:spacing w:before="202" w:line="219" w:lineRule="auto"/>
              <w:ind w:left="945"/>
            </w:pPr>
            <w:r>
              <w:rPr>
                <w:spacing w:val="-1"/>
              </w:rPr>
              <w:t>参考折标准煤系数</w:t>
            </w:r>
          </w:p>
        </w:tc>
      </w:tr>
      <w:tr w14:paraId="1CC330B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55" w:hRule="atLeast"/>
        </w:trPr>
        <w:tc>
          <w:tcPr>
            <w:tcW w:w="3040" w:type="dxa"/>
            <w:tcBorders>
              <w:top w:val="single" w:color="000000" w:sz="4" w:space="0"/>
              <w:right w:val="single" w:color="000000" w:sz="4" w:space="0"/>
            </w:tcBorders>
            <w:vAlign w:val="top"/>
          </w:tcPr>
          <w:p w14:paraId="29150A30">
            <w:pPr>
              <w:pStyle w:val="6"/>
              <w:spacing w:before="88" w:line="219" w:lineRule="auto"/>
              <w:ind w:left="110"/>
            </w:pPr>
            <w:r>
              <w:rPr>
                <w:spacing w:val="6"/>
              </w:rPr>
              <w:t>热力(当量)</w:t>
            </w:r>
          </w:p>
        </w:tc>
        <w:tc>
          <w:tcPr>
            <w:tcW w:w="3050" w:type="dxa"/>
            <w:tcBorders>
              <w:top w:val="single" w:color="000000" w:sz="4" w:space="0"/>
              <w:left w:val="single" w:color="000000" w:sz="4" w:space="0"/>
              <w:right w:val="single" w:color="000000" w:sz="4" w:space="0"/>
            </w:tcBorders>
            <w:vAlign w:val="top"/>
          </w:tcPr>
          <w:p w14:paraId="722F412F">
            <w:pPr>
              <w:rPr>
                <w:rFonts w:ascii="Arial"/>
                <w:sz w:val="21"/>
              </w:rPr>
            </w:pPr>
          </w:p>
        </w:tc>
        <w:tc>
          <w:tcPr>
            <w:tcW w:w="3340" w:type="dxa"/>
            <w:tcBorders>
              <w:top w:val="single" w:color="000000" w:sz="4" w:space="0"/>
              <w:left w:val="single" w:color="000000" w:sz="4" w:space="0"/>
            </w:tcBorders>
            <w:vAlign w:val="top"/>
          </w:tcPr>
          <w:p w14:paraId="1E5A7F16">
            <w:pPr>
              <w:pStyle w:val="6"/>
              <w:spacing w:before="108" w:line="219" w:lineRule="auto"/>
              <w:ind w:left="124"/>
            </w:pPr>
            <w:r>
              <w:rPr>
                <w:spacing w:val="-1"/>
              </w:rPr>
              <w:t>0.0341千克标准煤/百万焦且</w:t>
            </w:r>
          </w:p>
        </w:tc>
      </w:tr>
      <w:tr w14:paraId="7362DA7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0" w:hRule="atLeast"/>
        </w:trPr>
        <w:tc>
          <w:tcPr>
            <w:tcW w:w="3040" w:type="dxa"/>
            <w:tcBorders>
              <w:right w:val="single" w:color="000000" w:sz="4" w:space="0"/>
            </w:tcBorders>
            <w:vAlign w:val="top"/>
          </w:tcPr>
          <w:p w14:paraId="3EF48DCC">
            <w:pPr>
              <w:pStyle w:val="6"/>
              <w:spacing w:before="73" w:line="219" w:lineRule="auto"/>
              <w:ind w:left="110"/>
            </w:pPr>
            <w:r>
              <w:rPr>
                <w:spacing w:val="1"/>
              </w:rPr>
              <w:t>电力(当量</w:t>
            </w:r>
          </w:p>
        </w:tc>
        <w:tc>
          <w:tcPr>
            <w:tcW w:w="3050" w:type="dxa"/>
            <w:tcBorders>
              <w:left w:val="single" w:color="000000" w:sz="4" w:space="0"/>
              <w:right w:val="single" w:color="000000" w:sz="4" w:space="0"/>
            </w:tcBorders>
            <w:vAlign w:val="top"/>
          </w:tcPr>
          <w:p w14:paraId="2D428736">
            <w:pPr>
              <w:pStyle w:val="6"/>
              <w:spacing w:before="84" w:line="221" w:lineRule="auto"/>
              <w:ind w:left="135"/>
            </w:pPr>
            <w:r>
              <w:rPr>
                <w:spacing w:val="-1"/>
              </w:rPr>
              <w:t>860千卡/千瓦时</w:t>
            </w:r>
          </w:p>
        </w:tc>
        <w:tc>
          <w:tcPr>
            <w:tcW w:w="3340" w:type="dxa"/>
            <w:tcBorders>
              <w:left w:val="single" w:color="000000" w:sz="4" w:space="0"/>
            </w:tcBorders>
            <w:vAlign w:val="top"/>
          </w:tcPr>
          <w:p w14:paraId="5FBAD8D0">
            <w:pPr>
              <w:pStyle w:val="6"/>
              <w:spacing w:before="83" w:line="219" w:lineRule="auto"/>
              <w:ind w:left="124"/>
            </w:pPr>
            <w:r>
              <w:rPr>
                <w:spacing w:val="-1"/>
              </w:rPr>
              <w:t>0.1229千克标准煤/千瓦时</w:t>
            </w:r>
          </w:p>
        </w:tc>
      </w:tr>
      <w:tr w14:paraId="757FA71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40" w:hRule="atLeast"/>
        </w:trPr>
        <w:tc>
          <w:tcPr>
            <w:tcW w:w="3040" w:type="dxa"/>
            <w:tcBorders>
              <w:right w:val="single" w:color="000000" w:sz="4" w:space="0"/>
            </w:tcBorders>
            <w:vAlign w:val="top"/>
          </w:tcPr>
          <w:p w14:paraId="1E92446D">
            <w:pPr>
              <w:pStyle w:val="6"/>
              <w:spacing w:before="73" w:line="219" w:lineRule="auto"/>
              <w:ind w:left="110"/>
            </w:pPr>
            <w:r>
              <w:rPr>
                <w:spacing w:val="2"/>
              </w:rPr>
              <w:t>高炉煤气</w:t>
            </w:r>
          </w:p>
        </w:tc>
        <w:tc>
          <w:tcPr>
            <w:tcW w:w="3050" w:type="dxa"/>
            <w:tcBorders>
              <w:left w:val="single" w:color="000000" w:sz="4" w:space="0"/>
              <w:right w:val="single" w:color="000000" w:sz="4" w:space="0"/>
            </w:tcBorders>
            <w:vAlign w:val="top"/>
          </w:tcPr>
          <w:p w14:paraId="7A5F2F21">
            <w:pPr>
              <w:pStyle w:val="6"/>
              <w:spacing w:before="93" w:line="219" w:lineRule="auto"/>
              <w:ind w:left="135"/>
            </w:pPr>
            <w:r>
              <w:rPr>
                <w:spacing w:val="-1"/>
              </w:rPr>
              <w:t>约900千卡/立方米</w:t>
            </w:r>
          </w:p>
        </w:tc>
        <w:tc>
          <w:tcPr>
            <w:tcW w:w="3340" w:type="dxa"/>
            <w:tcBorders>
              <w:left w:val="single" w:color="000000" w:sz="4" w:space="0"/>
            </w:tcBorders>
            <w:vAlign w:val="top"/>
          </w:tcPr>
          <w:p w14:paraId="73AD7CE5">
            <w:pPr>
              <w:pStyle w:val="6"/>
              <w:spacing w:before="83" w:line="219" w:lineRule="auto"/>
              <w:ind w:left="124"/>
            </w:pPr>
            <w:r>
              <w:rPr>
                <w:spacing w:val="-1"/>
              </w:rPr>
              <w:t>0.1286千克标准煤/立方米</w:t>
            </w:r>
          </w:p>
        </w:tc>
      </w:tr>
      <w:tr w14:paraId="6A7CD4F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4" w:hRule="atLeast"/>
        </w:trPr>
        <w:tc>
          <w:tcPr>
            <w:tcW w:w="3040" w:type="dxa"/>
            <w:tcBorders>
              <w:right w:val="single" w:color="000000" w:sz="4" w:space="0"/>
            </w:tcBorders>
            <w:vAlign w:val="top"/>
          </w:tcPr>
          <w:p w14:paraId="0D22D205">
            <w:pPr>
              <w:pStyle w:val="6"/>
              <w:spacing w:before="93" w:line="220" w:lineRule="auto"/>
              <w:ind w:left="110"/>
            </w:pPr>
            <w:r>
              <w:rPr>
                <w:spacing w:val="-2"/>
              </w:rPr>
              <w:t>转炉煤气</w:t>
            </w:r>
          </w:p>
        </w:tc>
        <w:tc>
          <w:tcPr>
            <w:tcW w:w="3050" w:type="dxa"/>
            <w:tcBorders>
              <w:left w:val="single" w:color="000000" w:sz="4" w:space="0"/>
              <w:right w:val="single" w:color="000000" w:sz="4" w:space="0"/>
            </w:tcBorders>
            <w:vAlign w:val="top"/>
          </w:tcPr>
          <w:p w14:paraId="5AD78EFB">
            <w:pPr>
              <w:pStyle w:val="6"/>
              <w:spacing w:before="73" w:line="219" w:lineRule="auto"/>
              <w:ind w:left="135"/>
            </w:pPr>
            <w:r>
              <w:rPr>
                <w:spacing w:val="-1"/>
              </w:rPr>
              <w:t>约1900千卡/立方米</w:t>
            </w:r>
          </w:p>
        </w:tc>
        <w:tc>
          <w:tcPr>
            <w:tcW w:w="3340" w:type="dxa"/>
            <w:tcBorders>
              <w:left w:val="single" w:color="000000" w:sz="4" w:space="0"/>
            </w:tcBorders>
            <w:vAlign w:val="top"/>
          </w:tcPr>
          <w:p w14:paraId="56574B2A">
            <w:pPr>
              <w:pStyle w:val="6"/>
              <w:spacing w:before="73" w:line="219" w:lineRule="auto"/>
              <w:ind w:left="124"/>
            </w:pPr>
            <w:r>
              <w:rPr>
                <w:spacing w:val="-1"/>
              </w:rPr>
              <w:t>0.2714千克标准煤/立方米</w:t>
            </w:r>
          </w:p>
        </w:tc>
      </w:tr>
      <w:tr w14:paraId="066AAFF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45" w:hRule="atLeast"/>
        </w:trPr>
        <w:tc>
          <w:tcPr>
            <w:tcW w:w="3040" w:type="dxa"/>
            <w:tcBorders>
              <w:right w:val="single" w:color="000000" w:sz="4" w:space="0"/>
            </w:tcBorders>
            <w:vAlign w:val="top"/>
          </w:tcPr>
          <w:p w14:paraId="1AE2265A">
            <w:pPr>
              <w:pStyle w:val="6"/>
              <w:spacing w:before="99" w:line="220" w:lineRule="auto"/>
              <w:ind w:left="110"/>
            </w:pPr>
            <w:r>
              <w:rPr>
                <w:spacing w:val="4"/>
              </w:rPr>
              <w:t>煤矸石(用于燃料)</w:t>
            </w:r>
          </w:p>
        </w:tc>
        <w:tc>
          <w:tcPr>
            <w:tcW w:w="3050" w:type="dxa"/>
            <w:tcBorders>
              <w:left w:val="single" w:color="000000" w:sz="4" w:space="0"/>
              <w:right w:val="single" w:color="000000" w:sz="4" w:space="0"/>
            </w:tcBorders>
            <w:vAlign w:val="top"/>
          </w:tcPr>
          <w:p w14:paraId="5600DC8C">
            <w:pPr>
              <w:pStyle w:val="6"/>
              <w:spacing w:before="69" w:line="219" w:lineRule="auto"/>
              <w:ind w:left="135"/>
            </w:pPr>
            <w:r>
              <w:rPr>
                <w:spacing w:val="1"/>
              </w:rPr>
              <w:t>约2000千卡/千克</w:t>
            </w:r>
          </w:p>
        </w:tc>
        <w:tc>
          <w:tcPr>
            <w:tcW w:w="3340" w:type="dxa"/>
            <w:tcBorders>
              <w:left w:val="single" w:color="000000" w:sz="4" w:space="0"/>
            </w:tcBorders>
            <w:vAlign w:val="top"/>
          </w:tcPr>
          <w:p w14:paraId="16F0F00A">
            <w:pPr>
              <w:pStyle w:val="6"/>
              <w:spacing w:before="79" w:line="219" w:lineRule="auto"/>
              <w:ind w:left="124"/>
            </w:pPr>
            <w:r>
              <w:rPr>
                <w:spacing w:val="-1"/>
              </w:rPr>
              <w:t>0.2857千克标准煤/千克</w:t>
            </w:r>
          </w:p>
        </w:tc>
      </w:tr>
      <w:tr w14:paraId="7685783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0" w:hRule="atLeast"/>
        </w:trPr>
        <w:tc>
          <w:tcPr>
            <w:tcW w:w="3040" w:type="dxa"/>
            <w:tcBorders>
              <w:right w:val="single" w:color="000000" w:sz="4" w:space="0"/>
            </w:tcBorders>
            <w:vAlign w:val="top"/>
          </w:tcPr>
          <w:p w14:paraId="14921F3F">
            <w:pPr>
              <w:pStyle w:val="6"/>
              <w:spacing w:before="84" w:line="219" w:lineRule="auto"/>
              <w:ind w:left="110"/>
            </w:pPr>
            <w:r>
              <w:rPr>
                <w:spacing w:val="3"/>
              </w:rPr>
              <w:t>城市生活垃圾(用于燃料)</w:t>
            </w:r>
          </w:p>
        </w:tc>
        <w:tc>
          <w:tcPr>
            <w:tcW w:w="3050" w:type="dxa"/>
            <w:tcBorders>
              <w:left w:val="single" w:color="000000" w:sz="4" w:space="0"/>
              <w:right w:val="single" w:color="000000" w:sz="4" w:space="0"/>
            </w:tcBorders>
            <w:vAlign w:val="top"/>
          </w:tcPr>
          <w:p w14:paraId="71A4F281">
            <w:pPr>
              <w:pStyle w:val="6"/>
              <w:spacing w:before="74" w:line="219" w:lineRule="auto"/>
              <w:ind w:left="135"/>
            </w:pPr>
            <w:r>
              <w:rPr>
                <w:spacing w:val="1"/>
              </w:rPr>
              <w:t>约1900千卡/千克</w:t>
            </w:r>
          </w:p>
        </w:tc>
        <w:tc>
          <w:tcPr>
            <w:tcW w:w="3340" w:type="dxa"/>
            <w:tcBorders>
              <w:left w:val="single" w:color="000000" w:sz="4" w:space="0"/>
            </w:tcBorders>
            <w:vAlign w:val="top"/>
          </w:tcPr>
          <w:p w14:paraId="51DD41C5">
            <w:pPr>
              <w:pStyle w:val="6"/>
              <w:spacing w:before="74" w:line="219" w:lineRule="auto"/>
              <w:ind w:left="124"/>
            </w:pPr>
            <w:r>
              <w:rPr>
                <w:spacing w:val="-1"/>
              </w:rPr>
              <w:t>0.2714千克标准煤/千克</w:t>
            </w:r>
          </w:p>
        </w:tc>
      </w:tr>
      <w:tr w14:paraId="127A901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29" w:hRule="atLeast"/>
        </w:trPr>
        <w:tc>
          <w:tcPr>
            <w:tcW w:w="3040" w:type="dxa"/>
            <w:tcBorders>
              <w:right w:val="single" w:color="000000" w:sz="4" w:space="0"/>
            </w:tcBorders>
            <w:vAlign w:val="top"/>
          </w:tcPr>
          <w:p w14:paraId="2E5E78BC">
            <w:pPr>
              <w:pStyle w:val="6"/>
              <w:spacing w:before="74" w:line="220" w:lineRule="auto"/>
              <w:ind w:left="110"/>
            </w:pPr>
            <w:r>
              <w:rPr>
                <w:spacing w:val="-2"/>
              </w:rPr>
              <w:t>余热余压</w:t>
            </w:r>
          </w:p>
        </w:tc>
        <w:tc>
          <w:tcPr>
            <w:tcW w:w="3050" w:type="dxa"/>
            <w:tcBorders>
              <w:left w:val="single" w:color="000000" w:sz="4" w:space="0"/>
              <w:right w:val="single" w:color="000000" w:sz="4" w:space="0"/>
            </w:tcBorders>
            <w:vAlign w:val="top"/>
          </w:tcPr>
          <w:p w14:paraId="2378C576">
            <w:pPr>
              <w:rPr>
                <w:rFonts w:ascii="Arial"/>
                <w:sz w:val="21"/>
              </w:rPr>
            </w:pPr>
          </w:p>
        </w:tc>
        <w:tc>
          <w:tcPr>
            <w:tcW w:w="3340" w:type="dxa"/>
            <w:tcBorders>
              <w:left w:val="single" w:color="000000" w:sz="4" w:space="0"/>
            </w:tcBorders>
            <w:vAlign w:val="top"/>
          </w:tcPr>
          <w:p w14:paraId="29DE7C2E">
            <w:pPr>
              <w:pStyle w:val="6"/>
              <w:spacing w:before="74" w:line="220" w:lineRule="auto"/>
              <w:ind w:left="124"/>
            </w:pPr>
            <w:r>
              <w:rPr>
                <w:spacing w:val="-1"/>
              </w:rPr>
              <w:t>0.0341吨标准煤/百万千焦</w:t>
            </w:r>
          </w:p>
        </w:tc>
      </w:tr>
      <w:tr w14:paraId="7A3D0DE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5" w:hRule="atLeast"/>
        </w:trPr>
        <w:tc>
          <w:tcPr>
            <w:tcW w:w="3040" w:type="dxa"/>
            <w:tcBorders>
              <w:right w:val="single" w:color="000000" w:sz="4" w:space="0"/>
            </w:tcBorders>
            <w:vAlign w:val="top"/>
          </w:tcPr>
          <w:p w14:paraId="1AE15368">
            <w:pPr>
              <w:pStyle w:val="6"/>
              <w:spacing w:before="95" w:line="220" w:lineRule="auto"/>
              <w:ind w:left="110"/>
            </w:pPr>
            <w:r>
              <w:rPr>
                <w:spacing w:val="3"/>
              </w:rPr>
              <w:t>工业废料(用于燃料)</w:t>
            </w:r>
          </w:p>
        </w:tc>
        <w:tc>
          <w:tcPr>
            <w:tcW w:w="3050" w:type="dxa"/>
            <w:tcBorders>
              <w:left w:val="single" w:color="000000" w:sz="4" w:space="0"/>
              <w:right w:val="single" w:color="000000" w:sz="4" w:space="0"/>
            </w:tcBorders>
            <w:vAlign w:val="top"/>
          </w:tcPr>
          <w:p w14:paraId="75741CFB">
            <w:pPr>
              <w:pStyle w:val="6"/>
              <w:spacing w:before="85" w:line="219" w:lineRule="auto"/>
              <w:ind w:left="135"/>
            </w:pPr>
            <w:r>
              <w:rPr>
                <w:spacing w:val="1"/>
              </w:rPr>
              <w:t>约3000千卡/千克</w:t>
            </w:r>
          </w:p>
        </w:tc>
        <w:tc>
          <w:tcPr>
            <w:tcW w:w="3340" w:type="dxa"/>
            <w:tcBorders>
              <w:left w:val="single" w:color="000000" w:sz="4" w:space="0"/>
            </w:tcBorders>
            <w:vAlign w:val="top"/>
          </w:tcPr>
          <w:p w14:paraId="07A70DD7">
            <w:pPr>
              <w:pStyle w:val="6"/>
              <w:spacing w:before="85" w:line="219" w:lineRule="auto"/>
              <w:ind w:left="124"/>
            </w:pPr>
            <w:r>
              <w:rPr>
                <w:spacing w:val="-1"/>
              </w:rPr>
              <w:t>0.4285千克标准煤/千克</w:t>
            </w:r>
          </w:p>
        </w:tc>
      </w:tr>
      <w:tr w14:paraId="5960BB6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29" w:hRule="atLeast"/>
        </w:trPr>
        <w:tc>
          <w:tcPr>
            <w:tcW w:w="3040" w:type="dxa"/>
            <w:tcBorders>
              <w:right w:val="single" w:color="000000" w:sz="4" w:space="0"/>
            </w:tcBorders>
            <w:vAlign w:val="top"/>
          </w:tcPr>
          <w:p w14:paraId="51D040AD">
            <w:pPr>
              <w:pStyle w:val="6"/>
              <w:spacing w:before="80" w:line="220" w:lineRule="auto"/>
              <w:ind w:left="110"/>
            </w:pPr>
            <w:r>
              <w:rPr>
                <w:spacing w:val="-2"/>
              </w:rPr>
              <w:t>燃料甲醇</w:t>
            </w:r>
          </w:p>
        </w:tc>
        <w:tc>
          <w:tcPr>
            <w:tcW w:w="3050" w:type="dxa"/>
            <w:tcBorders>
              <w:left w:val="single" w:color="000000" w:sz="4" w:space="0"/>
              <w:right w:val="single" w:color="000000" w:sz="4" w:space="0"/>
            </w:tcBorders>
            <w:vAlign w:val="top"/>
          </w:tcPr>
          <w:p w14:paraId="21FCB0F5">
            <w:pPr>
              <w:pStyle w:val="6"/>
              <w:spacing w:before="70" w:line="219" w:lineRule="auto"/>
              <w:ind w:left="135"/>
            </w:pPr>
            <w:r>
              <w:rPr>
                <w:spacing w:val="1"/>
              </w:rPr>
              <w:t>约5426千卡/千克</w:t>
            </w:r>
          </w:p>
        </w:tc>
        <w:tc>
          <w:tcPr>
            <w:tcW w:w="3340" w:type="dxa"/>
            <w:tcBorders>
              <w:left w:val="single" w:color="000000" w:sz="4" w:space="0"/>
            </w:tcBorders>
            <w:vAlign w:val="top"/>
          </w:tcPr>
          <w:p w14:paraId="34EB27E4">
            <w:pPr>
              <w:pStyle w:val="6"/>
              <w:spacing w:before="90" w:line="219" w:lineRule="auto"/>
              <w:ind w:left="124"/>
            </w:pPr>
            <w:r>
              <w:rPr>
                <w:spacing w:val="-1"/>
              </w:rPr>
              <w:t>0.7751千克标准煤/千克</w:t>
            </w:r>
          </w:p>
        </w:tc>
      </w:tr>
      <w:tr w14:paraId="111AFB2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40" w:hRule="atLeast"/>
        </w:trPr>
        <w:tc>
          <w:tcPr>
            <w:tcW w:w="3040" w:type="dxa"/>
            <w:tcBorders>
              <w:right w:val="single" w:color="000000" w:sz="4" w:space="0"/>
            </w:tcBorders>
            <w:vAlign w:val="top"/>
          </w:tcPr>
          <w:p w14:paraId="0AA6B311">
            <w:pPr>
              <w:pStyle w:val="6"/>
              <w:spacing w:before="81" w:line="220" w:lineRule="auto"/>
              <w:ind w:left="110"/>
            </w:pPr>
            <w:r>
              <w:rPr>
                <w:spacing w:val="-2"/>
              </w:rPr>
              <w:t>生物乙醇</w:t>
            </w:r>
          </w:p>
        </w:tc>
        <w:tc>
          <w:tcPr>
            <w:tcW w:w="3050" w:type="dxa"/>
            <w:tcBorders>
              <w:left w:val="single" w:color="000000" w:sz="4" w:space="0"/>
              <w:right w:val="single" w:color="000000" w:sz="4" w:space="0"/>
            </w:tcBorders>
            <w:vAlign w:val="top"/>
          </w:tcPr>
          <w:p w14:paraId="093411A2">
            <w:pPr>
              <w:pStyle w:val="6"/>
              <w:spacing w:before="71" w:line="219" w:lineRule="auto"/>
              <w:ind w:left="135"/>
            </w:pPr>
            <w:r>
              <w:rPr>
                <w:spacing w:val="1"/>
              </w:rPr>
              <w:t>约6500千卡/千克</w:t>
            </w:r>
          </w:p>
        </w:tc>
        <w:tc>
          <w:tcPr>
            <w:tcW w:w="3340" w:type="dxa"/>
            <w:tcBorders>
              <w:left w:val="single" w:color="000000" w:sz="4" w:space="0"/>
            </w:tcBorders>
            <w:vAlign w:val="top"/>
          </w:tcPr>
          <w:p w14:paraId="03CAB107">
            <w:pPr>
              <w:pStyle w:val="6"/>
              <w:spacing w:before="91" w:line="219" w:lineRule="auto"/>
              <w:ind w:left="124"/>
            </w:pPr>
            <w:r>
              <w:rPr>
                <w:spacing w:val="-1"/>
              </w:rPr>
              <w:t>0.9286千克标准煤/千克</w:t>
            </w:r>
          </w:p>
        </w:tc>
      </w:tr>
      <w:tr w14:paraId="3D45A7A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44" w:hRule="atLeast"/>
        </w:trPr>
        <w:tc>
          <w:tcPr>
            <w:tcW w:w="3040" w:type="dxa"/>
            <w:tcBorders>
              <w:right w:val="single" w:color="000000" w:sz="4" w:space="0"/>
            </w:tcBorders>
            <w:vAlign w:val="top"/>
          </w:tcPr>
          <w:p w14:paraId="50F93D03">
            <w:pPr>
              <w:pStyle w:val="6"/>
              <w:spacing w:before="81" w:line="220" w:lineRule="auto"/>
              <w:ind w:left="110"/>
            </w:pPr>
            <w:r>
              <w:rPr>
                <w:spacing w:val="4"/>
              </w:rPr>
              <w:t>生物柴油</w:t>
            </w:r>
          </w:p>
        </w:tc>
        <w:tc>
          <w:tcPr>
            <w:tcW w:w="3050" w:type="dxa"/>
            <w:tcBorders>
              <w:left w:val="single" w:color="000000" w:sz="4" w:space="0"/>
              <w:right w:val="single" w:color="000000" w:sz="4" w:space="0"/>
            </w:tcBorders>
            <w:vAlign w:val="top"/>
          </w:tcPr>
          <w:p w14:paraId="6B8300EB">
            <w:pPr>
              <w:pStyle w:val="6"/>
              <w:spacing w:before="81" w:line="219" w:lineRule="auto"/>
              <w:ind w:left="135"/>
            </w:pPr>
            <w:r>
              <w:t>约10200千卡/千克</w:t>
            </w:r>
          </w:p>
        </w:tc>
        <w:tc>
          <w:tcPr>
            <w:tcW w:w="3340" w:type="dxa"/>
            <w:tcBorders>
              <w:left w:val="single" w:color="000000" w:sz="4" w:space="0"/>
            </w:tcBorders>
            <w:vAlign w:val="top"/>
          </w:tcPr>
          <w:p w14:paraId="48083FA0">
            <w:pPr>
              <w:pStyle w:val="6"/>
              <w:spacing w:before="101" w:line="219" w:lineRule="auto"/>
              <w:ind w:left="124"/>
            </w:pPr>
            <w:r>
              <w:t>1.4571千克标准煤/千克</w:t>
            </w:r>
          </w:p>
        </w:tc>
      </w:tr>
      <w:tr w14:paraId="6CFD4F9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64" w:hRule="atLeast"/>
        </w:trPr>
        <w:tc>
          <w:tcPr>
            <w:tcW w:w="3040" w:type="dxa"/>
            <w:tcBorders>
              <w:right w:val="single" w:color="000000" w:sz="4" w:space="0"/>
            </w:tcBorders>
            <w:vAlign w:val="top"/>
          </w:tcPr>
          <w:p w14:paraId="42226330">
            <w:pPr>
              <w:pStyle w:val="6"/>
              <w:spacing w:before="238" w:line="221" w:lineRule="auto"/>
              <w:ind w:left="110"/>
            </w:pPr>
            <w:r>
              <w:rPr>
                <w:spacing w:val="-2"/>
              </w:rPr>
              <w:t>氢气</w:t>
            </w:r>
          </w:p>
        </w:tc>
        <w:tc>
          <w:tcPr>
            <w:tcW w:w="3050" w:type="dxa"/>
            <w:tcBorders>
              <w:left w:val="single" w:color="000000" w:sz="4" w:space="0"/>
              <w:right w:val="single" w:color="000000" w:sz="4" w:space="0"/>
            </w:tcBorders>
            <w:vAlign w:val="top"/>
          </w:tcPr>
          <w:p w14:paraId="090902D6">
            <w:pPr>
              <w:pStyle w:val="6"/>
              <w:spacing w:before="247" w:line="219" w:lineRule="auto"/>
              <w:ind w:left="135"/>
            </w:pPr>
            <w:r>
              <w:t>约142000千焦耳/千克</w:t>
            </w:r>
          </w:p>
        </w:tc>
        <w:tc>
          <w:tcPr>
            <w:tcW w:w="3340" w:type="dxa"/>
            <w:tcBorders>
              <w:left w:val="single" w:color="000000" w:sz="4" w:space="0"/>
            </w:tcBorders>
            <w:vAlign w:val="top"/>
          </w:tcPr>
          <w:p w14:paraId="614EC4D1">
            <w:pPr>
              <w:pStyle w:val="6"/>
              <w:spacing w:before="77" w:line="219" w:lineRule="auto"/>
              <w:ind w:left="124"/>
            </w:pPr>
            <w:r>
              <w:rPr>
                <w:spacing w:val="-1"/>
              </w:rPr>
              <w:t>4.8512千克标准煤/千克</w:t>
            </w:r>
          </w:p>
          <w:p w14:paraId="4C327A3D">
            <w:pPr>
              <w:pStyle w:val="6"/>
              <w:spacing w:before="126" w:line="219" w:lineRule="auto"/>
              <w:ind w:left="124"/>
            </w:pPr>
            <w:r>
              <w:rPr>
                <w:spacing w:val="-1"/>
              </w:rPr>
              <w:t>0.4361千克标准煤/立方米</w:t>
            </w:r>
          </w:p>
        </w:tc>
      </w:tr>
      <w:tr w14:paraId="3CFAF11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44" w:hRule="atLeast"/>
        </w:trPr>
        <w:tc>
          <w:tcPr>
            <w:tcW w:w="3040" w:type="dxa"/>
            <w:tcBorders>
              <w:right w:val="single" w:color="000000" w:sz="4" w:space="0"/>
            </w:tcBorders>
            <w:vAlign w:val="top"/>
          </w:tcPr>
          <w:p w14:paraId="09613BE2">
            <w:pPr>
              <w:pStyle w:val="6"/>
              <w:spacing w:before="84" w:line="221" w:lineRule="auto"/>
              <w:ind w:left="110"/>
            </w:pPr>
            <w:r>
              <w:rPr>
                <w:spacing w:val="5"/>
              </w:rPr>
              <w:t>沼气</w:t>
            </w:r>
          </w:p>
        </w:tc>
        <w:tc>
          <w:tcPr>
            <w:tcW w:w="3050" w:type="dxa"/>
            <w:tcBorders>
              <w:left w:val="single" w:color="000000" w:sz="4" w:space="0"/>
              <w:right w:val="single" w:color="000000" w:sz="4" w:space="0"/>
            </w:tcBorders>
            <w:vAlign w:val="top"/>
          </w:tcPr>
          <w:p w14:paraId="0109B6F8">
            <w:pPr>
              <w:pStyle w:val="6"/>
              <w:spacing w:before="83" w:line="219" w:lineRule="auto"/>
              <w:ind w:left="135"/>
            </w:pPr>
            <w:r>
              <w:rPr>
                <w:spacing w:val="-1"/>
              </w:rPr>
              <w:t>约5500—5800千卡/立方米</w:t>
            </w:r>
          </w:p>
        </w:tc>
        <w:tc>
          <w:tcPr>
            <w:tcW w:w="3340" w:type="dxa"/>
            <w:tcBorders>
              <w:left w:val="single" w:color="000000" w:sz="4" w:space="0"/>
            </w:tcBorders>
            <w:vAlign w:val="top"/>
          </w:tcPr>
          <w:p w14:paraId="034E1A13">
            <w:pPr>
              <w:pStyle w:val="6"/>
              <w:spacing w:before="103" w:line="219" w:lineRule="auto"/>
              <w:ind w:left="124"/>
            </w:pPr>
            <w:r>
              <w:rPr>
                <w:spacing w:val="-1"/>
              </w:rPr>
              <w:t>0.7857-0.8286千克标准煤/立方米</w:t>
            </w:r>
          </w:p>
        </w:tc>
      </w:tr>
      <w:tr w14:paraId="676B8AD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0" w:hRule="atLeast"/>
        </w:trPr>
        <w:tc>
          <w:tcPr>
            <w:tcW w:w="3040" w:type="dxa"/>
            <w:tcBorders>
              <w:right w:val="single" w:color="000000" w:sz="4" w:space="0"/>
            </w:tcBorders>
            <w:vAlign w:val="top"/>
          </w:tcPr>
          <w:p w14:paraId="0ACF6839">
            <w:pPr>
              <w:pStyle w:val="6"/>
              <w:spacing w:before="88" w:line="219" w:lineRule="auto"/>
              <w:ind w:left="110"/>
            </w:pPr>
            <w:r>
              <w:rPr>
                <w:spacing w:val="7"/>
              </w:rPr>
              <w:t>蔗渣(干)</w:t>
            </w:r>
          </w:p>
        </w:tc>
        <w:tc>
          <w:tcPr>
            <w:tcW w:w="3050" w:type="dxa"/>
            <w:tcBorders>
              <w:left w:val="single" w:color="000000" w:sz="4" w:space="0"/>
              <w:right w:val="single" w:color="000000" w:sz="4" w:space="0"/>
            </w:tcBorders>
            <w:vAlign w:val="top"/>
          </w:tcPr>
          <w:p w14:paraId="7E23D8AD">
            <w:pPr>
              <w:pStyle w:val="6"/>
              <w:spacing w:before="79" w:line="219" w:lineRule="auto"/>
              <w:ind w:left="135"/>
            </w:pPr>
            <w:r>
              <w:rPr>
                <w:spacing w:val="1"/>
              </w:rPr>
              <w:t>约3500千卡/千克</w:t>
            </w:r>
          </w:p>
        </w:tc>
        <w:tc>
          <w:tcPr>
            <w:tcW w:w="3340" w:type="dxa"/>
            <w:tcBorders>
              <w:left w:val="single" w:color="000000" w:sz="4" w:space="0"/>
            </w:tcBorders>
            <w:vAlign w:val="top"/>
          </w:tcPr>
          <w:p w14:paraId="061726FA">
            <w:pPr>
              <w:pStyle w:val="6"/>
              <w:spacing w:before="79" w:line="219" w:lineRule="auto"/>
              <w:ind w:left="124"/>
            </w:pPr>
            <w:r>
              <w:rPr>
                <w:spacing w:val="-1"/>
              </w:rPr>
              <w:t>0.5000千克标准煤/千克</w:t>
            </w:r>
          </w:p>
        </w:tc>
      </w:tr>
      <w:tr w14:paraId="5133881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29" w:hRule="atLeast"/>
        </w:trPr>
        <w:tc>
          <w:tcPr>
            <w:tcW w:w="3040" w:type="dxa"/>
            <w:tcBorders>
              <w:right w:val="single" w:color="000000" w:sz="4" w:space="0"/>
            </w:tcBorders>
            <w:vAlign w:val="top"/>
          </w:tcPr>
          <w:p w14:paraId="6439AC9B">
            <w:pPr>
              <w:pStyle w:val="6"/>
              <w:spacing w:before="79" w:line="219" w:lineRule="auto"/>
              <w:ind w:left="110"/>
            </w:pPr>
            <w:r>
              <w:rPr>
                <w:spacing w:val="-2"/>
              </w:rPr>
              <w:t>树皮</w:t>
            </w:r>
          </w:p>
        </w:tc>
        <w:tc>
          <w:tcPr>
            <w:tcW w:w="3050" w:type="dxa"/>
            <w:tcBorders>
              <w:left w:val="single" w:color="000000" w:sz="4" w:space="0"/>
              <w:right w:val="single" w:color="000000" w:sz="4" w:space="0"/>
            </w:tcBorders>
            <w:vAlign w:val="top"/>
          </w:tcPr>
          <w:p w14:paraId="40532E79">
            <w:pPr>
              <w:pStyle w:val="6"/>
              <w:spacing w:before="79" w:line="219" w:lineRule="auto"/>
              <w:ind w:left="135"/>
            </w:pPr>
            <w:r>
              <w:rPr>
                <w:spacing w:val="1"/>
              </w:rPr>
              <w:t>约2700千卡/千克</w:t>
            </w:r>
          </w:p>
        </w:tc>
        <w:tc>
          <w:tcPr>
            <w:tcW w:w="3340" w:type="dxa"/>
            <w:tcBorders>
              <w:left w:val="single" w:color="000000" w:sz="4" w:space="0"/>
            </w:tcBorders>
            <w:vAlign w:val="top"/>
          </w:tcPr>
          <w:p w14:paraId="6F27326B">
            <w:pPr>
              <w:pStyle w:val="6"/>
              <w:spacing w:before="79" w:line="219" w:lineRule="auto"/>
              <w:ind w:left="124"/>
            </w:pPr>
            <w:r>
              <w:rPr>
                <w:spacing w:val="-1"/>
              </w:rPr>
              <w:t>0.3857千克标准煤/千克</w:t>
            </w:r>
          </w:p>
        </w:tc>
      </w:tr>
      <w:tr w14:paraId="116C756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4" w:hRule="atLeast"/>
        </w:trPr>
        <w:tc>
          <w:tcPr>
            <w:tcW w:w="3040" w:type="dxa"/>
            <w:tcBorders>
              <w:right w:val="single" w:color="000000" w:sz="4" w:space="0"/>
            </w:tcBorders>
            <w:vAlign w:val="top"/>
          </w:tcPr>
          <w:p w14:paraId="7B53E263">
            <w:pPr>
              <w:pStyle w:val="6"/>
              <w:spacing w:before="90" w:line="219" w:lineRule="auto"/>
              <w:ind w:left="110"/>
            </w:pPr>
            <w:r>
              <w:rPr>
                <w:spacing w:val="-2"/>
              </w:rPr>
              <w:t>玉米棒</w:t>
            </w:r>
          </w:p>
        </w:tc>
        <w:tc>
          <w:tcPr>
            <w:tcW w:w="3050" w:type="dxa"/>
            <w:tcBorders>
              <w:left w:val="single" w:color="000000" w:sz="4" w:space="0"/>
              <w:right w:val="single" w:color="000000" w:sz="4" w:space="0"/>
            </w:tcBorders>
            <w:vAlign w:val="top"/>
          </w:tcPr>
          <w:p w14:paraId="262739AE">
            <w:pPr>
              <w:pStyle w:val="6"/>
              <w:spacing w:before="90" w:line="219" w:lineRule="auto"/>
              <w:ind w:left="135"/>
            </w:pPr>
            <w:r>
              <w:rPr>
                <w:spacing w:val="1"/>
              </w:rPr>
              <w:t>约4600千卡/千克</w:t>
            </w:r>
          </w:p>
        </w:tc>
        <w:tc>
          <w:tcPr>
            <w:tcW w:w="3340" w:type="dxa"/>
            <w:tcBorders>
              <w:left w:val="single" w:color="000000" w:sz="4" w:space="0"/>
            </w:tcBorders>
            <w:vAlign w:val="top"/>
          </w:tcPr>
          <w:p w14:paraId="08100DCB">
            <w:pPr>
              <w:pStyle w:val="6"/>
              <w:spacing w:before="90" w:line="219" w:lineRule="auto"/>
              <w:ind w:left="124"/>
            </w:pPr>
            <w:r>
              <w:rPr>
                <w:spacing w:val="-1"/>
              </w:rPr>
              <w:t>0.6571千克标准煤/千克</w:t>
            </w:r>
          </w:p>
        </w:tc>
      </w:tr>
      <w:tr w14:paraId="0E1D445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5" w:hRule="atLeast"/>
        </w:trPr>
        <w:tc>
          <w:tcPr>
            <w:tcW w:w="3040" w:type="dxa"/>
            <w:tcBorders>
              <w:right w:val="single" w:color="000000" w:sz="4" w:space="0"/>
            </w:tcBorders>
            <w:vAlign w:val="top"/>
          </w:tcPr>
          <w:p w14:paraId="241A0EEF">
            <w:pPr>
              <w:pStyle w:val="6"/>
              <w:spacing w:before="95" w:line="219" w:lineRule="auto"/>
              <w:ind w:left="110"/>
            </w:pPr>
            <w:r>
              <w:rPr>
                <w:spacing w:val="7"/>
              </w:rPr>
              <w:t>薪柴(干)</w:t>
            </w:r>
          </w:p>
        </w:tc>
        <w:tc>
          <w:tcPr>
            <w:tcW w:w="3050" w:type="dxa"/>
            <w:tcBorders>
              <w:left w:val="single" w:color="000000" w:sz="4" w:space="0"/>
              <w:right w:val="single" w:color="000000" w:sz="4" w:space="0"/>
            </w:tcBorders>
            <w:vAlign w:val="top"/>
          </w:tcPr>
          <w:p w14:paraId="413B1514">
            <w:pPr>
              <w:pStyle w:val="6"/>
              <w:spacing w:before="86" w:line="219" w:lineRule="auto"/>
              <w:ind w:left="135"/>
            </w:pPr>
            <w:r>
              <w:rPr>
                <w:spacing w:val="1"/>
              </w:rPr>
              <w:t>约3000千卡/千克</w:t>
            </w:r>
          </w:p>
        </w:tc>
        <w:tc>
          <w:tcPr>
            <w:tcW w:w="3340" w:type="dxa"/>
            <w:tcBorders>
              <w:left w:val="single" w:color="000000" w:sz="4" w:space="0"/>
            </w:tcBorders>
            <w:vAlign w:val="top"/>
          </w:tcPr>
          <w:p w14:paraId="18BF1BC4">
            <w:pPr>
              <w:pStyle w:val="6"/>
              <w:spacing w:before="86" w:line="219" w:lineRule="auto"/>
              <w:ind w:left="124"/>
            </w:pPr>
            <w:r>
              <w:rPr>
                <w:spacing w:val="-1"/>
              </w:rPr>
              <w:t>0.4286千克标准煤/千克</w:t>
            </w:r>
          </w:p>
        </w:tc>
      </w:tr>
      <w:tr w14:paraId="58E0508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4" w:hRule="atLeast"/>
        </w:trPr>
        <w:tc>
          <w:tcPr>
            <w:tcW w:w="3040" w:type="dxa"/>
            <w:tcBorders>
              <w:right w:val="single" w:color="000000" w:sz="4" w:space="0"/>
            </w:tcBorders>
            <w:vAlign w:val="top"/>
          </w:tcPr>
          <w:p w14:paraId="14A7AB0A">
            <w:pPr>
              <w:pStyle w:val="6"/>
              <w:spacing w:before="81" w:line="219" w:lineRule="auto"/>
              <w:ind w:left="110"/>
            </w:pPr>
            <w:r>
              <w:rPr>
                <w:spacing w:val="-2"/>
              </w:rPr>
              <w:t>稻壳</w:t>
            </w:r>
          </w:p>
        </w:tc>
        <w:tc>
          <w:tcPr>
            <w:tcW w:w="3050" w:type="dxa"/>
            <w:tcBorders>
              <w:left w:val="single" w:color="000000" w:sz="4" w:space="0"/>
              <w:right w:val="single" w:color="000000" w:sz="4" w:space="0"/>
            </w:tcBorders>
            <w:vAlign w:val="top"/>
          </w:tcPr>
          <w:p w14:paraId="5886E7CA">
            <w:pPr>
              <w:pStyle w:val="6"/>
              <w:spacing w:before="91" w:line="219" w:lineRule="auto"/>
              <w:ind w:left="135"/>
            </w:pPr>
            <w:r>
              <w:rPr>
                <w:spacing w:val="1"/>
              </w:rPr>
              <w:t>约3200千卡/千克</w:t>
            </w:r>
          </w:p>
        </w:tc>
        <w:tc>
          <w:tcPr>
            <w:tcW w:w="3340" w:type="dxa"/>
            <w:tcBorders>
              <w:left w:val="single" w:color="000000" w:sz="4" w:space="0"/>
            </w:tcBorders>
            <w:vAlign w:val="top"/>
          </w:tcPr>
          <w:p w14:paraId="332103D3">
            <w:pPr>
              <w:pStyle w:val="6"/>
              <w:spacing w:before="91" w:line="219" w:lineRule="auto"/>
              <w:ind w:left="124"/>
            </w:pPr>
            <w:r>
              <w:rPr>
                <w:spacing w:val="-1"/>
              </w:rPr>
              <w:t>0.4571千克标准煤/千克</w:t>
            </w:r>
          </w:p>
        </w:tc>
      </w:tr>
      <w:tr w14:paraId="7CC5C03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24" w:hRule="atLeast"/>
        </w:trPr>
        <w:tc>
          <w:tcPr>
            <w:tcW w:w="3040" w:type="dxa"/>
            <w:tcBorders>
              <w:bottom w:val="single" w:color="000000" w:sz="4" w:space="0"/>
              <w:right w:val="single" w:color="000000" w:sz="4" w:space="0"/>
            </w:tcBorders>
            <w:vAlign w:val="top"/>
          </w:tcPr>
          <w:p w14:paraId="4701B098">
            <w:pPr>
              <w:pStyle w:val="6"/>
              <w:spacing w:before="97" w:line="220" w:lineRule="auto"/>
              <w:ind w:left="110"/>
            </w:pPr>
            <w:r>
              <w:rPr>
                <w:spacing w:val="-2"/>
              </w:rPr>
              <w:t>锯末刨花</w:t>
            </w:r>
          </w:p>
        </w:tc>
        <w:tc>
          <w:tcPr>
            <w:tcW w:w="3050" w:type="dxa"/>
            <w:tcBorders>
              <w:left w:val="single" w:color="000000" w:sz="4" w:space="0"/>
              <w:bottom w:val="single" w:color="000000" w:sz="4" w:space="0"/>
              <w:right w:val="single" w:color="000000" w:sz="4" w:space="0"/>
            </w:tcBorders>
            <w:vAlign w:val="top"/>
          </w:tcPr>
          <w:p w14:paraId="36784ABE">
            <w:pPr>
              <w:pStyle w:val="6"/>
              <w:spacing w:before="87" w:line="219" w:lineRule="auto"/>
              <w:ind w:left="135"/>
            </w:pPr>
            <w:r>
              <w:rPr>
                <w:spacing w:val="1"/>
              </w:rPr>
              <w:t>约2700千卡/千克</w:t>
            </w:r>
          </w:p>
        </w:tc>
        <w:tc>
          <w:tcPr>
            <w:tcW w:w="3340" w:type="dxa"/>
            <w:tcBorders>
              <w:left w:val="single" w:color="000000" w:sz="4" w:space="0"/>
              <w:bottom w:val="single" w:color="000000" w:sz="4" w:space="0"/>
            </w:tcBorders>
            <w:vAlign w:val="top"/>
          </w:tcPr>
          <w:p w14:paraId="117E1DAC">
            <w:pPr>
              <w:pStyle w:val="6"/>
              <w:spacing w:before="107" w:line="212" w:lineRule="auto"/>
              <w:ind w:left="124"/>
            </w:pPr>
            <w:r>
              <w:rPr>
                <w:spacing w:val="-1"/>
              </w:rPr>
              <w:t>0.3857千克标准煤/千克</w:t>
            </w:r>
          </w:p>
        </w:tc>
      </w:tr>
    </w:tbl>
    <w:p w14:paraId="14B18F48">
      <w:pPr>
        <w:spacing w:before="152" w:line="219" w:lineRule="auto"/>
        <w:rPr>
          <w:rFonts w:ascii="宋体" w:hAnsi="宋体" w:eastAsia="宋体" w:cs="宋体"/>
          <w:sz w:val="18"/>
          <w:szCs w:val="18"/>
        </w:rPr>
      </w:pPr>
      <w:r>
        <w:rPr>
          <w:rFonts w:ascii="宋体" w:hAnsi="宋体" w:eastAsia="宋体" w:cs="宋体"/>
          <w:spacing w:val="-2"/>
          <w:sz w:val="18"/>
          <w:szCs w:val="18"/>
        </w:rPr>
        <w:t>注：此表平均低位发热量用千卡表示，如需换算成千焦耳，只需乘4.1816即可。</w:t>
      </w:r>
    </w:p>
    <w:p w14:paraId="210F96F3">
      <w:pPr>
        <w:spacing w:line="219" w:lineRule="auto"/>
        <w:rPr>
          <w:rFonts w:ascii="宋体" w:hAnsi="宋体" w:eastAsia="宋体" w:cs="宋体"/>
          <w:sz w:val="18"/>
          <w:szCs w:val="18"/>
        </w:rPr>
        <w:sectPr>
          <w:headerReference r:id="rId77" w:type="default"/>
          <w:pgSz w:w="11910" w:h="16840"/>
          <w:pgMar w:top="1047" w:right="1239" w:bottom="400" w:left="1229" w:header="867" w:footer="0" w:gutter="0"/>
          <w:cols w:space="720" w:num="1"/>
        </w:sectPr>
      </w:pPr>
    </w:p>
    <w:p w14:paraId="06E8EE88">
      <w:pPr>
        <w:spacing w:before="201"/>
      </w:pPr>
    </w:p>
    <w:p w14:paraId="23E4AE3E">
      <w:pPr>
        <w:sectPr>
          <w:headerReference r:id="rId78" w:type="default"/>
          <w:pgSz w:w="11910" w:h="16840"/>
          <w:pgMar w:top="400" w:right="1241" w:bottom="400" w:left="1239" w:header="0" w:footer="0" w:gutter="0"/>
          <w:cols w:equalWidth="0" w:num="1">
            <w:col w:w="9429"/>
          </w:cols>
        </w:sectPr>
      </w:pPr>
    </w:p>
    <w:p w14:paraId="40869844">
      <w:pPr>
        <w:spacing w:before="34" w:line="184" w:lineRule="auto"/>
        <w:ind w:left="3630"/>
        <w:rPr>
          <w:rFonts w:ascii="宋体" w:hAnsi="宋体" w:eastAsia="宋体" w:cs="宋体"/>
          <w:sz w:val="17"/>
          <w:szCs w:val="17"/>
        </w:rPr>
      </w:pPr>
      <w:r>
        <w:drawing>
          <wp:anchor distT="0" distB="0" distL="0" distR="0" simplePos="0" relativeHeight="251757568" behindDoc="0" locked="0" layoutInCell="1" allowOverlap="1">
            <wp:simplePos x="0" y="0"/>
            <wp:positionH relativeFrom="column">
              <wp:posOffset>0</wp:posOffset>
            </wp:positionH>
            <wp:positionV relativeFrom="paragraph">
              <wp:posOffset>123825</wp:posOffset>
            </wp:positionV>
            <wp:extent cx="5987415" cy="13335"/>
            <wp:effectExtent l="0" t="0" r="0" b="0"/>
            <wp:wrapNone/>
            <wp:docPr id="128" name="IM 128"/>
            <wp:cNvGraphicFramePr/>
            <a:graphic xmlns:a="http://schemas.openxmlformats.org/drawingml/2006/main">
              <a:graphicData uri="http://schemas.openxmlformats.org/drawingml/2006/picture">
                <pic:pic xmlns:pic="http://schemas.openxmlformats.org/drawingml/2006/picture">
                  <pic:nvPicPr>
                    <pic:cNvPr id="128" name="IM 128"/>
                    <pic:cNvPicPr/>
                  </pic:nvPicPr>
                  <pic:blipFill>
                    <a:blip r:embed="rId99"/>
                    <a:stretch>
                      <a:fillRect/>
                    </a:stretch>
                  </pic:blipFill>
                  <pic:spPr>
                    <a:xfrm>
                      <a:off x="0" y="0"/>
                      <a:ext cx="5987270" cy="13633"/>
                    </a:xfrm>
                    <a:prstGeom prst="rect">
                      <a:avLst/>
                    </a:prstGeom>
                  </pic:spPr>
                </pic:pic>
              </a:graphicData>
            </a:graphic>
          </wp:anchor>
        </w:drawing>
      </w:r>
      <w:r>
        <w:rPr>
          <w:rFonts w:ascii="宋体" w:hAnsi="宋体" w:eastAsia="宋体" w:cs="宋体"/>
          <w:spacing w:val="-8"/>
          <w:sz w:val="17"/>
          <w:szCs w:val="17"/>
        </w:rPr>
        <w:t>福</w:t>
      </w:r>
      <w:r>
        <w:rPr>
          <w:rFonts w:ascii="宋体" w:hAnsi="宋体" w:eastAsia="宋体" w:cs="宋体"/>
          <w:spacing w:val="15"/>
          <w:sz w:val="17"/>
          <w:szCs w:val="17"/>
        </w:rPr>
        <w:t xml:space="preserve"> </w:t>
      </w:r>
      <w:r>
        <w:rPr>
          <w:rFonts w:ascii="宋体" w:hAnsi="宋体" w:eastAsia="宋体" w:cs="宋体"/>
          <w:spacing w:val="-8"/>
          <w:sz w:val="17"/>
          <w:szCs w:val="17"/>
        </w:rPr>
        <w:t>建</w:t>
      </w:r>
      <w:r>
        <w:rPr>
          <w:rFonts w:ascii="宋体" w:hAnsi="宋体" w:eastAsia="宋体" w:cs="宋体"/>
          <w:spacing w:val="12"/>
          <w:sz w:val="17"/>
          <w:szCs w:val="17"/>
        </w:rPr>
        <w:t xml:space="preserve"> </w:t>
      </w:r>
      <w:r>
        <w:rPr>
          <w:rFonts w:ascii="宋体" w:hAnsi="宋体" w:eastAsia="宋体" w:cs="宋体"/>
          <w:spacing w:val="-8"/>
          <w:sz w:val="17"/>
          <w:szCs w:val="17"/>
        </w:rPr>
        <w:t>省</w:t>
      </w:r>
      <w:r>
        <w:rPr>
          <w:rFonts w:ascii="宋体" w:hAnsi="宋体" w:eastAsia="宋体" w:cs="宋体"/>
          <w:spacing w:val="16"/>
          <w:sz w:val="17"/>
          <w:szCs w:val="17"/>
        </w:rPr>
        <w:t xml:space="preserve"> </w:t>
      </w:r>
      <w:r>
        <w:rPr>
          <w:rFonts w:ascii="宋体" w:hAnsi="宋体" w:eastAsia="宋体" w:cs="宋体"/>
          <w:spacing w:val="-8"/>
          <w:sz w:val="17"/>
          <w:szCs w:val="17"/>
        </w:rPr>
        <w:t>能</w:t>
      </w:r>
      <w:r>
        <w:rPr>
          <w:rFonts w:ascii="宋体" w:hAnsi="宋体" w:eastAsia="宋体" w:cs="宋体"/>
          <w:spacing w:val="9"/>
          <w:sz w:val="17"/>
          <w:szCs w:val="17"/>
        </w:rPr>
        <w:t xml:space="preserve"> </w:t>
      </w:r>
      <w:r>
        <w:rPr>
          <w:rFonts w:ascii="宋体" w:hAnsi="宋体" w:eastAsia="宋体" w:cs="宋体"/>
          <w:spacing w:val="-8"/>
          <w:sz w:val="17"/>
          <w:szCs w:val="17"/>
        </w:rPr>
        <w:t>源</w:t>
      </w:r>
      <w:r>
        <w:rPr>
          <w:rFonts w:ascii="宋体" w:hAnsi="宋体" w:eastAsia="宋体" w:cs="宋体"/>
          <w:spacing w:val="10"/>
          <w:sz w:val="17"/>
          <w:szCs w:val="17"/>
        </w:rPr>
        <w:t xml:space="preserve"> </w:t>
      </w:r>
      <w:r>
        <w:rPr>
          <w:rFonts w:ascii="宋体" w:hAnsi="宋体" w:eastAsia="宋体" w:cs="宋体"/>
          <w:spacing w:val="-8"/>
          <w:sz w:val="17"/>
          <w:szCs w:val="17"/>
        </w:rPr>
        <w:t>制</w:t>
      </w:r>
      <w:r>
        <w:rPr>
          <w:rFonts w:ascii="宋体" w:hAnsi="宋体" w:eastAsia="宋体" w:cs="宋体"/>
          <w:spacing w:val="8"/>
          <w:sz w:val="17"/>
          <w:szCs w:val="17"/>
        </w:rPr>
        <w:t xml:space="preserve"> </w:t>
      </w:r>
      <w:r>
        <w:rPr>
          <w:rFonts w:ascii="宋体" w:hAnsi="宋体" w:eastAsia="宋体" w:cs="宋体"/>
          <w:spacing w:val="-8"/>
          <w:sz w:val="17"/>
          <w:szCs w:val="17"/>
        </w:rPr>
        <w:t>度</w:t>
      </w:r>
    </w:p>
    <w:p w14:paraId="66279D4D">
      <w:pPr>
        <w:pStyle w:val="2"/>
        <w:spacing w:line="14" w:lineRule="auto"/>
        <w:rPr>
          <w:sz w:val="2"/>
        </w:rPr>
      </w:pPr>
      <w:r>
        <w:rPr>
          <w:sz w:val="2"/>
          <w:szCs w:val="2"/>
        </w:rPr>
        <w:br w:type="column"/>
      </w:r>
    </w:p>
    <w:p w14:paraId="6F1B1088">
      <w:pPr>
        <w:spacing w:before="97" w:line="105" w:lineRule="exact"/>
        <w:jc w:val="right"/>
        <w:rPr>
          <w:rFonts w:ascii="宋体" w:hAnsi="宋体" w:eastAsia="宋体" w:cs="宋体"/>
          <w:sz w:val="14"/>
          <w:szCs w:val="14"/>
        </w:rPr>
      </w:pPr>
      <w:r>
        <w:rPr>
          <w:rFonts w:ascii="宋体" w:hAnsi="宋体" w:eastAsia="宋体" w:cs="宋体"/>
          <w:spacing w:val="-2"/>
          <w:position w:val="-2"/>
          <w:sz w:val="14"/>
          <w:szCs w:val="14"/>
        </w:rPr>
        <w:t>-73</w:t>
      </w:r>
    </w:p>
    <w:p w14:paraId="0C3A7127">
      <w:pPr>
        <w:spacing w:line="105" w:lineRule="exact"/>
        <w:rPr>
          <w:rFonts w:ascii="宋体" w:hAnsi="宋体" w:eastAsia="宋体" w:cs="宋体"/>
          <w:sz w:val="14"/>
          <w:szCs w:val="14"/>
        </w:rPr>
        <w:sectPr>
          <w:type w:val="continuous"/>
          <w:pgSz w:w="11910" w:h="16840"/>
          <w:pgMar w:top="400" w:right="1241" w:bottom="400" w:left="1239" w:header="0" w:footer="0" w:gutter="0"/>
          <w:cols w:equalWidth="0" w:num="2">
            <w:col w:w="8609" w:space="100"/>
            <w:col w:w="720"/>
          </w:cols>
        </w:sectPr>
      </w:pPr>
    </w:p>
    <w:p w14:paraId="441DBA37">
      <w:pPr>
        <w:pStyle w:val="2"/>
        <w:spacing w:line="264" w:lineRule="auto"/>
      </w:pPr>
    </w:p>
    <w:p w14:paraId="30908BE8">
      <w:pPr>
        <w:pStyle w:val="2"/>
        <w:spacing w:line="264" w:lineRule="auto"/>
      </w:pPr>
    </w:p>
    <w:p w14:paraId="6A196990">
      <w:pPr>
        <w:pStyle w:val="2"/>
        <w:spacing w:line="264" w:lineRule="auto"/>
      </w:pPr>
    </w:p>
    <w:p w14:paraId="4AD9F666">
      <w:pPr>
        <w:spacing w:before="91" w:line="221" w:lineRule="auto"/>
        <w:ind w:left="2504"/>
        <w:rPr>
          <w:rFonts w:ascii="黑体" w:hAnsi="黑体" w:eastAsia="黑体" w:cs="黑体"/>
          <w:sz w:val="28"/>
          <w:szCs w:val="28"/>
        </w:rPr>
      </w:pPr>
      <w:r>
        <w:rPr>
          <w:rFonts w:ascii="黑体" w:hAnsi="黑体" w:eastAsia="黑体" w:cs="黑体"/>
          <w:b/>
          <w:bCs/>
          <w:spacing w:val="12"/>
          <w:sz w:val="28"/>
          <w:szCs w:val="28"/>
        </w:rPr>
        <w:t>(二)热焓表(饱和蒸汽或过热蒸汽)</w:t>
      </w:r>
    </w:p>
    <w:p w14:paraId="36E8896C">
      <w:pPr>
        <w:spacing w:before="247" w:line="219" w:lineRule="auto"/>
        <w:ind w:left="10"/>
        <w:rPr>
          <w:rFonts w:ascii="宋体" w:hAnsi="宋体" w:eastAsia="宋体" w:cs="宋体"/>
          <w:sz w:val="18"/>
          <w:szCs w:val="18"/>
        </w:rPr>
      </w:pPr>
      <w:r>
        <w:rPr>
          <w:rFonts w:ascii="宋体" w:hAnsi="宋体" w:eastAsia="宋体" w:cs="宋体"/>
          <w:spacing w:val="4"/>
          <w:sz w:val="18"/>
          <w:szCs w:val="18"/>
        </w:rPr>
        <w:t>1.饱和蒸汽压力—焓表(按压力排列)</w:t>
      </w:r>
    </w:p>
    <w:p w14:paraId="407BD63C">
      <w:pPr>
        <w:spacing w:before="2"/>
      </w:pPr>
    </w:p>
    <w:tbl>
      <w:tblPr>
        <w:tblStyle w:val="5"/>
        <w:tblW w:w="9390" w:type="dxa"/>
        <w:tblInd w:w="2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530"/>
        <w:gridCol w:w="1590"/>
        <w:gridCol w:w="1560"/>
        <w:gridCol w:w="1570"/>
        <w:gridCol w:w="1580"/>
        <w:gridCol w:w="1560"/>
      </w:tblGrid>
      <w:tr w14:paraId="6099E76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44" w:hRule="atLeast"/>
        </w:trPr>
        <w:tc>
          <w:tcPr>
            <w:tcW w:w="1530" w:type="dxa"/>
            <w:tcBorders>
              <w:top w:val="single" w:color="000000" w:sz="4" w:space="0"/>
              <w:bottom w:val="single" w:color="000000" w:sz="4" w:space="0"/>
              <w:right w:val="single" w:color="000000" w:sz="4" w:space="0"/>
            </w:tcBorders>
            <w:vAlign w:val="top"/>
          </w:tcPr>
          <w:p w14:paraId="189B1FEF">
            <w:pPr>
              <w:pStyle w:val="6"/>
              <w:spacing w:before="292" w:line="219" w:lineRule="auto"/>
              <w:ind w:left="270"/>
              <w:rPr>
                <w:sz w:val="17"/>
                <w:szCs w:val="17"/>
              </w:rPr>
            </w:pPr>
            <w:r>
              <w:rPr>
                <w:spacing w:val="-9"/>
                <w:sz w:val="17"/>
                <w:szCs w:val="17"/>
              </w:rPr>
              <w:t>压</w:t>
            </w:r>
            <w:r>
              <w:rPr>
                <w:spacing w:val="-33"/>
                <w:sz w:val="17"/>
                <w:szCs w:val="17"/>
              </w:rPr>
              <w:t xml:space="preserve"> </w:t>
            </w:r>
            <w:r>
              <w:rPr>
                <w:spacing w:val="-9"/>
                <w:sz w:val="17"/>
                <w:szCs w:val="17"/>
              </w:rPr>
              <w:t>力 (</w:t>
            </w:r>
            <w:r>
              <w:rPr>
                <w:spacing w:val="-40"/>
                <w:sz w:val="17"/>
                <w:szCs w:val="17"/>
              </w:rPr>
              <w:t xml:space="preserve"> </w:t>
            </w:r>
            <w:r>
              <w:rPr>
                <w:spacing w:val="-9"/>
                <w:sz w:val="17"/>
                <w:szCs w:val="17"/>
              </w:rPr>
              <w:t>M</w:t>
            </w:r>
            <w:r>
              <w:rPr>
                <w:spacing w:val="-38"/>
                <w:sz w:val="17"/>
                <w:szCs w:val="17"/>
              </w:rPr>
              <w:t xml:space="preserve"> </w:t>
            </w:r>
            <w:r>
              <w:rPr>
                <w:spacing w:val="-9"/>
                <w:sz w:val="17"/>
                <w:szCs w:val="17"/>
              </w:rPr>
              <w:t>P</w:t>
            </w:r>
            <w:r>
              <w:rPr>
                <w:spacing w:val="-35"/>
                <w:sz w:val="17"/>
                <w:szCs w:val="17"/>
              </w:rPr>
              <w:t xml:space="preserve"> </w:t>
            </w:r>
            <w:r>
              <w:rPr>
                <w:spacing w:val="-9"/>
                <w:sz w:val="17"/>
                <w:szCs w:val="17"/>
              </w:rPr>
              <w:t>a</w:t>
            </w:r>
            <w:r>
              <w:rPr>
                <w:spacing w:val="-34"/>
                <w:sz w:val="17"/>
                <w:szCs w:val="17"/>
              </w:rPr>
              <w:t xml:space="preserve"> </w:t>
            </w:r>
            <w:r>
              <w:rPr>
                <w:spacing w:val="-9"/>
                <w:sz w:val="17"/>
                <w:szCs w:val="17"/>
              </w:rPr>
              <w:t>)</w:t>
            </w:r>
          </w:p>
        </w:tc>
        <w:tc>
          <w:tcPr>
            <w:tcW w:w="1590" w:type="dxa"/>
            <w:tcBorders>
              <w:top w:val="single" w:color="000000" w:sz="4" w:space="0"/>
              <w:left w:val="single" w:color="000000" w:sz="4" w:space="0"/>
              <w:bottom w:val="single" w:color="000000" w:sz="4" w:space="0"/>
              <w:right w:val="single" w:color="000000" w:sz="4" w:space="0"/>
            </w:tcBorders>
            <w:vAlign w:val="top"/>
          </w:tcPr>
          <w:p w14:paraId="50B6547E">
            <w:pPr>
              <w:pStyle w:val="6"/>
              <w:spacing w:before="292" w:line="220" w:lineRule="auto"/>
              <w:ind w:left="375"/>
              <w:rPr>
                <w:sz w:val="17"/>
                <w:szCs w:val="17"/>
              </w:rPr>
            </w:pPr>
            <w:r>
              <w:rPr>
                <w:spacing w:val="-12"/>
                <w:sz w:val="17"/>
                <w:szCs w:val="17"/>
              </w:rPr>
              <w:t>温</w:t>
            </w:r>
            <w:r>
              <w:rPr>
                <w:spacing w:val="-33"/>
                <w:sz w:val="17"/>
                <w:szCs w:val="17"/>
              </w:rPr>
              <w:t xml:space="preserve"> </w:t>
            </w:r>
            <w:r>
              <w:rPr>
                <w:spacing w:val="-12"/>
                <w:sz w:val="17"/>
                <w:szCs w:val="17"/>
              </w:rPr>
              <w:t>度 (</w:t>
            </w:r>
            <w:r>
              <w:rPr>
                <w:spacing w:val="-20"/>
                <w:sz w:val="17"/>
                <w:szCs w:val="17"/>
              </w:rPr>
              <w:t xml:space="preserve"> </w:t>
            </w:r>
            <w:r>
              <w:rPr>
                <w:spacing w:val="-12"/>
                <w:sz w:val="17"/>
                <w:szCs w:val="17"/>
              </w:rPr>
              <w:t>℃</w:t>
            </w:r>
            <w:r>
              <w:rPr>
                <w:spacing w:val="-32"/>
                <w:sz w:val="17"/>
                <w:szCs w:val="17"/>
              </w:rPr>
              <w:t xml:space="preserve"> </w:t>
            </w:r>
            <w:r>
              <w:rPr>
                <w:spacing w:val="-12"/>
                <w:sz w:val="17"/>
                <w:szCs w:val="17"/>
              </w:rPr>
              <w:t>)</w:t>
            </w:r>
          </w:p>
        </w:tc>
        <w:tc>
          <w:tcPr>
            <w:tcW w:w="1560" w:type="dxa"/>
            <w:tcBorders>
              <w:top w:val="single" w:color="000000" w:sz="4" w:space="0"/>
              <w:left w:val="single" w:color="000000" w:sz="4" w:space="0"/>
              <w:bottom w:val="single" w:color="000000" w:sz="4" w:space="0"/>
              <w:right w:val="single" w:color="000000" w:sz="4" w:space="0"/>
            </w:tcBorders>
            <w:vAlign w:val="top"/>
          </w:tcPr>
          <w:p w14:paraId="107CDD91">
            <w:pPr>
              <w:pStyle w:val="6"/>
              <w:spacing w:before="286" w:line="214" w:lineRule="auto"/>
              <w:ind w:left="384"/>
              <w:rPr>
                <w:sz w:val="17"/>
                <w:szCs w:val="17"/>
              </w:rPr>
            </w:pPr>
            <w:r>
              <w:rPr>
                <w:spacing w:val="10"/>
                <w:sz w:val="17"/>
                <w:szCs w:val="17"/>
              </w:rPr>
              <w:t>焓(</w:t>
            </w:r>
            <w:r>
              <w:rPr>
                <w:sz w:val="17"/>
                <w:szCs w:val="17"/>
              </w:rPr>
              <w:t>KJ</w:t>
            </w:r>
            <w:r>
              <w:rPr>
                <w:spacing w:val="10"/>
                <w:sz w:val="17"/>
                <w:szCs w:val="17"/>
              </w:rPr>
              <w:t>/</w:t>
            </w:r>
            <w:r>
              <w:rPr>
                <w:sz w:val="17"/>
                <w:szCs w:val="17"/>
              </w:rPr>
              <w:t>kg</w:t>
            </w:r>
            <w:r>
              <w:rPr>
                <w:spacing w:val="10"/>
                <w:sz w:val="17"/>
                <w:szCs w:val="17"/>
              </w:rPr>
              <w:t>)</w:t>
            </w:r>
          </w:p>
        </w:tc>
        <w:tc>
          <w:tcPr>
            <w:tcW w:w="1570" w:type="dxa"/>
            <w:tcBorders>
              <w:top w:val="single" w:color="000000" w:sz="4" w:space="0"/>
              <w:left w:val="single" w:color="000000" w:sz="4" w:space="0"/>
              <w:bottom w:val="single" w:color="000000" w:sz="4" w:space="0"/>
              <w:right w:val="single" w:color="000000" w:sz="4" w:space="0"/>
            </w:tcBorders>
            <w:vAlign w:val="top"/>
          </w:tcPr>
          <w:p w14:paraId="2D06DFE9">
            <w:pPr>
              <w:pStyle w:val="6"/>
              <w:spacing w:before="292" w:line="219" w:lineRule="auto"/>
              <w:ind w:left="295"/>
              <w:rPr>
                <w:sz w:val="17"/>
                <w:szCs w:val="17"/>
              </w:rPr>
            </w:pPr>
            <w:r>
              <w:rPr>
                <w:spacing w:val="-10"/>
                <w:sz w:val="17"/>
                <w:szCs w:val="17"/>
              </w:rPr>
              <w:t>压</w:t>
            </w:r>
            <w:r>
              <w:rPr>
                <w:spacing w:val="-32"/>
                <w:sz w:val="17"/>
                <w:szCs w:val="17"/>
              </w:rPr>
              <w:t xml:space="preserve"> </w:t>
            </w:r>
            <w:r>
              <w:rPr>
                <w:spacing w:val="-10"/>
                <w:sz w:val="17"/>
                <w:szCs w:val="17"/>
              </w:rPr>
              <w:t>力 (</w:t>
            </w:r>
            <w:r>
              <w:rPr>
                <w:spacing w:val="-43"/>
                <w:sz w:val="17"/>
                <w:szCs w:val="17"/>
              </w:rPr>
              <w:t xml:space="preserve"> </w:t>
            </w:r>
            <w:r>
              <w:rPr>
                <w:spacing w:val="-10"/>
                <w:sz w:val="17"/>
                <w:szCs w:val="17"/>
              </w:rPr>
              <w:t>M</w:t>
            </w:r>
            <w:r>
              <w:rPr>
                <w:spacing w:val="-41"/>
                <w:sz w:val="17"/>
                <w:szCs w:val="17"/>
              </w:rPr>
              <w:t xml:space="preserve"> </w:t>
            </w:r>
            <w:r>
              <w:rPr>
                <w:spacing w:val="-10"/>
                <w:sz w:val="17"/>
                <w:szCs w:val="17"/>
              </w:rPr>
              <w:t>P</w:t>
            </w:r>
            <w:r>
              <w:rPr>
                <w:spacing w:val="-38"/>
                <w:sz w:val="17"/>
                <w:szCs w:val="17"/>
              </w:rPr>
              <w:t xml:space="preserve"> </w:t>
            </w:r>
            <w:r>
              <w:rPr>
                <w:spacing w:val="-10"/>
                <w:sz w:val="17"/>
                <w:szCs w:val="17"/>
              </w:rPr>
              <w:t>a</w:t>
            </w:r>
            <w:r>
              <w:rPr>
                <w:spacing w:val="-38"/>
                <w:sz w:val="17"/>
                <w:szCs w:val="17"/>
              </w:rPr>
              <w:t xml:space="preserve"> </w:t>
            </w:r>
            <w:r>
              <w:rPr>
                <w:spacing w:val="-10"/>
                <w:sz w:val="17"/>
                <w:szCs w:val="17"/>
              </w:rPr>
              <w:t>)</w:t>
            </w:r>
          </w:p>
        </w:tc>
        <w:tc>
          <w:tcPr>
            <w:tcW w:w="1580" w:type="dxa"/>
            <w:tcBorders>
              <w:top w:val="single" w:color="000000" w:sz="4" w:space="0"/>
              <w:left w:val="single" w:color="000000" w:sz="4" w:space="0"/>
              <w:bottom w:val="single" w:color="000000" w:sz="4" w:space="0"/>
              <w:right w:val="single" w:color="000000" w:sz="4" w:space="0"/>
            </w:tcBorders>
            <w:vAlign w:val="top"/>
          </w:tcPr>
          <w:p w14:paraId="2906328A">
            <w:pPr>
              <w:pStyle w:val="6"/>
              <w:spacing w:before="292" w:line="220" w:lineRule="auto"/>
              <w:ind w:left="445"/>
              <w:rPr>
                <w:sz w:val="17"/>
                <w:szCs w:val="17"/>
              </w:rPr>
            </w:pPr>
            <w:r>
              <w:rPr>
                <w:spacing w:val="7"/>
                <w:sz w:val="17"/>
                <w:szCs w:val="17"/>
              </w:rPr>
              <w:t>温度(℃)</w:t>
            </w:r>
          </w:p>
        </w:tc>
        <w:tc>
          <w:tcPr>
            <w:tcW w:w="1560" w:type="dxa"/>
            <w:tcBorders>
              <w:top w:val="single" w:color="000000" w:sz="4" w:space="0"/>
              <w:left w:val="single" w:color="000000" w:sz="4" w:space="0"/>
              <w:bottom w:val="single" w:color="000000" w:sz="4" w:space="0"/>
            </w:tcBorders>
            <w:vAlign w:val="top"/>
          </w:tcPr>
          <w:p w14:paraId="6600F274">
            <w:pPr>
              <w:pStyle w:val="6"/>
              <w:spacing w:before="286" w:line="214" w:lineRule="auto"/>
              <w:ind w:left="385"/>
              <w:rPr>
                <w:sz w:val="17"/>
                <w:szCs w:val="17"/>
              </w:rPr>
            </w:pPr>
            <w:r>
              <w:rPr>
                <w:spacing w:val="10"/>
                <w:sz w:val="17"/>
                <w:szCs w:val="17"/>
              </w:rPr>
              <w:t>焓(</w:t>
            </w:r>
            <w:r>
              <w:rPr>
                <w:sz w:val="17"/>
                <w:szCs w:val="17"/>
              </w:rPr>
              <w:t>KJ</w:t>
            </w:r>
            <w:r>
              <w:rPr>
                <w:spacing w:val="10"/>
                <w:sz w:val="17"/>
                <w:szCs w:val="17"/>
              </w:rPr>
              <w:t>/</w:t>
            </w:r>
            <w:r>
              <w:rPr>
                <w:sz w:val="17"/>
                <w:szCs w:val="17"/>
              </w:rPr>
              <w:t>kg</w:t>
            </w:r>
            <w:r>
              <w:rPr>
                <w:spacing w:val="10"/>
                <w:sz w:val="17"/>
                <w:szCs w:val="17"/>
              </w:rPr>
              <w:t>)</w:t>
            </w:r>
          </w:p>
        </w:tc>
      </w:tr>
      <w:tr w14:paraId="2FD82FB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55" w:hRule="atLeast"/>
        </w:trPr>
        <w:tc>
          <w:tcPr>
            <w:tcW w:w="1530" w:type="dxa"/>
            <w:tcBorders>
              <w:top w:val="single" w:color="000000" w:sz="4" w:space="0"/>
              <w:right w:val="single" w:color="000000" w:sz="4" w:space="0"/>
            </w:tcBorders>
            <w:vAlign w:val="top"/>
          </w:tcPr>
          <w:p w14:paraId="0235B3FF">
            <w:pPr>
              <w:pStyle w:val="6"/>
              <w:spacing w:before="140" w:line="184" w:lineRule="auto"/>
              <w:ind w:left="550"/>
              <w:rPr>
                <w:sz w:val="17"/>
                <w:szCs w:val="17"/>
              </w:rPr>
            </w:pPr>
            <w:r>
              <w:rPr>
                <w:spacing w:val="-2"/>
                <w:sz w:val="17"/>
                <w:szCs w:val="17"/>
              </w:rPr>
              <w:t>0.001</w:t>
            </w:r>
          </w:p>
        </w:tc>
        <w:tc>
          <w:tcPr>
            <w:tcW w:w="1590" w:type="dxa"/>
            <w:tcBorders>
              <w:top w:val="single" w:color="000000" w:sz="4" w:space="0"/>
              <w:left w:val="single" w:color="000000" w:sz="4" w:space="0"/>
              <w:right w:val="single" w:color="000000" w:sz="4" w:space="0"/>
            </w:tcBorders>
            <w:vAlign w:val="top"/>
          </w:tcPr>
          <w:p w14:paraId="2FE4A429">
            <w:pPr>
              <w:pStyle w:val="6"/>
              <w:spacing w:before="151" w:line="183" w:lineRule="auto"/>
              <w:ind w:left="725"/>
              <w:rPr>
                <w:sz w:val="17"/>
                <w:szCs w:val="17"/>
              </w:rPr>
            </w:pPr>
            <w:r>
              <w:rPr>
                <w:spacing w:val="-2"/>
                <w:sz w:val="17"/>
                <w:szCs w:val="17"/>
              </w:rPr>
              <w:t>6.98</w:t>
            </w:r>
          </w:p>
        </w:tc>
        <w:tc>
          <w:tcPr>
            <w:tcW w:w="1560" w:type="dxa"/>
            <w:tcBorders>
              <w:top w:val="single" w:color="000000" w:sz="4" w:space="0"/>
              <w:left w:val="single" w:color="000000" w:sz="4" w:space="0"/>
              <w:right w:val="single" w:color="000000" w:sz="4" w:space="0"/>
            </w:tcBorders>
            <w:vAlign w:val="top"/>
          </w:tcPr>
          <w:p w14:paraId="2C68DAE0">
            <w:pPr>
              <w:pStyle w:val="6"/>
              <w:spacing w:before="140" w:line="184" w:lineRule="auto"/>
              <w:ind w:left="515"/>
              <w:rPr>
                <w:sz w:val="17"/>
                <w:szCs w:val="17"/>
              </w:rPr>
            </w:pPr>
            <w:r>
              <w:rPr>
                <w:spacing w:val="-2"/>
                <w:sz w:val="17"/>
                <w:szCs w:val="17"/>
              </w:rPr>
              <w:t>2513.8</w:t>
            </w:r>
          </w:p>
        </w:tc>
        <w:tc>
          <w:tcPr>
            <w:tcW w:w="1570" w:type="dxa"/>
            <w:tcBorders>
              <w:top w:val="single" w:color="000000" w:sz="4" w:space="0"/>
              <w:left w:val="single" w:color="000000" w:sz="4" w:space="0"/>
              <w:right w:val="single" w:color="000000" w:sz="4" w:space="0"/>
            </w:tcBorders>
            <w:vAlign w:val="top"/>
          </w:tcPr>
          <w:p w14:paraId="23655ADD">
            <w:pPr>
              <w:pStyle w:val="6"/>
              <w:spacing w:before="150" w:line="184" w:lineRule="auto"/>
              <w:ind w:left="745"/>
              <w:rPr>
                <w:sz w:val="17"/>
                <w:szCs w:val="17"/>
              </w:rPr>
            </w:pPr>
            <w:r>
              <w:rPr>
                <w:spacing w:val="-5"/>
                <w:sz w:val="17"/>
                <w:szCs w:val="17"/>
              </w:rPr>
              <w:t>1.0</w:t>
            </w:r>
          </w:p>
        </w:tc>
        <w:tc>
          <w:tcPr>
            <w:tcW w:w="1580" w:type="dxa"/>
            <w:tcBorders>
              <w:top w:val="single" w:color="000000" w:sz="4" w:space="0"/>
              <w:left w:val="single" w:color="000000" w:sz="4" w:space="0"/>
              <w:right w:val="single" w:color="000000" w:sz="4" w:space="0"/>
            </w:tcBorders>
            <w:vAlign w:val="top"/>
          </w:tcPr>
          <w:p w14:paraId="1F7EA698">
            <w:pPr>
              <w:pStyle w:val="6"/>
              <w:spacing w:before="140" w:line="184" w:lineRule="auto"/>
              <w:ind w:left="525"/>
              <w:rPr>
                <w:sz w:val="17"/>
                <w:szCs w:val="17"/>
              </w:rPr>
            </w:pPr>
            <w:r>
              <w:rPr>
                <w:spacing w:val="-3"/>
                <w:sz w:val="17"/>
                <w:szCs w:val="17"/>
              </w:rPr>
              <w:t>179.88</w:t>
            </w:r>
          </w:p>
        </w:tc>
        <w:tc>
          <w:tcPr>
            <w:tcW w:w="1560" w:type="dxa"/>
            <w:tcBorders>
              <w:top w:val="single" w:color="000000" w:sz="4" w:space="0"/>
              <w:left w:val="single" w:color="000000" w:sz="4" w:space="0"/>
            </w:tcBorders>
            <w:vAlign w:val="top"/>
          </w:tcPr>
          <w:p w14:paraId="2BC304A8">
            <w:pPr>
              <w:pStyle w:val="6"/>
              <w:spacing w:before="141" w:line="183" w:lineRule="auto"/>
              <w:ind w:left="514"/>
              <w:rPr>
                <w:sz w:val="17"/>
                <w:szCs w:val="17"/>
              </w:rPr>
            </w:pPr>
            <w:r>
              <w:rPr>
                <w:spacing w:val="-2"/>
                <w:sz w:val="17"/>
                <w:szCs w:val="17"/>
              </w:rPr>
              <w:t>2777.0</w:t>
            </w:r>
          </w:p>
        </w:tc>
      </w:tr>
      <w:tr w14:paraId="47CF8BE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14" w:hRule="atLeast"/>
        </w:trPr>
        <w:tc>
          <w:tcPr>
            <w:tcW w:w="1530" w:type="dxa"/>
            <w:tcBorders>
              <w:right w:val="single" w:color="000000" w:sz="4" w:space="0"/>
            </w:tcBorders>
            <w:vAlign w:val="top"/>
          </w:tcPr>
          <w:p w14:paraId="4C7C5664">
            <w:pPr>
              <w:pStyle w:val="6"/>
              <w:spacing w:before="86" w:line="183" w:lineRule="auto"/>
              <w:ind w:left="550"/>
              <w:rPr>
                <w:sz w:val="17"/>
                <w:szCs w:val="17"/>
              </w:rPr>
            </w:pPr>
            <w:r>
              <w:rPr>
                <w:spacing w:val="-2"/>
                <w:sz w:val="17"/>
                <w:szCs w:val="17"/>
              </w:rPr>
              <w:t>0.002</w:t>
            </w:r>
          </w:p>
        </w:tc>
        <w:tc>
          <w:tcPr>
            <w:tcW w:w="1590" w:type="dxa"/>
            <w:tcBorders>
              <w:left w:val="single" w:color="000000" w:sz="4" w:space="0"/>
              <w:right w:val="single" w:color="000000" w:sz="4" w:space="0"/>
            </w:tcBorders>
            <w:vAlign w:val="top"/>
          </w:tcPr>
          <w:p w14:paraId="1D20C466">
            <w:pPr>
              <w:pStyle w:val="6"/>
              <w:spacing w:before="105" w:line="184" w:lineRule="auto"/>
              <w:ind w:left="665"/>
              <w:rPr>
                <w:sz w:val="17"/>
                <w:szCs w:val="17"/>
              </w:rPr>
            </w:pPr>
            <w:r>
              <w:rPr>
                <w:spacing w:val="-4"/>
                <w:sz w:val="17"/>
                <w:szCs w:val="17"/>
              </w:rPr>
              <w:t>17.51</w:t>
            </w:r>
          </w:p>
        </w:tc>
        <w:tc>
          <w:tcPr>
            <w:tcW w:w="1560" w:type="dxa"/>
            <w:tcBorders>
              <w:left w:val="single" w:color="000000" w:sz="4" w:space="0"/>
              <w:right w:val="single" w:color="000000" w:sz="4" w:space="0"/>
            </w:tcBorders>
            <w:vAlign w:val="top"/>
          </w:tcPr>
          <w:p w14:paraId="004C4E4F">
            <w:pPr>
              <w:pStyle w:val="6"/>
              <w:spacing w:before="96" w:line="183" w:lineRule="auto"/>
              <w:ind w:left="515"/>
              <w:rPr>
                <w:sz w:val="17"/>
                <w:szCs w:val="17"/>
              </w:rPr>
            </w:pPr>
            <w:r>
              <w:rPr>
                <w:spacing w:val="-2"/>
                <w:sz w:val="17"/>
                <w:szCs w:val="17"/>
              </w:rPr>
              <w:t>2533.2</w:t>
            </w:r>
          </w:p>
        </w:tc>
        <w:tc>
          <w:tcPr>
            <w:tcW w:w="1570" w:type="dxa"/>
            <w:tcBorders>
              <w:left w:val="single" w:color="000000" w:sz="4" w:space="0"/>
              <w:right w:val="single" w:color="000000" w:sz="4" w:space="0"/>
            </w:tcBorders>
            <w:vAlign w:val="top"/>
          </w:tcPr>
          <w:p w14:paraId="6C6778B1">
            <w:pPr>
              <w:pStyle w:val="6"/>
              <w:spacing w:before="105" w:line="184" w:lineRule="auto"/>
              <w:ind w:left="745"/>
              <w:rPr>
                <w:sz w:val="17"/>
                <w:szCs w:val="17"/>
              </w:rPr>
            </w:pPr>
            <w:r>
              <w:rPr>
                <w:spacing w:val="-5"/>
                <w:sz w:val="17"/>
                <w:szCs w:val="17"/>
              </w:rPr>
              <w:t>1.1</w:t>
            </w:r>
          </w:p>
        </w:tc>
        <w:tc>
          <w:tcPr>
            <w:tcW w:w="1580" w:type="dxa"/>
            <w:tcBorders>
              <w:left w:val="single" w:color="000000" w:sz="4" w:space="0"/>
              <w:right w:val="single" w:color="000000" w:sz="4" w:space="0"/>
            </w:tcBorders>
            <w:vAlign w:val="top"/>
          </w:tcPr>
          <w:p w14:paraId="1415C316">
            <w:pPr>
              <w:pStyle w:val="6"/>
              <w:spacing w:before="95" w:line="184" w:lineRule="auto"/>
              <w:ind w:left="525"/>
              <w:rPr>
                <w:sz w:val="17"/>
                <w:szCs w:val="17"/>
              </w:rPr>
            </w:pPr>
            <w:r>
              <w:rPr>
                <w:spacing w:val="-3"/>
                <w:sz w:val="17"/>
                <w:szCs w:val="17"/>
              </w:rPr>
              <w:t>184.06</w:t>
            </w:r>
          </w:p>
        </w:tc>
        <w:tc>
          <w:tcPr>
            <w:tcW w:w="1560" w:type="dxa"/>
            <w:tcBorders>
              <w:left w:val="single" w:color="000000" w:sz="4" w:space="0"/>
            </w:tcBorders>
            <w:vAlign w:val="top"/>
          </w:tcPr>
          <w:p w14:paraId="5D14980D">
            <w:pPr>
              <w:pStyle w:val="6"/>
              <w:spacing w:before="96" w:line="183" w:lineRule="auto"/>
              <w:ind w:left="514"/>
              <w:rPr>
                <w:sz w:val="17"/>
                <w:szCs w:val="17"/>
              </w:rPr>
            </w:pPr>
            <w:r>
              <w:rPr>
                <w:spacing w:val="-2"/>
                <w:sz w:val="17"/>
                <w:szCs w:val="17"/>
              </w:rPr>
              <w:t>2780.4</w:t>
            </w:r>
          </w:p>
        </w:tc>
      </w:tr>
      <w:tr w14:paraId="3A973B1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10" w:hRule="atLeast"/>
        </w:trPr>
        <w:tc>
          <w:tcPr>
            <w:tcW w:w="1530" w:type="dxa"/>
            <w:tcBorders>
              <w:right w:val="single" w:color="000000" w:sz="4" w:space="0"/>
            </w:tcBorders>
            <w:vAlign w:val="top"/>
          </w:tcPr>
          <w:p w14:paraId="563D00E1">
            <w:pPr>
              <w:pStyle w:val="6"/>
              <w:spacing w:before="92" w:line="183" w:lineRule="auto"/>
              <w:ind w:left="550"/>
              <w:rPr>
                <w:sz w:val="17"/>
                <w:szCs w:val="17"/>
              </w:rPr>
            </w:pPr>
            <w:r>
              <w:rPr>
                <w:spacing w:val="-2"/>
                <w:sz w:val="17"/>
                <w:szCs w:val="17"/>
              </w:rPr>
              <w:t>0.003</w:t>
            </w:r>
          </w:p>
        </w:tc>
        <w:tc>
          <w:tcPr>
            <w:tcW w:w="1590" w:type="dxa"/>
            <w:tcBorders>
              <w:left w:val="single" w:color="000000" w:sz="4" w:space="0"/>
              <w:right w:val="single" w:color="000000" w:sz="4" w:space="0"/>
            </w:tcBorders>
            <w:vAlign w:val="top"/>
          </w:tcPr>
          <w:p w14:paraId="42135F0D">
            <w:pPr>
              <w:pStyle w:val="6"/>
              <w:spacing w:before="101" w:line="184" w:lineRule="auto"/>
              <w:ind w:left="575"/>
              <w:rPr>
                <w:sz w:val="17"/>
                <w:szCs w:val="17"/>
              </w:rPr>
            </w:pPr>
            <w:r>
              <w:rPr>
                <w:spacing w:val="-2"/>
                <w:sz w:val="17"/>
                <w:szCs w:val="17"/>
              </w:rPr>
              <w:t>24.10</w:t>
            </w:r>
          </w:p>
        </w:tc>
        <w:tc>
          <w:tcPr>
            <w:tcW w:w="1560" w:type="dxa"/>
            <w:tcBorders>
              <w:left w:val="single" w:color="000000" w:sz="4" w:space="0"/>
              <w:right w:val="single" w:color="000000" w:sz="4" w:space="0"/>
            </w:tcBorders>
            <w:vAlign w:val="top"/>
          </w:tcPr>
          <w:p w14:paraId="65DA0C84">
            <w:pPr>
              <w:pStyle w:val="6"/>
              <w:spacing w:before="92" w:line="183" w:lineRule="auto"/>
              <w:ind w:left="515"/>
              <w:rPr>
                <w:sz w:val="17"/>
                <w:szCs w:val="17"/>
              </w:rPr>
            </w:pPr>
            <w:r>
              <w:rPr>
                <w:spacing w:val="-2"/>
                <w:sz w:val="17"/>
                <w:szCs w:val="17"/>
              </w:rPr>
              <w:t>2545.2</w:t>
            </w:r>
          </w:p>
        </w:tc>
        <w:tc>
          <w:tcPr>
            <w:tcW w:w="1570" w:type="dxa"/>
            <w:tcBorders>
              <w:left w:val="single" w:color="000000" w:sz="4" w:space="0"/>
              <w:right w:val="single" w:color="000000" w:sz="4" w:space="0"/>
            </w:tcBorders>
            <w:vAlign w:val="top"/>
          </w:tcPr>
          <w:p w14:paraId="2D514785">
            <w:pPr>
              <w:pStyle w:val="6"/>
              <w:spacing w:before="111" w:line="184" w:lineRule="auto"/>
              <w:ind w:left="745"/>
              <w:rPr>
                <w:sz w:val="17"/>
                <w:szCs w:val="17"/>
              </w:rPr>
            </w:pPr>
            <w:r>
              <w:rPr>
                <w:spacing w:val="-5"/>
                <w:sz w:val="17"/>
                <w:szCs w:val="17"/>
              </w:rPr>
              <w:t>1.2</w:t>
            </w:r>
          </w:p>
        </w:tc>
        <w:tc>
          <w:tcPr>
            <w:tcW w:w="1580" w:type="dxa"/>
            <w:tcBorders>
              <w:left w:val="single" w:color="000000" w:sz="4" w:space="0"/>
              <w:right w:val="single" w:color="000000" w:sz="4" w:space="0"/>
            </w:tcBorders>
            <w:vAlign w:val="top"/>
          </w:tcPr>
          <w:p w14:paraId="7EE20E91">
            <w:pPr>
              <w:pStyle w:val="6"/>
              <w:spacing w:before="92" w:line="184" w:lineRule="auto"/>
              <w:ind w:left="525"/>
              <w:rPr>
                <w:sz w:val="17"/>
                <w:szCs w:val="17"/>
              </w:rPr>
            </w:pPr>
            <w:r>
              <w:rPr>
                <w:spacing w:val="-3"/>
                <w:sz w:val="17"/>
                <w:szCs w:val="17"/>
              </w:rPr>
              <w:t>187.96</w:t>
            </w:r>
          </w:p>
        </w:tc>
        <w:tc>
          <w:tcPr>
            <w:tcW w:w="1560" w:type="dxa"/>
            <w:tcBorders>
              <w:left w:val="single" w:color="000000" w:sz="4" w:space="0"/>
            </w:tcBorders>
            <w:vAlign w:val="top"/>
          </w:tcPr>
          <w:p w14:paraId="1BC030B1">
            <w:pPr>
              <w:pStyle w:val="6"/>
              <w:spacing w:before="92" w:line="183" w:lineRule="auto"/>
              <w:ind w:left="514"/>
              <w:rPr>
                <w:sz w:val="17"/>
                <w:szCs w:val="17"/>
              </w:rPr>
            </w:pPr>
            <w:r>
              <w:rPr>
                <w:spacing w:val="-2"/>
                <w:sz w:val="17"/>
                <w:szCs w:val="17"/>
              </w:rPr>
              <w:t>2783.4</w:t>
            </w:r>
          </w:p>
        </w:tc>
      </w:tr>
      <w:tr w14:paraId="6400490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20" w:hRule="atLeast"/>
        </w:trPr>
        <w:tc>
          <w:tcPr>
            <w:tcW w:w="1530" w:type="dxa"/>
            <w:tcBorders>
              <w:right w:val="single" w:color="000000" w:sz="4" w:space="0"/>
            </w:tcBorders>
            <w:vAlign w:val="top"/>
          </w:tcPr>
          <w:p w14:paraId="68FFFC7D">
            <w:pPr>
              <w:pStyle w:val="6"/>
              <w:spacing w:before="82" w:line="183" w:lineRule="auto"/>
              <w:ind w:left="550"/>
              <w:rPr>
                <w:sz w:val="17"/>
                <w:szCs w:val="17"/>
              </w:rPr>
            </w:pPr>
            <w:r>
              <w:rPr>
                <w:spacing w:val="-2"/>
                <w:sz w:val="17"/>
                <w:szCs w:val="17"/>
              </w:rPr>
              <w:t>0.004</w:t>
            </w:r>
          </w:p>
        </w:tc>
        <w:tc>
          <w:tcPr>
            <w:tcW w:w="1590" w:type="dxa"/>
            <w:tcBorders>
              <w:left w:val="single" w:color="000000" w:sz="4" w:space="0"/>
              <w:right w:val="single" w:color="000000" w:sz="4" w:space="0"/>
            </w:tcBorders>
            <w:vAlign w:val="top"/>
          </w:tcPr>
          <w:p w14:paraId="710E6615">
            <w:pPr>
              <w:pStyle w:val="6"/>
              <w:spacing w:before="112" w:line="183" w:lineRule="auto"/>
              <w:ind w:left="575"/>
              <w:rPr>
                <w:sz w:val="17"/>
                <w:szCs w:val="17"/>
              </w:rPr>
            </w:pPr>
            <w:r>
              <w:rPr>
                <w:spacing w:val="-2"/>
                <w:sz w:val="17"/>
                <w:szCs w:val="17"/>
              </w:rPr>
              <w:t>28.98</w:t>
            </w:r>
          </w:p>
        </w:tc>
        <w:tc>
          <w:tcPr>
            <w:tcW w:w="1560" w:type="dxa"/>
            <w:tcBorders>
              <w:left w:val="single" w:color="000000" w:sz="4" w:space="0"/>
              <w:right w:val="single" w:color="000000" w:sz="4" w:space="0"/>
            </w:tcBorders>
            <w:vAlign w:val="top"/>
          </w:tcPr>
          <w:p w14:paraId="42BED97B">
            <w:pPr>
              <w:pStyle w:val="6"/>
              <w:spacing w:before="111" w:line="184" w:lineRule="auto"/>
              <w:ind w:left="515"/>
              <w:rPr>
                <w:sz w:val="17"/>
                <w:szCs w:val="17"/>
              </w:rPr>
            </w:pPr>
            <w:r>
              <w:rPr>
                <w:spacing w:val="-2"/>
                <w:sz w:val="17"/>
                <w:szCs w:val="17"/>
              </w:rPr>
              <w:t>2554.1</w:t>
            </w:r>
          </w:p>
        </w:tc>
        <w:tc>
          <w:tcPr>
            <w:tcW w:w="1570" w:type="dxa"/>
            <w:tcBorders>
              <w:left w:val="single" w:color="000000" w:sz="4" w:space="0"/>
              <w:right w:val="single" w:color="000000" w:sz="4" w:space="0"/>
            </w:tcBorders>
            <w:vAlign w:val="top"/>
          </w:tcPr>
          <w:p w14:paraId="5F09388F">
            <w:pPr>
              <w:pStyle w:val="6"/>
              <w:spacing w:before="111" w:line="184" w:lineRule="auto"/>
              <w:ind w:left="645"/>
              <w:rPr>
                <w:sz w:val="17"/>
                <w:szCs w:val="17"/>
              </w:rPr>
            </w:pPr>
            <w:r>
              <w:rPr>
                <w:spacing w:val="-5"/>
                <w:sz w:val="17"/>
                <w:szCs w:val="17"/>
              </w:rPr>
              <w:t>1.3</w:t>
            </w:r>
          </w:p>
        </w:tc>
        <w:tc>
          <w:tcPr>
            <w:tcW w:w="1580" w:type="dxa"/>
            <w:tcBorders>
              <w:left w:val="single" w:color="000000" w:sz="4" w:space="0"/>
              <w:right w:val="single" w:color="000000" w:sz="4" w:space="0"/>
            </w:tcBorders>
            <w:vAlign w:val="top"/>
          </w:tcPr>
          <w:p w14:paraId="516E65D5">
            <w:pPr>
              <w:pStyle w:val="6"/>
              <w:spacing w:before="111" w:line="184" w:lineRule="auto"/>
              <w:ind w:left="525"/>
              <w:rPr>
                <w:sz w:val="17"/>
                <w:szCs w:val="17"/>
              </w:rPr>
            </w:pPr>
            <w:r>
              <w:rPr>
                <w:spacing w:val="-3"/>
                <w:sz w:val="17"/>
                <w:szCs w:val="17"/>
              </w:rPr>
              <w:t>191.60</w:t>
            </w:r>
          </w:p>
        </w:tc>
        <w:tc>
          <w:tcPr>
            <w:tcW w:w="1560" w:type="dxa"/>
            <w:tcBorders>
              <w:left w:val="single" w:color="000000" w:sz="4" w:space="0"/>
            </w:tcBorders>
            <w:vAlign w:val="top"/>
          </w:tcPr>
          <w:p w14:paraId="3DF7389E">
            <w:pPr>
              <w:pStyle w:val="6"/>
              <w:spacing w:before="112" w:line="183" w:lineRule="auto"/>
              <w:ind w:left="514"/>
              <w:rPr>
                <w:sz w:val="17"/>
                <w:szCs w:val="17"/>
              </w:rPr>
            </w:pPr>
            <w:r>
              <w:rPr>
                <w:spacing w:val="-2"/>
                <w:sz w:val="17"/>
                <w:szCs w:val="17"/>
              </w:rPr>
              <w:t>2786.0</w:t>
            </w:r>
          </w:p>
        </w:tc>
      </w:tr>
      <w:tr w14:paraId="71E4BD3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5" w:hRule="atLeast"/>
        </w:trPr>
        <w:tc>
          <w:tcPr>
            <w:tcW w:w="1530" w:type="dxa"/>
            <w:tcBorders>
              <w:right w:val="single" w:color="000000" w:sz="4" w:space="0"/>
            </w:tcBorders>
            <w:vAlign w:val="top"/>
          </w:tcPr>
          <w:p w14:paraId="28B35AB4">
            <w:pPr>
              <w:pStyle w:val="6"/>
              <w:spacing w:before="92" w:line="183" w:lineRule="auto"/>
              <w:ind w:left="550"/>
              <w:rPr>
                <w:sz w:val="17"/>
                <w:szCs w:val="17"/>
              </w:rPr>
            </w:pPr>
            <w:r>
              <w:rPr>
                <w:spacing w:val="-2"/>
                <w:sz w:val="17"/>
                <w:szCs w:val="17"/>
              </w:rPr>
              <w:t>0.005</w:t>
            </w:r>
          </w:p>
        </w:tc>
        <w:tc>
          <w:tcPr>
            <w:tcW w:w="1590" w:type="dxa"/>
            <w:tcBorders>
              <w:left w:val="single" w:color="000000" w:sz="4" w:space="0"/>
              <w:right w:val="single" w:color="000000" w:sz="4" w:space="0"/>
            </w:tcBorders>
            <w:vAlign w:val="top"/>
          </w:tcPr>
          <w:p w14:paraId="7BDC083B">
            <w:pPr>
              <w:pStyle w:val="6"/>
              <w:spacing w:before="102" w:line="183" w:lineRule="auto"/>
              <w:ind w:left="575"/>
              <w:rPr>
                <w:sz w:val="17"/>
                <w:szCs w:val="17"/>
              </w:rPr>
            </w:pPr>
            <w:r>
              <w:rPr>
                <w:spacing w:val="-2"/>
                <w:sz w:val="17"/>
                <w:szCs w:val="17"/>
              </w:rPr>
              <w:t>32.90</w:t>
            </w:r>
          </w:p>
        </w:tc>
        <w:tc>
          <w:tcPr>
            <w:tcW w:w="1560" w:type="dxa"/>
            <w:tcBorders>
              <w:left w:val="single" w:color="000000" w:sz="4" w:space="0"/>
              <w:right w:val="single" w:color="000000" w:sz="4" w:space="0"/>
            </w:tcBorders>
            <w:vAlign w:val="top"/>
          </w:tcPr>
          <w:p w14:paraId="010E8545">
            <w:pPr>
              <w:pStyle w:val="6"/>
              <w:spacing w:before="101" w:line="184" w:lineRule="auto"/>
              <w:ind w:left="515"/>
              <w:rPr>
                <w:sz w:val="17"/>
                <w:szCs w:val="17"/>
              </w:rPr>
            </w:pPr>
            <w:r>
              <w:rPr>
                <w:spacing w:val="-2"/>
                <w:sz w:val="17"/>
                <w:szCs w:val="17"/>
              </w:rPr>
              <w:t>2561.2</w:t>
            </w:r>
          </w:p>
        </w:tc>
        <w:tc>
          <w:tcPr>
            <w:tcW w:w="1570" w:type="dxa"/>
            <w:tcBorders>
              <w:left w:val="single" w:color="000000" w:sz="4" w:space="0"/>
              <w:right w:val="single" w:color="000000" w:sz="4" w:space="0"/>
            </w:tcBorders>
            <w:vAlign w:val="top"/>
          </w:tcPr>
          <w:p w14:paraId="79099C97">
            <w:pPr>
              <w:pStyle w:val="6"/>
              <w:spacing w:before="101" w:line="184" w:lineRule="auto"/>
              <w:ind w:left="645"/>
              <w:rPr>
                <w:sz w:val="17"/>
                <w:szCs w:val="17"/>
              </w:rPr>
            </w:pPr>
            <w:r>
              <w:rPr>
                <w:spacing w:val="-5"/>
                <w:sz w:val="17"/>
                <w:szCs w:val="17"/>
              </w:rPr>
              <w:t>1.4</w:t>
            </w:r>
          </w:p>
        </w:tc>
        <w:tc>
          <w:tcPr>
            <w:tcW w:w="1580" w:type="dxa"/>
            <w:tcBorders>
              <w:left w:val="single" w:color="000000" w:sz="4" w:space="0"/>
              <w:right w:val="single" w:color="000000" w:sz="4" w:space="0"/>
            </w:tcBorders>
            <w:vAlign w:val="top"/>
          </w:tcPr>
          <w:p w14:paraId="7823F994">
            <w:pPr>
              <w:pStyle w:val="6"/>
              <w:spacing w:before="101" w:line="184" w:lineRule="auto"/>
              <w:ind w:left="525"/>
              <w:rPr>
                <w:sz w:val="17"/>
                <w:szCs w:val="17"/>
              </w:rPr>
            </w:pPr>
            <w:r>
              <w:rPr>
                <w:spacing w:val="-3"/>
                <w:sz w:val="17"/>
                <w:szCs w:val="17"/>
              </w:rPr>
              <w:t>195.04</w:t>
            </w:r>
          </w:p>
        </w:tc>
        <w:tc>
          <w:tcPr>
            <w:tcW w:w="1560" w:type="dxa"/>
            <w:tcBorders>
              <w:left w:val="single" w:color="000000" w:sz="4" w:space="0"/>
            </w:tcBorders>
            <w:vAlign w:val="top"/>
          </w:tcPr>
          <w:p w14:paraId="3E72FF93">
            <w:pPr>
              <w:pStyle w:val="6"/>
              <w:spacing w:before="102" w:line="183" w:lineRule="auto"/>
              <w:ind w:left="514"/>
              <w:rPr>
                <w:sz w:val="17"/>
                <w:szCs w:val="17"/>
              </w:rPr>
            </w:pPr>
            <w:r>
              <w:rPr>
                <w:spacing w:val="-2"/>
                <w:sz w:val="17"/>
                <w:szCs w:val="17"/>
              </w:rPr>
              <w:t>2788.4</w:t>
            </w:r>
          </w:p>
        </w:tc>
      </w:tr>
      <w:tr w14:paraId="66C99D3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4" w:hRule="atLeast"/>
        </w:trPr>
        <w:tc>
          <w:tcPr>
            <w:tcW w:w="1530" w:type="dxa"/>
            <w:tcBorders>
              <w:right w:val="single" w:color="000000" w:sz="4" w:space="0"/>
            </w:tcBorders>
            <w:vAlign w:val="top"/>
          </w:tcPr>
          <w:p w14:paraId="4772BB57">
            <w:pPr>
              <w:pStyle w:val="6"/>
              <w:spacing w:before="87" w:line="183" w:lineRule="auto"/>
              <w:ind w:left="550"/>
              <w:rPr>
                <w:sz w:val="17"/>
                <w:szCs w:val="17"/>
              </w:rPr>
            </w:pPr>
            <w:r>
              <w:rPr>
                <w:spacing w:val="-2"/>
                <w:sz w:val="17"/>
                <w:szCs w:val="17"/>
              </w:rPr>
              <w:t>0.006</w:t>
            </w:r>
          </w:p>
        </w:tc>
        <w:tc>
          <w:tcPr>
            <w:tcW w:w="1590" w:type="dxa"/>
            <w:tcBorders>
              <w:left w:val="single" w:color="000000" w:sz="4" w:space="0"/>
              <w:right w:val="single" w:color="000000" w:sz="4" w:space="0"/>
            </w:tcBorders>
            <w:vAlign w:val="top"/>
          </w:tcPr>
          <w:p w14:paraId="4FC6683F">
            <w:pPr>
              <w:pStyle w:val="6"/>
              <w:spacing w:before="106" w:line="184" w:lineRule="auto"/>
              <w:ind w:left="575"/>
              <w:rPr>
                <w:sz w:val="17"/>
                <w:szCs w:val="17"/>
              </w:rPr>
            </w:pPr>
            <w:r>
              <w:rPr>
                <w:spacing w:val="-2"/>
                <w:sz w:val="17"/>
                <w:szCs w:val="17"/>
              </w:rPr>
              <w:t>36.18</w:t>
            </w:r>
          </w:p>
        </w:tc>
        <w:tc>
          <w:tcPr>
            <w:tcW w:w="1560" w:type="dxa"/>
            <w:tcBorders>
              <w:left w:val="single" w:color="000000" w:sz="4" w:space="0"/>
              <w:right w:val="single" w:color="000000" w:sz="4" w:space="0"/>
            </w:tcBorders>
            <w:vAlign w:val="top"/>
          </w:tcPr>
          <w:p w14:paraId="512ECB05">
            <w:pPr>
              <w:pStyle w:val="6"/>
              <w:spacing w:before="136" w:line="184" w:lineRule="auto"/>
              <w:ind w:left="515"/>
              <w:rPr>
                <w:sz w:val="17"/>
                <w:szCs w:val="17"/>
              </w:rPr>
            </w:pPr>
            <w:r>
              <w:rPr>
                <w:spacing w:val="-2"/>
                <w:sz w:val="17"/>
                <w:szCs w:val="17"/>
              </w:rPr>
              <w:t>2567.1</w:t>
            </w:r>
          </w:p>
        </w:tc>
        <w:tc>
          <w:tcPr>
            <w:tcW w:w="1570" w:type="dxa"/>
            <w:tcBorders>
              <w:left w:val="single" w:color="000000" w:sz="4" w:space="0"/>
              <w:right w:val="single" w:color="000000" w:sz="4" w:space="0"/>
            </w:tcBorders>
            <w:vAlign w:val="top"/>
          </w:tcPr>
          <w:p w14:paraId="6BBCBC51">
            <w:pPr>
              <w:pStyle w:val="6"/>
              <w:spacing w:before="106" w:line="184" w:lineRule="auto"/>
              <w:ind w:left="645"/>
              <w:rPr>
                <w:sz w:val="17"/>
                <w:szCs w:val="17"/>
              </w:rPr>
            </w:pPr>
            <w:r>
              <w:rPr>
                <w:spacing w:val="-5"/>
                <w:sz w:val="17"/>
                <w:szCs w:val="17"/>
              </w:rPr>
              <w:t>1.5</w:t>
            </w:r>
          </w:p>
        </w:tc>
        <w:tc>
          <w:tcPr>
            <w:tcW w:w="1580" w:type="dxa"/>
            <w:tcBorders>
              <w:left w:val="single" w:color="000000" w:sz="4" w:space="0"/>
              <w:right w:val="single" w:color="000000" w:sz="4" w:space="0"/>
            </w:tcBorders>
            <w:vAlign w:val="top"/>
          </w:tcPr>
          <w:p w14:paraId="4CE6B1F1">
            <w:pPr>
              <w:pStyle w:val="6"/>
              <w:spacing w:before="97" w:line="184" w:lineRule="auto"/>
              <w:ind w:left="525"/>
              <w:rPr>
                <w:sz w:val="17"/>
                <w:szCs w:val="17"/>
              </w:rPr>
            </w:pPr>
            <w:r>
              <w:rPr>
                <w:spacing w:val="-3"/>
                <w:sz w:val="17"/>
                <w:szCs w:val="17"/>
              </w:rPr>
              <w:t>198.28</w:t>
            </w:r>
          </w:p>
        </w:tc>
        <w:tc>
          <w:tcPr>
            <w:tcW w:w="1560" w:type="dxa"/>
            <w:tcBorders>
              <w:left w:val="single" w:color="000000" w:sz="4" w:space="0"/>
            </w:tcBorders>
            <w:vAlign w:val="top"/>
          </w:tcPr>
          <w:p w14:paraId="2B175C87">
            <w:pPr>
              <w:pStyle w:val="6"/>
              <w:spacing w:before="137" w:line="183" w:lineRule="auto"/>
              <w:ind w:left="514"/>
              <w:rPr>
                <w:sz w:val="17"/>
                <w:szCs w:val="17"/>
              </w:rPr>
            </w:pPr>
            <w:r>
              <w:rPr>
                <w:spacing w:val="-2"/>
                <w:sz w:val="17"/>
                <w:szCs w:val="17"/>
              </w:rPr>
              <w:t>2790.4</w:t>
            </w:r>
          </w:p>
        </w:tc>
      </w:tr>
      <w:tr w14:paraId="5CA03F4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5" w:hRule="atLeast"/>
        </w:trPr>
        <w:tc>
          <w:tcPr>
            <w:tcW w:w="1530" w:type="dxa"/>
            <w:tcBorders>
              <w:right w:val="single" w:color="000000" w:sz="4" w:space="0"/>
            </w:tcBorders>
            <w:vAlign w:val="top"/>
          </w:tcPr>
          <w:p w14:paraId="724FDC69">
            <w:pPr>
              <w:pStyle w:val="6"/>
              <w:spacing w:before="93" w:line="183" w:lineRule="auto"/>
              <w:ind w:left="550"/>
              <w:rPr>
                <w:sz w:val="17"/>
                <w:szCs w:val="17"/>
              </w:rPr>
            </w:pPr>
            <w:r>
              <w:rPr>
                <w:spacing w:val="-2"/>
                <w:sz w:val="17"/>
                <w:szCs w:val="17"/>
              </w:rPr>
              <w:t>0.007</w:t>
            </w:r>
          </w:p>
        </w:tc>
        <w:tc>
          <w:tcPr>
            <w:tcW w:w="1590" w:type="dxa"/>
            <w:tcBorders>
              <w:left w:val="single" w:color="000000" w:sz="4" w:space="0"/>
              <w:right w:val="single" w:color="000000" w:sz="4" w:space="0"/>
            </w:tcBorders>
            <w:vAlign w:val="top"/>
          </w:tcPr>
          <w:p w14:paraId="2C4BD861">
            <w:pPr>
              <w:pStyle w:val="6"/>
              <w:spacing w:before="103" w:line="183" w:lineRule="auto"/>
              <w:ind w:left="575"/>
              <w:rPr>
                <w:sz w:val="17"/>
                <w:szCs w:val="17"/>
              </w:rPr>
            </w:pPr>
            <w:r>
              <w:rPr>
                <w:spacing w:val="-2"/>
                <w:sz w:val="17"/>
                <w:szCs w:val="17"/>
              </w:rPr>
              <w:t>39.02</w:t>
            </w:r>
          </w:p>
        </w:tc>
        <w:tc>
          <w:tcPr>
            <w:tcW w:w="1560" w:type="dxa"/>
            <w:tcBorders>
              <w:left w:val="single" w:color="000000" w:sz="4" w:space="0"/>
              <w:right w:val="single" w:color="000000" w:sz="4" w:space="0"/>
            </w:tcBorders>
            <w:vAlign w:val="top"/>
          </w:tcPr>
          <w:p w14:paraId="01AA2316">
            <w:pPr>
              <w:pStyle w:val="6"/>
              <w:spacing w:before="83" w:line="183" w:lineRule="auto"/>
              <w:ind w:left="515"/>
              <w:rPr>
                <w:sz w:val="17"/>
                <w:szCs w:val="17"/>
              </w:rPr>
            </w:pPr>
            <w:r>
              <w:rPr>
                <w:spacing w:val="-2"/>
                <w:sz w:val="17"/>
                <w:szCs w:val="17"/>
              </w:rPr>
              <w:t>2572.2</w:t>
            </w:r>
          </w:p>
        </w:tc>
        <w:tc>
          <w:tcPr>
            <w:tcW w:w="1570" w:type="dxa"/>
            <w:tcBorders>
              <w:left w:val="single" w:color="000000" w:sz="4" w:space="0"/>
              <w:right w:val="single" w:color="000000" w:sz="4" w:space="0"/>
            </w:tcBorders>
            <w:vAlign w:val="top"/>
          </w:tcPr>
          <w:p w14:paraId="451A92DF">
            <w:pPr>
              <w:pStyle w:val="6"/>
              <w:spacing w:before="103" w:line="184" w:lineRule="auto"/>
              <w:ind w:left="645"/>
              <w:rPr>
                <w:sz w:val="17"/>
                <w:szCs w:val="17"/>
              </w:rPr>
            </w:pPr>
            <w:r>
              <w:rPr>
                <w:spacing w:val="-5"/>
                <w:sz w:val="17"/>
                <w:szCs w:val="17"/>
              </w:rPr>
              <w:t>1.6</w:t>
            </w:r>
          </w:p>
        </w:tc>
        <w:tc>
          <w:tcPr>
            <w:tcW w:w="1580" w:type="dxa"/>
            <w:tcBorders>
              <w:left w:val="single" w:color="000000" w:sz="4" w:space="0"/>
              <w:right w:val="single" w:color="000000" w:sz="4" w:space="0"/>
            </w:tcBorders>
            <w:vAlign w:val="top"/>
          </w:tcPr>
          <w:p w14:paraId="03E52684">
            <w:pPr>
              <w:pStyle w:val="6"/>
              <w:spacing w:before="82" w:line="184" w:lineRule="auto"/>
              <w:ind w:left="525"/>
              <w:rPr>
                <w:sz w:val="17"/>
                <w:szCs w:val="17"/>
              </w:rPr>
            </w:pPr>
            <w:r>
              <w:rPr>
                <w:spacing w:val="-2"/>
                <w:sz w:val="17"/>
                <w:szCs w:val="17"/>
              </w:rPr>
              <w:t>201.37</w:t>
            </w:r>
          </w:p>
        </w:tc>
        <w:tc>
          <w:tcPr>
            <w:tcW w:w="1560" w:type="dxa"/>
            <w:tcBorders>
              <w:left w:val="single" w:color="000000" w:sz="4" w:space="0"/>
            </w:tcBorders>
            <w:vAlign w:val="top"/>
          </w:tcPr>
          <w:p w14:paraId="61121EBD">
            <w:pPr>
              <w:pStyle w:val="6"/>
              <w:spacing w:before="83" w:line="183" w:lineRule="auto"/>
              <w:ind w:left="514"/>
              <w:rPr>
                <w:sz w:val="17"/>
                <w:szCs w:val="17"/>
              </w:rPr>
            </w:pPr>
            <w:r>
              <w:rPr>
                <w:spacing w:val="-2"/>
                <w:sz w:val="17"/>
                <w:szCs w:val="17"/>
              </w:rPr>
              <w:t>2792.2</w:t>
            </w:r>
          </w:p>
        </w:tc>
      </w:tr>
      <w:tr w14:paraId="3D1F9CC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10" w:hRule="atLeast"/>
        </w:trPr>
        <w:tc>
          <w:tcPr>
            <w:tcW w:w="1530" w:type="dxa"/>
            <w:tcBorders>
              <w:right w:val="single" w:color="000000" w:sz="4" w:space="0"/>
            </w:tcBorders>
            <w:vAlign w:val="top"/>
          </w:tcPr>
          <w:p w14:paraId="056ACC7A">
            <w:pPr>
              <w:pStyle w:val="6"/>
              <w:spacing w:before="88" w:line="183" w:lineRule="auto"/>
              <w:ind w:left="550"/>
              <w:rPr>
                <w:sz w:val="17"/>
                <w:szCs w:val="17"/>
              </w:rPr>
            </w:pPr>
            <w:r>
              <w:rPr>
                <w:spacing w:val="-2"/>
                <w:sz w:val="17"/>
                <w:szCs w:val="17"/>
              </w:rPr>
              <w:t>0.008</w:t>
            </w:r>
          </w:p>
        </w:tc>
        <w:tc>
          <w:tcPr>
            <w:tcW w:w="1590" w:type="dxa"/>
            <w:tcBorders>
              <w:left w:val="single" w:color="000000" w:sz="4" w:space="0"/>
              <w:right w:val="single" w:color="000000" w:sz="4" w:space="0"/>
            </w:tcBorders>
            <w:vAlign w:val="top"/>
          </w:tcPr>
          <w:p w14:paraId="7C30EA01">
            <w:pPr>
              <w:pStyle w:val="6"/>
              <w:spacing w:before="107" w:line="184" w:lineRule="auto"/>
              <w:ind w:left="575"/>
              <w:rPr>
                <w:sz w:val="17"/>
                <w:szCs w:val="17"/>
              </w:rPr>
            </w:pPr>
            <w:r>
              <w:rPr>
                <w:spacing w:val="-1"/>
                <w:sz w:val="17"/>
                <w:szCs w:val="17"/>
              </w:rPr>
              <w:t>41.53</w:t>
            </w:r>
          </w:p>
        </w:tc>
        <w:tc>
          <w:tcPr>
            <w:tcW w:w="1560" w:type="dxa"/>
            <w:tcBorders>
              <w:left w:val="single" w:color="000000" w:sz="4" w:space="0"/>
              <w:right w:val="single" w:color="000000" w:sz="4" w:space="0"/>
            </w:tcBorders>
            <w:vAlign w:val="top"/>
          </w:tcPr>
          <w:p w14:paraId="0C84E7D5">
            <w:pPr>
              <w:pStyle w:val="6"/>
              <w:spacing w:before="88" w:line="183" w:lineRule="auto"/>
              <w:ind w:left="555"/>
              <w:rPr>
                <w:sz w:val="17"/>
                <w:szCs w:val="17"/>
              </w:rPr>
            </w:pPr>
            <w:r>
              <w:rPr>
                <w:spacing w:val="-2"/>
                <w:sz w:val="17"/>
                <w:szCs w:val="17"/>
              </w:rPr>
              <w:t>25767</w:t>
            </w:r>
          </w:p>
        </w:tc>
        <w:tc>
          <w:tcPr>
            <w:tcW w:w="1570" w:type="dxa"/>
            <w:tcBorders>
              <w:left w:val="single" w:color="000000" w:sz="4" w:space="0"/>
              <w:right w:val="single" w:color="000000" w:sz="4" w:space="0"/>
            </w:tcBorders>
            <w:vAlign w:val="top"/>
          </w:tcPr>
          <w:p w14:paraId="171E7611">
            <w:pPr>
              <w:pStyle w:val="6"/>
              <w:spacing w:before="107" w:line="184" w:lineRule="auto"/>
              <w:ind w:left="645"/>
              <w:rPr>
                <w:sz w:val="17"/>
                <w:szCs w:val="17"/>
              </w:rPr>
            </w:pPr>
            <w:r>
              <w:rPr>
                <w:spacing w:val="-5"/>
                <w:sz w:val="17"/>
                <w:szCs w:val="17"/>
              </w:rPr>
              <w:t>1.4</w:t>
            </w:r>
          </w:p>
        </w:tc>
        <w:tc>
          <w:tcPr>
            <w:tcW w:w="1580" w:type="dxa"/>
            <w:tcBorders>
              <w:left w:val="single" w:color="000000" w:sz="4" w:space="0"/>
              <w:right w:val="single" w:color="000000" w:sz="4" w:space="0"/>
            </w:tcBorders>
            <w:vAlign w:val="top"/>
          </w:tcPr>
          <w:p w14:paraId="2636C412">
            <w:pPr>
              <w:pStyle w:val="6"/>
              <w:spacing w:before="98" w:line="183" w:lineRule="auto"/>
              <w:ind w:left="525"/>
              <w:rPr>
                <w:sz w:val="17"/>
                <w:szCs w:val="17"/>
              </w:rPr>
            </w:pPr>
            <w:r>
              <w:rPr>
                <w:spacing w:val="-2"/>
                <w:sz w:val="17"/>
                <w:szCs w:val="17"/>
              </w:rPr>
              <w:t>204.30</w:t>
            </w:r>
          </w:p>
        </w:tc>
        <w:tc>
          <w:tcPr>
            <w:tcW w:w="1560" w:type="dxa"/>
            <w:tcBorders>
              <w:left w:val="single" w:color="000000" w:sz="4" w:space="0"/>
            </w:tcBorders>
            <w:vAlign w:val="top"/>
          </w:tcPr>
          <w:p w14:paraId="6519DB6F">
            <w:pPr>
              <w:pStyle w:val="6"/>
              <w:spacing w:before="98" w:line="183" w:lineRule="auto"/>
              <w:ind w:left="514"/>
              <w:rPr>
                <w:sz w:val="17"/>
                <w:szCs w:val="17"/>
              </w:rPr>
            </w:pPr>
            <w:r>
              <w:rPr>
                <w:spacing w:val="-2"/>
                <w:sz w:val="17"/>
                <w:szCs w:val="17"/>
              </w:rPr>
              <w:t>2793.8</w:t>
            </w:r>
          </w:p>
        </w:tc>
      </w:tr>
      <w:tr w14:paraId="0DAC02D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19" w:hRule="atLeast"/>
        </w:trPr>
        <w:tc>
          <w:tcPr>
            <w:tcW w:w="1530" w:type="dxa"/>
            <w:tcBorders>
              <w:right w:val="single" w:color="000000" w:sz="4" w:space="0"/>
            </w:tcBorders>
            <w:vAlign w:val="top"/>
          </w:tcPr>
          <w:p w14:paraId="11BB396E">
            <w:pPr>
              <w:pStyle w:val="6"/>
              <w:spacing w:before="88" w:line="183" w:lineRule="auto"/>
              <w:ind w:left="550"/>
              <w:rPr>
                <w:sz w:val="17"/>
                <w:szCs w:val="17"/>
              </w:rPr>
            </w:pPr>
            <w:r>
              <w:rPr>
                <w:spacing w:val="-2"/>
                <w:sz w:val="17"/>
                <w:szCs w:val="17"/>
              </w:rPr>
              <w:t>0.009</w:t>
            </w:r>
          </w:p>
        </w:tc>
        <w:tc>
          <w:tcPr>
            <w:tcW w:w="1590" w:type="dxa"/>
            <w:tcBorders>
              <w:left w:val="single" w:color="000000" w:sz="4" w:space="0"/>
              <w:right w:val="single" w:color="000000" w:sz="4" w:space="0"/>
            </w:tcBorders>
            <w:vAlign w:val="top"/>
          </w:tcPr>
          <w:p w14:paraId="5DA5D2A6">
            <w:pPr>
              <w:pStyle w:val="6"/>
              <w:spacing w:before="108" w:line="183" w:lineRule="auto"/>
              <w:ind w:left="575"/>
              <w:rPr>
                <w:sz w:val="17"/>
                <w:szCs w:val="17"/>
              </w:rPr>
            </w:pPr>
            <w:r>
              <w:rPr>
                <w:spacing w:val="-1"/>
                <w:sz w:val="17"/>
                <w:szCs w:val="17"/>
              </w:rPr>
              <w:t>43.79</w:t>
            </w:r>
          </w:p>
        </w:tc>
        <w:tc>
          <w:tcPr>
            <w:tcW w:w="1560" w:type="dxa"/>
            <w:tcBorders>
              <w:left w:val="single" w:color="000000" w:sz="4" w:space="0"/>
              <w:right w:val="single" w:color="000000" w:sz="4" w:space="0"/>
            </w:tcBorders>
            <w:vAlign w:val="top"/>
          </w:tcPr>
          <w:p w14:paraId="1FBD1465">
            <w:pPr>
              <w:pStyle w:val="6"/>
              <w:spacing w:before="118" w:line="183" w:lineRule="auto"/>
              <w:ind w:left="515"/>
              <w:rPr>
                <w:sz w:val="17"/>
                <w:szCs w:val="17"/>
              </w:rPr>
            </w:pPr>
            <w:r>
              <w:rPr>
                <w:spacing w:val="-2"/>
                <w:sz w:val="17"/>
                <w:szCs w:val="17"/>
              </w:rPr>
              <w:t>2580.8</w:t>
            </w:r>
          </w:p>
        </w:tc>
        <w:tc>
          <w:tcPr>
            <w:tcW w:w="1570" w:type="dxa"/>
            <w:tcBorders>
              <w:left w:val="single" w:color="000000" w:sz="4" w:space="0"/>
              <w:right w:val="single" w:color="000000" w:sz="4" w:space="0"/>
            </w:tcBorders>
            <w:vAlign w:val="top"/>
          </w:tcPr>
          <w:p w14:paraId="08CF092C">
            <w:pPr>
              <w:pStyle w:val="6"/>
              <w:spacing w:before="117" w:line="184" w:lineRule="auto"/>
              <w:ind w:left="645"/>
              <w:rPr>
                <w:sz w:val="17"/>
                <w:szCs w:val="17"/>
              </w:rPr>
            </w:pPr>
            <w:r>
              <w:rPr>
                <w:spacing w:val="-5"/>
                <w:sz w:val="17"/>
                <w:szCs w:val="17"/>
              </w:rPr>
              <w:t>1.5</w:t>
            </w:r>
          </w:p>
        </w:tc>
        <w:tc>
          <w:tcPr>
            <w:tcW w:w="1580" w:type="dxa"/>
            <w:tcBorders>
              <w:left w:val="single" w:color="000000" w:sz="4" w:space="0"/>
              <w:right w:val="single" w:color="000000" w:sz="4" w:space="0"/>
            </w:tcBorders>
            <w:vAlign w:val="top"/>
          </w:tcPr>
          <w:p w14:paraId="738F05E1">
            <w:pPr>
              <w:pStyle w:val="6"/>
              <w:spacing w:before="97" w:line="184" w:lineRule="auto"/>
              <w:ind w:left="525"/>
              <w:rPr>
                <w:sz w:val="17"/>
                <w:szCs w:val="17"/>
              </w:rPr>
            </w:pPr>
            <w:r>
              <w:rPr>
                <w:spacing w:val="-2"/>
                <w:sz w:val="17"/>
                <w:szCs w:val="17"/>
              </w:rPr>
              <w:t>207.10</w:t>
            </w:r>
          </w:p>
        </w:tc>
        <w:tc>
          <w:tcPr>
            <w:tcW w:w="1560" w:type="dxa"/>
            <w:tcBorders>
              <w:left w:val="single" w:color="000000" w:sz="4" w:space="0"/>
            </w:tcBorders>
            <w:vAlign w:val="top"/>
          </w:tcPr>
          <w:p w14:paraId="6683929E">
            <w:pPr>
              <w:pStyle w:val="6"/>
              <w:spacing w:before="117" w:line="184" w:lineRule="auto"/>
              <w:ind w:left="514"/>
              <w:rPr>
                <w:sz w:val="17"/>
                <w:szCs w:val="17"/>
              </w:rPr>
            </w:pPr>
            <w:r>
              <w:rPr>
                <w:spacing w:val="-2"/>
                <w:sz w:val="17"/>
                <w:szCs w:val="17"/>
              </w:rPr>
              <w:t>2795.1</w:t>
            </w:r>
          </w:p>
        </w:tc>
      </w:tr>
      <w:tr w14:paraId="1235D24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25" w:hRule="atLeast"/>
        </w:trPr>
        <w:tc>
          <w:tcPr>
            <w:tcW w:w="1530" w:type="dxa"/>
            <w:tcBorders>
              <w:right w:val="single" w:color="000000" w:sz="4" w:space="0"/>
            </w:tcBorders>
            <w:vAlign w:val="top"/>
          </w:tcPr>
          <w:p w14:paraId="477A9F48">
            <w:pPr>
              <w:pStyle w:val="6"/>
              <w:spacing w:before="88" w:line="184" w:lineRule="auto"/>
              <w:ind w:left="550"/>
              <w:rPr>
                <w:sz w:val="17"/>
                <w:szCs w:val="17"/>
              </w:rPr>
            </w:pPr>
            <w:r>
              <w:rPr>
                <w:spacing w:val="-2"/>
                <w:sz w:val="17"/>
                <w:szCs w:val="17"/>
              </w:rPr>
              <w:t>0.010</w:t>
            </w:r>
          </w:p>
        </w:tc>
        <w:tc>
          <w:tcPr>
            <w:tcW w:w="1590" w:type="dxa"/>
            <w:tcBorders>
              <w:left w:val="single" w:color="000000" w:sz="4" w:space="0"/>
              <w:right w:val="single" w:color="000000" w:sz="4" w:space="0"/>
            </w:tcBorders>
            <w:vAlign w:val="top"/>
          </w:tcPr>
          <w:p w14:paraId="54B6E92C">
            <w:pPr>
              <w:pStyle w:val="6"/>
              <w:spacing w:before="99" w:line="183" w:lineRule="auto"/>
              <w:ind w:left="575"/>
              <w:rPr>
                <w:sz w:val="17"/>
                <w:szCs w:val="17"/>
              </w:rPr>
            </w:pPr>
            <w:r>
              <w:rPr>
                <w:spacing w:val="-1"/>
                <w:sz w:val="17"/>
                <w:szCs w:val="17"/>
              </w:rPr>
              <w:t>45.83</w:t>
            </w:r>
          </w:p>
        </w:tc>
        <w:tc>
          <w:tcPr>
            <w:tcW w:w="1560" w:type="dxa"/>
            <w:tcBorders>
              <w:left w:val="single" w:color="000000" w:sz="4" w:space="0"/>
              <w:right w:val="single" w:color="000000" w:sz="4" w:space="0"/>
            </w:tcBorders>
            <w:vAlign w:val="top"/>
          </w:tcPr>
          <w:p w14:paraId="71E94212">
            <w:pPr>
              <w:pStyle w:val="6"/>
              <w:spacing w:before="119" w:line="183" w:lineRule="auto"/>
              <w:ind w:left="515"/>
              <w:rPr>
                <w:sz w:val="17"/>
                <w:szCs w:val="17"/>
              </w:rPr>
            </w:pPr>
            <w:r>
              <w:rPr>
                <w:spacing w:val="-2"/>
                <w:sz w:val="17"/>
                <w:szCs w:val="17"/>
              </w:rPr>
              <w:t>2584.4</w:t>
            </w:r>
          </w:p>
        </w:tc>
        <w:tc>
          <w:tcPr>
            <w:tcW w:w="1570" w:type="dxa"/>
            <w:tcBorders>
              <w:left w:val="single" w:color="000000" w:sz="4" w:space="0"/>
              <w:right w:val="single" w:color="000000" w:sz="4" w:space="0"/>
            </w:tcBorders>
            <w:vAlign w:val="top"/>
          </w:tcPr>
          <w:p w14:paraId="530C3C02">
            <w:pPr>
              <w:pStyle w:val="6"/>
              <w:spacing w:before="109" w:line="184" w:lineRule="auto"/>
              <w:ind w:left="645"/>
              <w:rPr>
                <w:sz w:val="17"/>
                <w:szCs w:val="17"/>
              </w:rPr>
            </w:pPr>
            <w:r>
              <w:rPr>
                <w:spacing w:val="-5"/>
                <w:sz w:val="17"/>
                <w:szCs w:val="17"/>
              </w:rPr>
              <w:t>1.9</w:t>
            </w:r>
          </w:p>
        </w:tc>
        <w:tc>
          <w:tcPr>
            <w:tcW w:w="1580" w:type="dxa"/>
            <w:tcBorders>
              <w:left w:val="single" w:color="000000" w:sz="4" w:space="0"/>
              <w:right w:val="single" w:color="000000" w:sz="4" w:space="0"/>
            </w:tcBorders>
            <w:vAlign w:val="top"/>
          </w:tcPr>
          <w:p w14:paraId="13CCEDEA">
            <w:pPr>
              <w:pStyle w:val="6"/>
              <w:spacing w:before="119" w:line="183" w:lineRule="auto"/>
              <w:ind w:left="525"/>
              <w:rPr>
                <w:sz w:val="17"/>
                <w:szCs w:val="17"/>
              </w:rPr>
            </w:pPr>
            <w:r>
              <w:rPr>
                <w:spacing w:val="-2"/>
                <w:sz w:val="17"/>
                <w:szCs w:val="17"/>
              </w:rPr>
              <w:t>209.79</w:t>
            </w:r>
          </w:p>
        </w:tc>
        <w:tc>
          <w:tcPr>
            <w:tcW w:w="1560" w:type="dxa"/>
            <w:tcBorders>
              <w:left w:val="single" w:color="000000" w:sz="4" w:space="0"/>
            </w:tcBorders>
            <w:vAlign w:val="top"/>
          </w:tcPr>
          <w:p w14:paraId="24097726">
            <w:pPr>
              <w:pStyle w:val="6"/>
              <w:spacing w:before="119" w:line="183" w:lineRule="auto"/>
              <w:ind w:left="514"/>
              <w:rPr>
                <w:sz w:val="17"/>
                <w:szCs w:val="17"/>
              </w:rPr>
            </w:pPr>
            <w:r>
              <w:rPr>
                <w:spacing w:val="-2"/>
                <w:sz w:val="17"/>
                <w:szCs w:val="17"/>
              </w:rPr>
              <w:t>2796.4</w:t>
            </w:r>
          </w:p>
        </w:tc>
      </w:tr>
      <w:tr w14:paraId="6115B39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0" w:hRule="atLeast"/>
        </w:trPr>
        <w:tc>
          <w:tcPr>
            <w:tcW w:w="1530" w:type="dxa"/>
            <w:tcBorders>
              <w:right w:val="single" w:color="000000" w:sz="4" w:space="0"/>
            </w:tcBorders>
            <w:vAlign w:val="top"/>
          </w:tcPr>
          <w:p w14:paraId="44351773">
            <w:pPr>
              <w:pStyle w:val="6"/>
              <w:spacing w:before="93" w:line="184" w:lineRule="auto"/>
              <w:ind w:left="550"/>
              <w:rPr>
                <w:sz w:val="17"/>
                <w:szCs w:val="17"/>
              </w:rPr>
            </w:pPr>
            <w:r>
              <w:rPr>
                <w:spacing w:val="-2"/>
                <w:sz w:val="17"/>
                <w:szCs w:val="17"/>
              </w:rPr>
              <w:t>0.015</w:t>
            </w:r>
          </w:p>
        </w:tc>
        <w:tc>
          <w:tcPr>
            <w:tcW w:w="1590" w:type="dxa"/>
            <w:tcBorders>
              <w:left w:val="single" w:color="000000" w:sz="4" w:space="0"/>
              <w:right w:val="single" w:color="000000" w:sz="4" w:space="0"/>
            </w:tcBorders>
            <w:vAlign w:val="top"/>
          </w:tcPr>
          <w:p w14:paraId="546EB7A8">
            <w:pPr>
              <w:pStyle w:val="6"/>
              <w:spacing w:before="94" w:line="183" w:lineRule="auto"/>
              <w:ind w:left="575"/>
              <w:rPr>
                <w:sz w:val="17"/>
                <w:szCs w:val="17"/>
              </w:rPr>
            </w:pPr>
            <w:r>
              <w:rPr>
                <w:spacing w:val="-2"/>
                <w:sz w:val="17"/>
                <w:szCs w:val="17"/>
              </w:rPr>
              <w:t>54.00</w:t>
            </w:r>
          </w:p>
        </w:tc>
        <w:tc>
          <w:tcPr>
            <w:tcW w:w="1560" w:type="dxa"/>
            <w:tcBorders>
              <w:left w:val="single" w:color="000000" w:sz="4" w:space="0"/>
              <w:right w:val="single" w:color="000000" w:sz="4" w:space="0"/>
            </w:tcBorders>
            <w:vAlign w:val="top"/>
          </w:tcPr>
          <w:p w14:paraId="096E6C4D">
            <w:pPr>
              <w:pStyle w:val="6"/>
              <w:spacing w:before="104" w:line="183" w:lineRule="auto"/>
              <w:ind w:left="515"/>
              <w:rPr>
                <w:sz w:val="17"/>
                <w:szCs w:val="17"/>
              </w:rPr>
            </w:pPr>
            <w:r>
              <w:rPr>
                <w:spacing w:val="-2"/>
                <w:sz w:val="17"/>
                <w:szCs w:val="17"/>
              </w:rPr>
              <w:t>2598.9</w:t>
            </w:r>
          </w:p>
        </w:tc>
        <w:tc>
          <w:tcPr>
            <w:tcW w:w="1570" w:type="dxa"/>
            <w:tcBorders>
              <w:left w:val="single" w:color="000000" w:sz="4" w:space="0"/>
              <w:right w:val="single" w:color="000000" w:sz="4" w:space="0"/>
            </w:tcBorders>
            <w:vAlign w:val="top"/>
          </w:tcPr>
          <w:p w14:paraId="308BDF2E">
            <w:pPr>
              <w:pStyle w:val="6"/>
              <w:spacing w:before="104" w:line="183" w:lineRule="auto"/>
              <w:ind w:left="645"/>
              <w:rPr>
                <w:sz w:val="17"/>
                <w:szCs w:val="17"/>
              </w:rPr>
            </w:pPr>
            <w:r>
              <w:rPr>
                <w:spacing w:val="-2"/>
                <w:sz w:val="17"/>
                <w:szCs w:val="17"/>
              </w:rPr>
              <w:t>2.0</w:t>
            </w:r>
          </w:p>
        </w:tc>
        <w:tc>
          <w:tcPr>
            <w:tcW w:w="1580" w:type="dxa"/>
            <w:tcBorders>
              <w:left w:val="single" w:color="000000" w:sz="4" w:space="0"/>
              <w:right w:val="single" w:color="000000" w:sz="4" w:space="0"/>
            </w:tcBorders>
            <w:vAlign w:val="top"/>
          </w:tcPr>
          <w:p w14:paraId="7D10E0D5">
            <w:pPr>
              <w:pStyle w:val="6"/>
              <w:spacing w:before="103" w:line="184" w:lineRule="auto"/>
              <w:ind w:left="525"/>
              <w:rPr>
                <w:sz w:val="17"/>
                <w:szCs w:val="17"/>
              </w:rPr>
            </w:pPr>
            <w:r>
              <w:rPr>
                <w:spacing w:val="-2"/>
                <w:sz w:val="17"/>
                <w:szCs w:val="17"/>
              </w:rPr>
              <w:t>212.37</w:t>
            </w:r>
          </w:p>
        </w:tc>
        <w:tc>
          <w:tcPr>
            <w:tcW w:w="1560" w:type="dxa"/>
            <w:tcBorders>
              <w:left w:val="single" w:color="000000" w:sz="4" w:space="0"/>
            </w:tcBorders>
            <w:vAlign w:val="top"/>
          </w:tcPr>
          <w:p w14:paraId="3B94B1CD">
            <w:pPr>
              <w:pStyle w:val="6"/>
              <w:spacing w:before="104" w:line="183" w:lineRule="auto"/>
              <w:ind w:left="514"/>
              <w:rPr>
                <w:sz w:val="17"/>
                <w:szCs w:val="17"/>
              </w:rPr>
            </w:pPr>
            <w:r>
              <w:rPr>
                <w:spacing w:val="-2"/>
                <w:sz w:val="17"/>
                <w:szCs w:val="17"/>
              </w:rPr>
              <w:t>2797.4</w:t>
            </w:r>
          </w:p>
        </w:tc>
      </w:tr>
      <w:tr w14:paraId="141C73D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29" w:hRule="atLeast"/>
        </w:trPr>
        <w:tc>
          <w:tcPr>
            <w:tcW w:w="1530" w:type="dxa"/>
            <w:tcBorders>
              <w:right w:val="single" w:color="000000" w:sz="4" w:space="0"/>
            </w:tcBorders>
            <w:vAlign w:val="top"/>
          </w:tcPr>
          <w:p w14:paraId="1B37D648">
            <w:pPr>
              <w:pStyle w:val="6"/>
              <w:spacing w:before="84" w:line="183" w:lineRule="auto"/>
              <w:ind w:left="550"/>
              <w:rPr>
                <w:sz w:val="17"/>
                <w:szCs w:val="17"/>
              </w:rPr>
            </w:pPr>
            <w:r>
              <w:rPr>
                <w:spacing w:val="-2"/>
                <w:sz w:val="17"/>
                <w:szCs w:val="17"/>
              </w:rPr>
              <w:t>0.020</w:t>
            </w:r>
          </w:p>
        </w:tc>
        <w:tc>
          <w:tcPr>
            <w:tcW w:w="1590" w:type="dxa"/>
            <w:tcBorders>
              <w:left w:val="single" w:color="000000" w:sz="4" w:space="0"/>
              <w:right w:val="single" w:color="000000" w:sz="4" w:space="0"/>
            </w:tcBorders>
            <w:vAlign w:val="top"/>
          </w:tcPr>
          <w:p w14:paraId="44504E10">
            <w:pPr>
              <w:pStyle w:val="6"/>
              <w:spacing w:before="104" w:line="183" w:lineRule="auto"/>
              <w:ind w:left="575"/>
              <w:rPr>
                <w:sz w:val="17"/>
                <w:szCs w:val="17"/>
              </w:rPr>
            </w:pPr>
            <w:r>
              <w:rPr>
                <w:spacing w:val="-2"/>
                <w:sz w:val="17"/>
                <w:szCs w:val="17"/>
              </w:rPr>
              <w:t>60.09</w:t>
            </w:r>
          </w:p>
        </w:tc>
        <w:tc>
          <w:tcPr>
            <w:tcW w:w="1560" w:type="dxa"/>
            <w:tcBorders>
              <w:left w:val="single" w:color="000000" w:sz="4" w:space="0"/>
              <w:right w:val="single" w:color="000000" w:sz="4" w:space="0"/>
            </w:tcBorders>
            <w:vAlign w:val="top"/>
          </w:tcPr>
          <w:p w14:paraId="7F6C4A4D">
            <w:pPr>
              <w:pStyle w:val="6"/>
              <w:spacing w:before="134" w:line="183" w:lineRule="auto"/>
              <w:ind w:left="515"/>
              <w:rPr>
                <w:sz w:val="17"/>
                <w:szCs w:val="17"/>
              </w:rPr>
            </w:pPr>
            <w:r>
              <w:rPr>
                <w:spacing w:val="-2"/>
                <w:sz w:val="17"/>
                <w:szCs w:val="17"/>
              </w:rPr>
              <w:t>2609.6</w:t>
            </w:r>
          </w:p>
        </w:tc>
        <w:tc>
          <w:tcPr>
            <w:tcW w:w="1570" w:type="dxa"/>
            <w:tcBorders>
              <w:left w:val="single" w:color="000000" w:sz="4" w:space="0"/>
              <w:right w:val="single" w:color="000000" w:sz="4" w:space="0"/>
            </w:tcBorders>
            <w:vAlign w:val="top"/>
          </w:tcPr>
          <w:p w14:paraId="280932C6">
            <w:pPr>
              <w:pStyle w:val="6"/>
              <w:spacing w:before="114" w:line="183" w:lineRule="auto"/>
              <w:ind w:left="645"/>
              <w:rPr>
                <w:sz w:val="17"/>
                <w:szCs w:val="17"/>
              </w:rPr>
            </w:pPr>
            <w:r>
              <w:rPr>
                <w:spacing w:val="-2"/>
                <w:sz w:val="17"/>
                <w:szCs w:val="17"/>
              </w:rPr>
              <w:t>2.2</w:t>
            </w:r>
          </w:p>
        </w:tc>
        <w:tc>
          <w:tcPr>
            <w:tcW w:w="1580" w:type="dxa"/>
            <w:tcBorders>
              <w:left w:val="single" w:color="000000" w:sz="4" w:space="0"/>
              <w:right w:val="single" w:color="000000" w:sz="4" w:space="0"/>
            </w:tcBorders>
            <w:vAlign w:val="top"/>
          </w:tcPr>
          <w:p w14:paraId="550B621B">
            <w:pPr>
              <w:pStyle w:val="6"/>
              <w:spacing w:before="93" w:line="184" w:lineRule="auto"/>
              <w:ind w:left="525"/>
              <w:rPr>
                <w:sz w:val="17"/>
                <w:szCs w:val="17"/>
              </w:rPr>
            </w:pPr>
            <w:r>
              <w:rPr>
                <w:spacing w:val="-2"/>
                <w:sz w:val="17"/>
                <w:szCs w:val="17"/>
              </w:rPr>
              <w:t>217.24</w:t>
            </w:r>
          </w:p>
        </w:tc>
        <w:tc>
          <w:tcPr>
            <w:tcW w:w="1560" w:type="dxa"/>
            <w:tcBorders>
              <w:left w:val="single" w:color="000000" w:sz="4" w:space="0"/>
            </w:tcBorders>
            <w:vAlign w:val="top"/>
          </w:tcPr>
          <w:p w14:paraId="5EB7F204">
            <w:pPr>
              <w:pStyle w:val="6"/>
              <w:spacing w:before="133" w:line="184" w:lineRule="auto"/>
              <w:ind w:left="514"/>
              <w:rPr>
                <w:sz w:val="17"/>
                <w:szCs w:val="17"/>
              </w:rPr>
            </w:pPr>
            <w:r>
              <w:rPr>
                <w:spacing w:val="-2"/>
                <w:sz w:val="17"/>
                <w:szCs w:val="17"/>
              </w:rPr>
              <w:t>2799.1</w:t>
            </w:r>
          </w:p>
        </w:tc>
      </w:tr>
      <w:tr w14:paraId="30D1972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10" w:hRule="atLeast"/>
        </w:trPr>
        <w:tc>
          <w:tcPr>
            <w:tcW w:w="1530" w:type="dxa"/>
            <w:tcBorders>
              <w:right w:val="single" w:color="000000" w:sz="4" w:space="0"/>
            </w:tcBorders>
            <w:vAlign w:val="top"/>
          </w:tcPr>
          <w:p w14:paraId="49ADB7BA">
            <w:pPr>
              <w:pStyle w:val="6"/>
              <w:spacing w:before="105" w:line="183" w:lineRule="auto"/>
              <w:ind w:left="550"/>
              <w:rPr>
                <w:sz w:val="17"/>
                <w:szCs w:val="17"/>
              </w:rPr>
            </w:pPr>
            <w:r>
              <w:rPr>
                <w:spacing w:val="-2"/>
                <w:sz w:val="17"/>
                <w:szCs w:val="17"/>
              </w:rPr>
              <w:t>0.025</w:t>
            </w:r>
          </w:p>
        </w:tc>
        <w:tc>
          <w:tcPr>
            <w:tcW w:w="1590" w:type="dxa"/>
            <w:tcBorders>
              <w:left w:val="single" w:color="000000" w:sz="4" w:space="0"/>
              <w:right w:val="single" w:color="000000" w:sz="4" w:space="0"/>
            </w:tcBorders>
            <w:vAlign w:val="top"/>
          </w:tcPr>
          <w:p w14:paraId="27467845">
            <w:pPr>
              <w:pStyle w:val="6"/>
              <w:spacing w:before="105" w:line="183" w:lineRule="auto"/>
              <w:ind w:left="575"/>
              <w:rPr>
                <w:sz w:val="17"/>
                <w:szCs w:val="17"/>
              </w:rPr>
            </w:pPr>
            <w:r>
              <w:rPr>
                <w:spacing w:val="-2"/>
                <w:sz w:val="17"/>
                <w:szCs w:val="17"/>
              </w:rPr>
              <w:t>64.99</w:t>
            </w:r>
          </w:p>
        </w:tc>
        <w:tc>
          <w:tcPr>
            <w:tcW w:w="1560" w:type="dxa"/>
            <w:tcBorders>
              <w:left w:val="single" w:color="000000" w:sz="4" w:space="0"/>
              <w:right w:val="single" w:color="000000" w:sz="4" w:space="0"/>
            </w:tcBorders>
            <w:vAlign w:val="top"/>
          </w:tcPr>
          <w:p w14:paraId="12169D9E">
            <w:pPr>
              <w:pStyle w:val="6"/>
              <w:spacing w:before="84" w:line="184" w:lineRule="auto"/>
              <w:ind w:left="515"/>
              <w:rPr>
                <w:sz w:val="17"/>
                <w:szCs w:val="17"/>
              </w:rPr>
            </w:pPr>
            <w:r>
              <w:rPr>
                <w:spacing w:val="-2"/>
                <w:sz w:val="17"/>
                <w:szCs w:val="17"/>
              </w:rPr>
              <w:t>2618.1</w:t>
            </w:r>
          </w:p>
        </w:tc>
        <w:tc>
          <w:tcPr>
            <w:tcW w:w="1570" w:type="dxa"/>
            <w:tcBorders>
              <w:left w:val="single" w:color="000000" w:sz="4" w:space="0"/>
              <w:right w:val="single" w:color="000000" w:sz="4" w:space="0"/>
            </w:tcBorders>
            <w:vAlign w:val="top"/>
          </w:tcPr>
          <w:p w14:paraId="5F7E9864">
            <w:pPr>
              <w:pStyle w:val="6"/>
              <w:spacing w:before="95" w:line="183" w:lineRule="auto"/>
              <w:ind w:left="645"/>
              <w:rPr>
                <w:sz w:val="17"/>
                <w:szCs w:val="17"/>
              </w:rPr>
            </w:pPr>
            <w:r>
              <w:rPr>
                <w:spacing w:val="-2"/>
                <w:sz w:val="17"/>
                <w:szCs w:val="17"/>
              </w:rPr>
              <w:t>2.4</w:t>
            </w:r>
          </w:p>
        </w:tc>
        <w:tc>
          <w:tcPr>
            <w:tcW w:w="1580" w:type="dxa"/>
            <w:tcBorders>
              <w:left w:val="single" w:color="000000" w:sz="4" w:space="0"/>
              <w:right w:val="single" w:color="000000" w:sz="4" w:space="0"/>
            </w:tcBorders>
            <w:vAlign w:val="top"/>
          </w:tcPr>
          <w:p w14:paraId="2D7C6EC3">
            <w:pPr>
              <w:pStyle w:val="6"/>
              <w:spacing w:before="84" w:line="184" w:lineRule="auto"/>
              <w:ind w:left="525"/>
              <w:rPr>
                <w:sz w:val="17"/>
                <w:szCs w:val="17"/>
              </w:rPr>
            </w:pPr>
            <w:r>
              <w:rPr>
                <w:spacing w:val="-2"/>
                <w:sz w:val="17"/>
                <w:szCs w:val="17"/>
              </w:rPr>
              <w:t>221.78</w:t>
            </w:r>
          </w:p>
        </w:tc>
        <w:tc>
          <w:tcPr>
            <w:tcW w:w="1560" w:type="dxa"/>
            <w:tcBorders>
              <w:left w:val="single" w:color="000000" w:sz="4" w:space="0"/>
            </w:tcBorders>
            <w:vAlign w:val="top"/>
          </w:tcPr>
          <w:p w14:paraId="0916C41C">
            <w:pPr>
              <w:pStyle w:val="6"/>
              <w:spacing w:before="85" w:line="183" w:lineRule="auto"/>
              <w:ind w:left="514"/>
              <w:rPr>
                <w:sz w:val="17"/>
                <w:szCs w:val="17"/>
              </w:rPr>
            </w:pPr>
            <w:r>
              <w:rPr>
                <w:spacing w:val="-2"/>
                <w:sz w:val="17"/>
                <w:szCs w:val="17"/>
              </w:rPr>
              <w:t>2800.4</w:t>
            </w:r>
          </w:p>
        </w:tc>
      </w:tr>
      <w:tr w14:paraId="6A99805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15" w:hRule="atLeast"/>
        </w:trPr>
        <w:tc>
          <w:tcPr>
            <w:tcW w:w="1530" w:type="dxa"/>
            <w:tcBorders>
              <w:right w:val="single" w:color="000000" w:sz="4" w:space="0"/>
            </w:tcBorders>
            <w:vAlign w:val="top"/>
          </w:tcPr>
          <w:p w14:paraId="6A153EFE">
            <w:pPr>
              <w:pStyle w:val="6"/>
              <w:spacing w:before="95" w:line="183" w:lineRule="auto"/>
              <w:ind w:left="550"/>
              <w:rPr>
                <w:sz w:val="17"/>
                <w:szCs w:val="17"/>
              </w:rPr>
            </w:pPr>
            <w:r>
              <w:rPr>
                <w:spacing w:val="-2"/>
                <w:sz w:val="17"/>
                <w:szCs w:val="17"/>
              </w:rPr>
              <w:t>0.030</w:t>
            </w:r>
          </w:p>
        </w:tc>
        <w:tc>
          <w:tcPr>
            <w:tcW w:w="1590" w:type="dxa"/>
            <w:tcBorders>
              <w:left w:val="single" w:color="000000" w:sz="4" w:space="0"/>
              <w:right w:val="single" w:color="000000" w:sz="4" w:space="0"/>
            </w:tcBorders>
            <w:vAlign w:val="top"/>
          </w:tcPr>
          <w:p w14:paraId="503C6DF3">
            <w:pPr>
              <w:pStyle w:val="6"/>
              <w:spacing w:before="104" w:line="184" w:lineRule="auto"/>
              <w:ind w:left="575"/>
              <w:rPr>
                <w:sz w:val="17"/>
                <w:szCs w:val="17"/>
              </w:rPr>
            </w:pPr>
            <w:r>
              <w:rPr>
                <w:spacing w:val="-2"/>
                <w:sz w:val="17"/>
                <w:szCs w:val="17"/>
              </w:rPr>
              <w:t>69.12</w:t>
            </w:r>
          </w:p>
        </w:tc>
        <w:tc>
          <w:tcPr>
            <w:tcW w:w="1560" w:type="dxa"/>
            <w:tcBorders>
              <w:left w:val="single" w:color="000000" w:sz="4" w:space="0"/>
              <w:right w:val="single" w:color="000000" w:sz="4" w:space="0"/>
            </w:tcBorders>
            <w:vAlign w:val="top"/>
          </w:tcPr>
          <w:p w14:paraId="4CE9C5FF">
            <w:pPr>
              <w:pStyle w:val="6"/>
              <w:spacing w:before="115" w:line="183" w:lineRule="auto"/>
              <w:ind w:left="515"/>
              <w:rPr>
                <w:sz w:val="17"/>
                <w:szCs w:val="17"/>
              </w:rPr>
            </w:pPr>
            <w:r>
              <w:rPr>
                <w:spacing w:val="-2"/>
                <w:sz w:val="17"/>
                <w:szCs w:val="17"/>
              </w:rPr>
              <w:t>2625.3</w:t>
            </w:r>
          </w:p>
        </w:tc>
        <w:tc>
          <w:tcPr>
            <w:tcW w:w="1570" w:type="dxa"/>
            <w:tcBorders>
              <w:left w:val="single" w:color="000000" w:sz="4" w:space="0"/>
              <w:right w:val="single" w:color="000000" w:sz="4" w:space="0"/>
            </w:tcBorders>
            <w:vAlign w:val="top"/>
          </w:tcPr>
          <w:p w14:paraId="708F5065">
            <w:pPr>
              <w:pStyle w:val="6"/>
              <w:spacing w:before="115" w:line="183" w:lineRule="auto"/>
              <w:ind w:left="645"/>
              <w:rPr>
                <w:sz w:val="17"/>
                <w:szCs w:val="17"/>
              </w:rPr>
            </w:pPr>
            <w:r>
              <w:rPr>
                <w:spacing w:val="-2"/>
                <w:sz w:val="17"/>
                <w:szCs w:val="17"/>
              </w:rPr>
              <w:t>2.6</w:t>
            </w:r>
          </w:p>
        </w:tc>
        <w:tc>
          <w:tcPr>
            <w:tcW w:w="1580" w:type="dxa"/>
            <w:tcBorders>
              <w:left w:val="single" w:color="000000" w:sz="4" w:space="0"/>
              <w:right w:val="single" w:color="000000" w:sz="4" w:space="0"/>
            </w:tcBorders>
            <w:vAlign w:val="top"/>
          </w:tcPr>
          <w:p w14:paraId="2F491FD3">
            <w:pPr>
              <w:pStyle w:val="6"/>
              <w:spacing w:before="105" w:line="183" w:lineRule="auto"/>
              <w:ind w:left="525"/>
              <w:rPr>
                <w:sz w:val="17"/>
                <w:szCs w:val="17"/>
              </w:rPr>
            </w:pPr>
            <w:r>
              <w:rPr>
                <w:spacing w:val="-2"/>
                <w:sz w:val="17"/>
                <w:szCs w:val="17"/>
              </w:rPr>
              <w:t>226.03</w:t>
            </w:r>
          </w:p>
        </w:tc>
        <w:tc>
          <w:tcPr>
            <w:tcW w:w="1560" w:type="dxa"/>
            <w:tcBorders>
              <w:left w:val="single" w:color="000000" w:sz="4" w:space="0"/>
            </w:tcBorders>
            <w:vAlign w:val="top"/>
          </w:tcPr>
          <w:p w14:paraId="578F7E1D">
            <w:pPr>
              <w:pStyle w:val="6"/>
              <w:spacing w:before="104" w:line="184" w:lineRule="auto"/>
              <w:ind w:left="514"/>
              <w:rPr>
                <w:sz w:val="17"/>
                <w:szCs w:val="17"/>
              </w:rPr>
            </w:pPr>
            <w:r>
              <w:rPr>
                <w:spacing w:val="-2"/>
                <w:sz w:val="17"/>
                <w:szCs w:val="17"/>
              </w:rPr>
              <w:t>2801.2</w:t>
            </w:r>
          </w:p>
        </w:tc>
      </w:tr>
      <w:tr w14:paraId="07AB070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19" w:hRule="atLeast"/>
        </w:trPr>
        <w:tc>
          <w:tcPr>
            <w:tcW w:w="1530" w:type="dxa"/>
            <w:tcBorders>
              <w:right w:val="single" w:color="000000" w:sz="4" w:space="0"/>
            </w:tcBorders>
            <w:vAlign w:val="top"/>
          </w:tcPr>
          <w:p w14:paraId="06970F8A">
            <w:pPr>
              <w:pStyle w:val="6"/>
              <w:spacing w:before="90" w:line="183" w:lineRule="auto"/>
              <w:ind w:left="550"/>
              <w:rPr>
                <w:sz w:val="17"/>
                <w:szCs w:val="17"/>
              </w:rPr>
            </w:pPr>
            <w:r>
              <w:rPr>
                <w:spacing w:val="-2"/>
                <w:sz w:val="17"/>
                <w:szCs w:val="17"/>
              </w:rPr>
              <w:t>0.040</w:t>
            </w:r>
          </w:p>
        </w:tc>
        <w:tc>
          <w:tcPr>
            <w:tcW w:w="1590" w:type="dxa"/>
            <w:tcBorders>
              <w:left w:val="single" w:color="000000" w:sz="4" w:space="0"/>
              <w:right w:val="single" w:color="000000" w:sz="4" w:space="0"/>
            </w:tcBorders>
            <w:vAlign w:val="top"/>
          </w:tcPr>
          <w:p w14:paraId="589EFA4F">
            <w:pPr>
              <w:pStyle w:val="6"/>
              <w:spacing w:before="100" w:line="183" w:lineRule="auto"/>
              <w:ind w:left="575"/>
              <w:rPr>
                <w:sz w:val="17"/>
                <w:szCs w:val="17"/>
              </w:rPr>
            </w:pPr>
            <w:r>
              <w:rPr>
                <w:spacing w:val="-2"/>
                <w:sz w:val="17"/>
                <w:szCs w:val="17"/>
              </w:rPr>
              <w:t>75.89</w:t>
            </w:r>
          </w:p>
        </w:tc>
        <w:tc>
          <w:tcPr>
            <w:tcW w:w="1560" w:type="dxa"/>
            <w:tcBorders>
              <w:left w:val="single" w:color="000000" w:sz="4" w:space="0"/>
              <w:right w:val="single" w:color="000000" w:sz="4" w:space="0"/>
            </w:tcBorders>
            <w:vAlign w:val="top"/>
          </w:tcPr>
          <w:p w14:paraId="0328C874">
            <w:pPr>
              <w:pStyle w:val="6"/>
              <w:spacing w:before="120" w:line="183" w:lineRule="auto"/>
              <w:ind w:left="515"/>
              <w:rPr>
                <w:sz w:val="17"/>
                <w:szCs w:val="17"/>
              </w:rPr>
            </w:pPr>
            <w:r>
              <w:rPr>
                <w:spacing w:val="-2"/>
                <w:sz w:val="17"/>
                <w:szCs w:val="17"/>
              </w:rPr>
              <w:t>2636.8</w:t>
            </w:r>
          </w:p>
        </w:tc>
        <w:tc>
          <w:tcPr>
            <w:tcW w:w="1570" w:type="dxa"/>
            <w:tcBorders>
              <w:left w:val="single" w:color="000000" w:sz="4" w:space="0"/>
              <w:right w:val="single" w:color="000000" w:sz="4" w:space="0"/>
            </w:tcBorders>
            <w:vAlign w:val="top"/>
          </w:tcPr>
          <w:p w14:paraId="4E81F9FD">
            <w:pPr>
              <w:pStyle w:val="6"/>
              <w:spacing w:before="110" w:line="183" w:lineRule="auto"/>
              <w:ind w:left="645"/>
              <w:rPr>
                <w:sz w:val="17"/>
                <w:szCs w:val="17"/>
              </w:rPr>
            </w:pPr>
            <w:r>
              <w:rPr>
                <w:spacing w:val="-2"/>
                <w:sz w:val="17"/>
                <w:szCs w:val="17"/>
              </w:rPr>
              <w:t>2.8</w:t>
            </w:r>
          </w:p>
        </w:tc>
        <w:tc>
          <w:tcPr>
            <w:tcW w:w="1580" w:type="dxa"/>
            <w:tcBorders>
              <w:left w:val="single" w:color="000000" w:sz="4" w:space="0"/>
              <w:right w:val="single" w:color="000000" w:sz="4" w:space="0"/>
            </w:tcBorders>
            <w:vAlign w:val="top"/>
          </w:tcPr>
          <w:p w14:paraId="6C1F89EA">
            <w:pPr>
              <w:pStyle w:val="6"/>
              <w:spacing w:before="100" w:line="183" w:lineRule="auto"/>
              <w:ind w:left="525"/>
              <w:rPr>
                <w:sz w:val="17"/>
                <w:szCs w:val="17"/>
              </w:rPr>
            </w:pPr>
            <w:r>
              <w:rPr>
                <w:spacing w:val="-2"/>
                <w:sz w:val="17"/>
                <w:szCs w:val="17"/>
              </w:rPr>
              <w:t>230.04</w:t>
            </w:r>
          </w:p>
        </w:tc>
        <w:tc>
          <w:tcPr>
            <w:tcW w:w="1560" w:type="dxa"/>
            <w:tcBorders>
              <w:left w:val="single" w:color="000000" w:sz="4" w:space="0"/>
            </w:tcBorders>
            <w:vAlign w:val="top"/>
          </w:tcPr>
          <w:p w14:paraId="6EE0DAA4">
            <w:pPr>
              <w:pStyle w:val="6"/>
              <w:spacing w:before="119" w:line="184" w:lineRule="auto"/>
              <w:ind w:left="514"/>
              <w:rPr>
                <w:sz w:val="17"/>
                <w:szCs w:val="17"/>
              </w:rPr>
            </w:pPr>
            <w:r>
              <w:rPr>
                <w:spacing w:val="-2"/>
                <w:sz w:val="17"/>
                <w:szCs w:val="17"/>
              </w:rPr>
              <w:t>2801.7</w:t>
            </w:r>
          </w:p>
        </w:tc>
      </w:tr>
      <w:tr w14:paraId="071BAD5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15" w:hRule="atLeast"/>
        </w:trPr>
        <w:tc>
          <w:tcPr>
            <w:tcW w:w="1530" w:type="dxa"/>
            <w:tcBorders>
              <w:right w:val="single" w:color="000000" w:sz="4" w:space="0"/>
            </w:tcBorders>
            <w:vAlign w:val="top"/>
          </w:tcPr>
          <w:p w14:paraId="2CB670C0">
            <w:pPr>
              <w:pStyle w:val="6"/>
              <w:spacing w:before="101" w:line="183" w:lineRule="auto"/>
              <w:ind w:left="550"/>
              <w:rPr>
                <w:sz w:val="17"/>
                <w:szCs w:val="17"/>
              </w:rPr>
            </w:pPr>
            <w:r>
              <w:rPr>
                <w:spacing w:val="-2"/>
                <w:sz w:val="17"/>
                <w:szCs w:val="17"/>
              </w:rPr>
              <w:t>0.050</w:t>
            </w:r>
          </w:p>
        </w:tc>
        <w:tc>
          <w:tcPr>
            <w:tcW w:w="1590" w:type="dxa"/>
            <w:tcBorders>
              <w:left w:val="single" w:color="000000" w:sz="4" w:space="0"/>
              <w:right w:val="single" w:color="000000" w:sz="4" w:space="0"/>
            </w:tcBorders>
            <w:vAlign w:val="top"/>
          </w:tcPr>
          <w:p w14:paraId="5A2BD09E">
            <w:pPr>
              <w:pStyle w:val="6"/>
              <w:spacing w:before="90" w:line="184" w:lineRule="auto"/>
              <w:ind w:left="575"/>
              <w:rPr>
                <w:sz w:val="17"/>
                <w:szCs w:val="17"/>
              </w:rPr>
            </w:pPr>
            <w:r>
              <w:rPr>
                <w:spacing w:val="-2"/>
                <w:sz w:val="17"/>
                <w:szCs w:val="17"/>
              </w:rPr>
              <w:t>81.35</w:t>
            </w:r>
          </w:p>
        </w:tc>
        <w:tc>
          <w:tcPr>
            <w:tcW w:w="1560" w:type="dxa"/>
            <w:tcBorders>
              <w:left w:val="single" w:color="000000" w:sz="4" w:space="0"/>
              <w:right w:val="single" w:color="000000" w:sz="4" w:space="0"/>
            </w:tcBorders>
            <w:vAlign w:val="top"/>
          </w:tcPr>
          <w:p w14:paraId="34C5C55F">
            <w:pPr>
              <w:pStyle w:val="6"/>
              <w:spacing w:before="111" w:line="183" w:lineRule="auto"/>
              <w:ind w:left="515"/>
              <w:rPr>
                <w:sz w:val="17"/>
                <w:szCs w:val="17"/>
              </w:rPr>
            </w:pPr>
            <w:r>
              <w:rPr>
                <w:spacing w:val="-2"/>
                <w:sz w:val="17"/>
                <w:szCs w:val="17"/>
              </w:rPr>
              <w:t>2645.0</w:t>
            </w:r>
          </w:p>
        </w:tc>
        <w:tc>
          <w:tcPr>
            <w:tcW w:w="1570" w:type="dxa"/>
            <w:tcBorders>
              <w:left w:val="single" w:color="000000" w:sz="4" w:space="0"/>
              <w:right w:val="single" w:color="000000" w:sz="4" w:space="0"/>
            </w:tcBorders>
            <w:vAlign w:val="top"/>
          </w:tcPr>
          <w:p w14:paraId="6B72B28E">
            <w:pPr>
              <w:pStyle w:val="6"/>
              <w:spacing w:before="101" w:line="183" w:lineRule="auto"/>
              <w:ind w:left="645"/>
              <w:rPr>
                <w:sz w:val="17"/>
                <w:szCs w:val="17"/>
              </w:rPr>
            </w:pPr>
            <w:r>
              <w:rPr>
                <w:spacing w:val="-3"/>
                <w:sz w:val="17"/>
                <w:szCs w:val="17"/>
              </w:rPr>
              <w:t>3.0</w:t>
            </w:r>
          </w:p>
        </w:tc>
        <w:tc>
          <w:tcPr>
            <w:tcW w:w="1580" w:type="dxa"/>
            <w:tcBorders>
              <w:left w:val="single" w:color="000000" w:sz="4" w:space="0"/>
              <w:right w:val="single" w:color="000000" w:sz="4" w:space="0"/>
            </w:tcBorders>
            <w:vAlign w:val="top"/>
          </w:tcPr>
          <w:p w14:paraId="35FD3CB2">
            <w:pPr>
              <w:pStyle w:val="6"/>
              <w:spacing w:before="111" w:line="183" w:lineRule="auto"/>
              <w:ind w:left="525"/>
              <w:rPr>
                <w:sz w:val="17"/>
                <w:szCs w:val="17"/>
              </w:rPr>
            </w:pPr>
            <w:r>
              <w:rPr>
                <w:spacing w:val="-2"/>
                <w:sz w:val="17"/>
                <w:szCs w:val="17"/>
              </w:rPr>
              <w:t>233.84</w:t>
            </w:r>
          </w:p>
        </w:tc>
        <w:tc>
          <w:tcPr>
            <w:tcW w:w="1560" w:type="dxa"/>
            <w:tcBorders>
              <w:left w:val="single" w:color="000000" w:sz="4" w:space="0"/>
            </w:tcBorders>
            <w:vAlign w:val="top"/>
          </w:tcPr>
          <w:p w14:paraId="6AFFF1C5">
            <w:pPr>
              <w:pStyle w:val="6"/>
              <w:spacing w:before="110" w:line="184" w:lineRule="auto"/>
              <w:ind w:left="514"/>
              <w:rPr>
                <w:sz w:val="17"/>
                <w:szCs w:val="17"/>
              </w:rPr>
            </w:pPr>
            <w:r>
              <w:rPr>
                <w:spacing w:val="-2"/>
                <w:sz w:val="17"/>
                <w:szCs w:val="17"/>
              </w:rPr>
              <w:t>2801.9</w:t>
            </w:r>
          </w:p>
        </w:tc>
      </w:tr>
      <w:tr w14:paraId="03AB56A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0" w:hRule="atLeast"/>
        </w:trPr>
        <w:tc>
          <w:tcPr>
            <w:tcW w:w="1530" w:type="dxa"/>
            <w:tcBorders>
              <w:right w:val="single" w:color="000000" w:sz="4" w:space="0"/>
            </w:tcBorders>
            <w:vAlign w:val="top"/>
          </w:tcPr>
          <w:p w14:paraId="4296E184">
            <w:pPr>
              <w:pStyle w:val="6"/>
              <w:spacing w:before="96" w:line="183" w:lineRule="auto"/>
              <w:ind w:left="550"/>
              <w:rPr>
                <w:sz w:val="17"/>
                <w:szCs w:val="17"/>
              </w:rPr>
            </w:pPr>
            <w:r>
              <w:rPr>
                <w:spacing w:val="-2"/>
                <w:sz w:val="17"/>
                <w:szCs w:val="17"/>
              </w:rPr>
              <w:t>0.060</w:t>
            </w:r>
          </w:p>
        </w:tc>
        <w:tc>
          <w:tcPr>
            <w:tcW w:w="1590" w:type="dxa"/>
            <w:tcBorders>
              <w:left w:val="single" w:color="000000" w:sz="4" w:space="0"/>
              <w:right w:val="single" w:color="000000" w:sz="4" w:space="0"/>
            </w:tcBorders>
            <w:vAlign w:val="top"/>
          </w:tcPr>
          <w:p w14:paraId="5994A0E2">
            <w:pPr>
              <w:pStyle w:val="6"/>
              <w:spacing w:before="96" w:line="183" w:lineRule="auto"/>
              <w:ind w:left="575"/>
              <w:rPr>
                <w:sz w:val="17"/>
                <w:szCs w:val="17"/>
              </w:rPr>
            </w:pPr>
            <w:r>
              <w:rPr>
                <w:spacing w:val="-2"/>
                <w:sz w:val="17"/>
                <w:szCs w:val="17"/>
              </w:rPr>
              <w:t>85.95</w:t>
            </w:r>
          </w:p>
        </w:tc>
        <w:tc>
          <w:tcPr>
            <w:tcW w:w="1560" w:type="dxa"/>
            <w:tcBorders>
              <w:left w:val="single" w:color="000000" w:sz="4" w:space="0"/>
              <w:right w:val="single" w:color="000000" w:sz="4" w:space="0"/>
            </w:tcBorders>
            <w:vAlign w:val="top"/>
          </w:tcPr>
          <w:p w14:paraId="294908E6">
            <w:pPr>
              <w:pStyle w:val="6"/>
              <w:spacing w:before="106" w:line="183" w:lineRule="auto"/>
              <w:ind w:left="515"/>
              <w:rPr>
                <w:sz w:val="17"/>
                <w:szCs w:val="17"/>
              </w:rPr>
            </w:pPr>
            <w:r>
              <w:rPr>
                <w:spacing w:val="-2"/>
                <w:sz w:val="17"/>
                <w:szCs w:val="17"/>
              </w:rPr>
              <w:t>2653.6</w:t>
            </w:r>
          </w:p>
        </w:tc>
        <w:tc>
          <w:tcPr>
            <w:tcW w:w="1570" w:type="dxa"/>
            <w:tcBorders>
              <w:left w:val="single" w:color="000000" w:sz="4" w:space="0"/>
              <w:right w:val="single" w:color="000000" w:sz="4" w:space="0"/>
            </w:tcBorders>
            <w:vAlign w:val="top"/>
          </w:tcPr>
          <w:p w14:paraId="50E98749">
            <w:pPr>
              <w:pStyle w:val="6"/>
              <w:spacing w:before="106" w:line="183" w:lineRule="auto"/>
              <w:ind w:left="645"/>
              <w:rPr>
                <w:sz w:val="17"/>
                <w:szCs w:val="17"/>
              </w:rPr>
            </w:pPr>
            <w:r>
              <w:rPr>
                <w:spacing w:val="-3"/>
                <w:sz w:val="17"/>
                <w:szCs w:val="17"/>
              </w:rPr>
              <w:t>3.5</w:t>
            </w:r>
          </w:p>
        </w:tc>
        <w:tc>
          <w:tcPr>
            <w:tcW w:w="1580" w:type="dxa"/>
            <w:tcBorders>
              <w:left w:val="single" w:color="000000" w:sz="4" w:space="0"/>
              <w:right w:val="single" w:color="000000" w:sz="4" w:space="0"/>
            </w:tcBorders>
            <w:vAlign w:val="top"/>
          </w:tcPr>
          <w:p w14:paraId="099D8E56">
            <w:pPr>
              <w:pStyle w:val="6"/>
              <w:spacing w:before="106" w:line="183" w:lineRule="auto"/>
              <w:ind w:left="525"/>
              <w:rPr>
                <w:sz w:val="17"/>
                <w:szCs w:val="17"/>
              </w:rPr>
            </w:pPr>
            <w:r>
              <w:rPr>
                <w:spacing w:val="-2"/>
                <w:sz w:val="17"/>
                <w:szCs w:val="17"/>
              </w:rPr>
              <w:t>242.54</w:t>
            </w:r>
          </w:p>
        </w:tc>
        <w:tc>
          <w:tcPr>
            <w:tcW w:w="1560" w:type="dxa"/>
            <w:tcBorders>
              <w:left w:val="single" w:color="000000" w:sz="4" w:space="0"/>
            </w:tcBorders>
            <w:vAlign w:val="top"/>
          </w:tcPr>
          <w:p w14:paraId="0C3E7937">
            <w:pPr>
              <w:pStyle w:val="6"/>
              <w:spacing w:before="105" w:line="184" w:lineRule="auto"/>
              <w:ind w:left="514"/>
              <w:rPr>
                <w:sz w:val="17"/>
                <w:szCs w:val="17"/>
              </w:rPr>
            </w:pPr>
            <w:r>
              <w:rPr>
                <w:spacing w:val="-2"/>
                <w:sz w:val="17"/>
                <w:szCs w:val="17"/>
              </w:rPr>
              <w:t>2801.3</w:t>
            </w:r>
          </w:p>
        </w:tc>
      </w:tr>
      <w:tr w14:paraId="47318D6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0" w:hRule="atLeast"/>
        </w:trPr>
        <w:tc>
          <w:tcPr>
            <w:tcW w:w="1530" w:type="dxa"/>
            <w:tcBorders>
              <w:right w:val="single" w:color="000000" w:sz="4" w:space="0"/>
            </w:tcBorders>
            <w:vAlign w:val="top"/>
          </w:tcPr>
          <w:p w14:paraId="51BB427D">
            <w:pPr>
              <w:pStyle w:val="6"/>
              <w:spacing w:before="86" w:line="183" w:lineRule="auto"/>
              <w:ind w:left="550"/>
              <w:rPr>
                <w:sz w:val="17"/>
                <w:szCs w:val="17"/>
              </w:rPr>
            </w:pPr>
            <w:r>
              <w:rPr>
                <w:spacing w:val="-2"/>
                <w:sz w:val="17"/>
                <w:szCs w:val="17"/>
              </w:rPr>
              <w:t>0.070</w:t>
            </w:r>
          </w:p>
        </w:tc>
        <w:tc>
          <w:tcPr>
            <w:tcW w:w="1590" w:type="dxa"/>
            <w:tcBorders>
              <w:left w:val="single" w:color="000000" w:sz="4" w:space="0"/>
              <w:right w:val="single" w:color="000000" w:sz="4" w:space="0"/>
            </w:tcBorders>
            <w:vAlign w:val="top"/>
          </w:tcPr>
          <w:p w14:paraId="0E3906F4">
            <w:pPr>
              <w:pStyle w:val="6"/>
              <w:spacing w:before="106" w:line="183" w:lineRule="auto"/>
              <w:ind w:left="575"/>
              <w:rPr>
                <w:sz w:val="17"/>
                <w:szCs w:val="17"/>
              </w:rPr>
            </w:pPr>
            <w:r>
              <w:rPr>
                <w:spacing w:val="-2"/>
                <w:sz w:val="17"/>
                <w:szCs w:val="17"/>
              </w:rPr>
              <w:t>89.96</w:t>
            </w:r>
          </w:p>
        </w:tc>
        <w:tc>
          <w:tcPr>
            <w:tcW w:w="1560" w:type="dxa"/>
            <w:tcBorders>
              <w:left w:val="single" w:color="000000" w:sz="4" w:space="0"/>
              <w:right w:val="single" w:color="000000" w:sz="4" w:space="0"/>
            </w:tcBorders>
            <w:vAlign w:val="top"/>
          </w:tcPr>
          <w:p w14:paraId="288E4D21">
            <w:pPr>
              <w:pStyle w:val="6"/>
              <w:spacing w:before="96" w:line="183" w:lineRule="auto"/>
              <w:ind w:left="515"/>
              <w:rPr>
                <w:sz w:val="17"/>
                <w:szCs w:val="17"/>
              </w:rPr>
            </w:pPr>
            <w:r>
              <w:rPr>
                <w:spacing w:val="-2"/>
                <w:sz w:val="17"/>
                <w:szCs w:val="17"/>
              </w:rPr>
              <w:t>2660.2</w:t>
            </w:r>
          </w:p>
        </w:tc>
        <w:tc>
          <w:tcPr>
            <w:tcW w:w="1570" w:type="dxa"/>
            <w:tcBorders>
              <w:left w:val="single" w:color="000000" w:sz="4" w:space="0"/>
              <w:right w:val="single" w:color="000000" w:sz="4" w:space="0"/>
            </w:tcBorders>
            <w:vAlign w:val="top"/>
          </w:tcPr>
          <w:p w14:paraId="3F2B15F7">
            <w:pPr>
              <w:pStyle w:val="6"/>
              <w:spacing w:before="116" w:line="183" w:lineRule="auto"/>
              <w:ind w:left="645"/>
              <w:rPr>
                <w:sz w:val="17"/>
                <w:szCs w:val="17"/>
              </w:rPr>
            </w:pPr>
            <w:r>
              <w:rPr>
                <w:spacing w:val="-2"/>
                <w:sz w:val="17"/>
                <w:szCs w:val="17"/>
              </w:rPr>
              <w:t>4.0</w:t>
            </w:r>
          </w:p>
        </w:tc>
        <w:tc>
          <w:tcPr>
            <w:tcW w:w="1580" w:type="dxa"/>
            <w:tcBorders>
              <w:left w:val="single" w:color="000000" w:sz="4" w:space="0"/>
              <w:right w:val="single" w:color="000000" w:sz="4" w:space="0"/>
            </w:tcBorders>
            <w:vAlign w:val="top"/>
          </w:tcPr>
          <w:p w14:paraId="519A14BF">
            <w:pPr>
              <w:pStyle w:val="6"/>
              <w:spacing w:before="96" w:line="183" w:lineRule="auto"/>
              <w:ind w:left="525"/>
              <w:rPr>
                <w:sz w:val="17"/>
                <w:szCs w:val="17"/>
              </w:rPr>
            </w:pPr>
            <w:r>
              <w:rPr>
                <w:spacing w:val="-2"/>
                <w:sz w:val="17"/>
                <w:szCs w:val="17"/>
              </w:rPr>
              <w:t>250.33</w:t>
            </w:r>
          </w:p>
        </w:tc>
        <w:tc>
          <w:tcPr>
            <w:tcW w:w="1560" w:type="dxa"/>
            <w:tcBorders>
              <w:left w:val="single" w:color="000000" w:sz="4" w:space="0"/>
            </w:tcBorders>
            <w:vAlign w:val="top"/>
          </w:tcPr>
          <w:p w14:paraId="3E049708">
            <w:pPr>
              <w:pStyle w:val="6"/>
              <w:spacing w:before="136" w:line="183" w:lineRule="auto"/>
              <w:ind w:left="514"/>
              <w:rPr>
                <w:sz w:val="17"/>
                <w:szCs w:val="17"/>
              </w:rPr>
            </w:pPr>
            <w:r>
              <w:rPr>
                <w:spacing w:val="-2"/>
                <w:sz w:val="17"/>
                <w:szCs w:val="17"/>
              </w:rPr>
              <w:t>2799.4</w:t>
            </w:r>
          </w:p>
        </w:tc>
      </w:tr>
      <w:tr w14:paraId="10C0F79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15" w:hRule="atLeast"/>
        </w:trPr>
        <w:tc>
          <w:tcPr>
            <w:tcW w:w="1530" w:type="dxa"/>
            <w:tcBorders>
              <w:right w:val="single" w:color="000000" w:sz="4" w:space="0"/>
            </w:tcBorders>
            <w:vAlign w:val="top"/>
          </w:tcPr>
          <w:p w14:paraId="7AEB4C7F">
            <w:pPr>
              <w:pStyle w:val="6"/>
              <w:spacing w:before="86" w:line="183" w:lineRule="auto"/>
              <w:ind w:left="550"/>
              <w:rPr>
                <w:sz w:val="17"/>
                <w:szCs w:val="17"/>
              </w:rPr>
            </w:pPr>
            <w:r>
              <w:rPr>
                <w:spacing w:val="-2"/>
                <w:sz w:val="17"/>
                <w:szCs w:val="17"/>
              </w:rPr>
              <w:t>0.080</w:t>
            </w:r>
          </w:p>
        </w:tc>
        <w:tc>
          <w:tcPr>
            <w:tcW w:w="1590" w:type="dxa"/>
            <w:tcBorders>
              <w:left w:val="single" w:color="000000" w:sz="4" w:space="0"/>
              <w:right w:val="single" w:color="000000" w:sz="4" w:space="0"/>
            </w:tcBorders>
            <w:vAlign w:val="top"/>
          </w:tcPr>
          <w:p w14:paraId="595B09AE">
            <w:pPr>
              <w:pStyle w:val="6"/>
              <w:spacing w:before="116" w:line="184" w:lineRule="auto"/>
              <w:ind w:left="575"/>
              <w:rPr>
                <w:sz w:val="17"/>
                <w:szCs w:val="17"/>
              </w:rPr>
            </w:pPr>
            <w:r>
              <w:rPr>
                <w:spacing w:val="-2"/>
                <w:sz w:val="17"/>
                <w:szCs w:val="17"/>
              </w:rPr>
              <w:t>93.51</w:t>
            </w:r>
          </w:p>
        </w:tc>
        <w:tc>
          <w:tcPr>
            <w:tcW w:w="1560" w:type="dxa"/>
            <w:tcBorders>
              <w:left w:val="single" w:color="000000" w:sz="4" w:space="0"/>
              <w:right w:val="single" w:color="000000" w:sz="4" w:space="0"/>
            </w:tcBorders>
            <w:vAlign w:val="top"/>
          </w:tcPr>
          <w:p w14:paraId="45880839">
            <w:pPr>
              <w:pStyle w:val="6"/>
              <w:spacing w:before="96" w:line="183" w:lineRule="auto"/>
              <w:ind w:left="515"/>
              <w:rPr>
                <w:sz w:val="17"/>
                <w:szCs w:val="17"/>
              </w:rPr>
            </w:pPr>
            <w:r>
              <w:rPr>
                <w:spacing w:val="-2"/>
                <w:sz w:val="17"/>
                <w:szCs w:val="17"/>
              </w:rPr>
              <w:t>2666.0</w:t>
            </w:r>
          </w:p>
        </w:tc>
        <w:tc>
          <w:tcPr>
            <w:tcW w:w="1570" w:type="dxa"/>
            <w:tcBorders>
              <w:left w:val="single" w:color="000000" w:sz="4" w:space="0"/>
              <w:right w:val="single" w:color="000000" w:sz="4" w:space="0"/>
            </w:tcBorders>
            <w:vAlign w:val="top"/>
          </w:tcPr>
          <w:p w14:paraId="6D7C3403">
            <w:pPr>
              <w:pStyle w:val="6"/>
              <w:spacing w:before="116" w:line="183" w:lineRule="auto"/>
              <w:ind w:left="645"/>
              <w:rPr>
                <w:sz w:val="17"/>
                <w:szCs w:val="17"/>
              </w:rPr>
            </w:pPr>
            <w:r>
              <w:rPr>
                <w:spacing w:val="-3"/>
                <w:sz w:val="17"/>
                <w:szCs w:val="17"/>
              </w:rPr>
              <w:t>5.0</w:t>
            </w:r>
          </w:p>
        </w:tc>
        <w:tc>
          <w:tcPr>
            <w:tcW w:w="1580" w:type="dxa"/>
            <w:tcBorders>
              <w:left w:val="single" w:color="000000" w:sz="4" w:space="0"/>
              <w:right w:val="single" w:color="000000" w:sz="4" w:space="0"/>
            </w:tcBorders>
            <w:vAlign w:val="top"/>
          </w:tcPr>
          <w:p w14:paraId="58A728B1">
            <w:pPr>
              <w:pStyle w:val="6"/>
              <w:spacing w:before="96" w:line="183" w:lineRule="auto"/>
              <w:ind w:left="525"/>
              <w:rPr>
                <w:sz w:val="17"/>
                <w:szCs w:val="17"/>
              </w:rPr>
            </w:pPr>
            <w:r>
              <w:rPr>
                <w:spacing w:val="-2"/>
                <w:sz w:val="17"/>
                <w:szCs w:val="17"/>
              </w:rPr>
              <w:t>263.92</w:t>
            </w:r>
          </w:p>
        </w:tc>
        <w:tc>
          <w:tcPr>
            <w:tcW w:w="1560" w:type="dxa"/>
            <w:tcBorders>
              <w:left w:val="single" w:color="000000" w:sz="4" w:space="0"/>
            </w:tcBorders>
            <w:vAlign w:val="top"/>
          </w:tcPr>
          <w:p w14:paraId="6E05D7D3">
            <w:pPr>
              <w:pStyle w:val="6"/>
              <w:spacing w:before="96" w:line="183" w:lineRule="auto"/>
              <w:ind w:left="514"/>
              <w:rPr>
                <w:sz w:val="17"/>
                <w:szCs w:val="17"/>
              </w:rPr>
            </w:pPr>
            <w:r>
              <w:rPr>
                <w:spacing w:val="-2"/>
                <w:sz w:val="17"/>
                <w:szCs w:val="17"/>
              </w:rPr>
              <w:t>2792.8</w:t>
            </w:r>
          </w:p>
        </w:tc>
      </w:tr>
      <w:tr w14:paraId="319A420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9" w:hRule="atLeast"/>
        </w:trPr>
        <w:tc>
          <w:tcPr>
            <w:tcW w:w="1530" w:type="dxa"/>
            <w:tcBorders>
              <w:right w:val="single" w:color="000000" w:sz="4" w:space="0"/>
            </w:tcBorders>
            <w:vAlign w:val="top"/>
          </w:tcPr>
          <w:p w14:paraId="3431BA8E">
            <w:pPr>
              <w:pStyle w:val="6"/>
              <w:spacing w:before="91" w:line="183" w:lineRule="auto"/>
              <w:ind w:left="550"/>
              <w:rPr>
                <w:sz w:val="17"/>
                <w:szCs w:val="17"/>
              </w:rPr>
            </w:pPr>
            <w:r>
              <w:rPr>
                <w:spacing w:val="-2"/>
                <w:sz w:val="17"/>
                <w:szCs w:val="17"/>
              </w:rPr>
              <w:t>0.090</w:t>
            </w:r>
          </w:p>
        </w:tc>
        <w:tc>
          <w:tcPr>
            <w:tcW w:w="1590" w:type="dxa"/>
            <w:tcBorders>
              <w:left w:val="single" w:color="000000" w:sz="4" w:space="0"/>
              <w:right w:val="single" w:color="000000" w:sz="4" w:space="0"/>
            </w:tcBorders>
            <w:vAlign w:val="top"/>
          </w:tcPr>
          <w:p w14:paraId="5D15BF6D">
            <w:pPr>
              <w:pStyle w:val="6"/>
              <w:spacing w:before="110" w:line="184" w:lineRule="auto"/>
              <w:ind w:left="665"/>
              <w:rPr>
                <w:sz w:val="17"/>
                <w:szCs w:val="17"/>
              </w:rPr>
            </w:pPr>
            <w:r>
              <w:rPr>
                <w:spacing w:val="-2"/>
                <w:sz w:val="17"/>
                <w:szCs w:val="17"/>
              </w:rPr>
              <w:t>96.71</w:t>
            </w:r>
          </w:p>
        </w:tc>
        <w:tc>
          <w:tcPr>
            <w:tcW w:w="1560" w:type="dxa"/>
            <w:tcBorders>
              <w:left w:val="single" w:color="000000" w:sz="4" w:space="0"/>
              <w:right w:val="single" w:color="000000" w:sz="4" w:space="0"/>
            </w:tcBorders>
            <w:vAlign w:val="top"/>
          </w:tcPr>
          <w:p w14:paraId="6A92F509">
            <w:pPr>
              <w:pStyle w:val="6"/>
              <w:spacing w:before="100" w:line="184" w:lineRule="auto"/>
              <w:ind w:left="515"/>
              <w:rPr>
                <w:sz w:val="17"/>
                <w:szCs w:val="17"/>
              </w:rPr>
            </w:pPr>
            <w:r>
              <w:rPr>
                <w:spacing w:val="-2"/>
                <w:sz w:val="17"/>
                <w:szCs w:val="17"/>
              </w:rPr>
              <w:t>2671.1</w:t>
            </w:r>
          </w:p>
        </w:tc>
        <w:tc>
          <w:tcPr>
            <w:tcW w:w="1570" w:type="dxa"/>
            <w:tcBorders>
              <w:left w:val="single" w:color="000000" w:sz="4" w:space="0"/>
              <w:right w:val="single" w:color="000000" w:sz="4" w:space="0"/>
            </w:tcBorders>
            <w:vAlign w:val="top"/>
          </w:tcPr>
          <w:p w14:paraId="125F207A">
            <w:pPr>
              <w:pStyle w:val="6"/>
              <w:spacing w:before="111" w:line="183" w:lineRule="auto"/>
              <w:ind w:left="645"/>
              <w:rPr>
                <w:sz w:val="17"/>
                <w:szCs w:val="17"/>
              </w:rPr>
            </w:pPr>
            <w:r>
              <w:rPr>
                <w:spacing w:val="-2"/>
                <w:sz w:val="17"/>
                <w:szCs w:val="17"/>
              </w:rPr>
              <w:t>6.0</w:t>
            </w:r>
          </w:p>
        </w:tc>
        <w:tc>
          <w:tcPr>
            <w:tcW w:w="1580" w:type="dxa"/>
            <w:tcBorders>
              <w:left w:val="single" w:color="000000" w:sz="4" w:space="0"/>
              <w:right w:val="single" w:color="000000" w:sz="4" w:space="0"/>
            </w:tcBorders>
            <w:vAlign w:val="top"/>
          </w:tcPr>
          <w:p w14:paraId="34083509">
            <w:pPr>
              <w:pStyle w:val="6"/>
              <w:spacing w:before="101" w:line="183" w:lineRule="auto"/>
              <w:ind w:left="525"/>
              <w:rPr>
                <w:sz w:val="17"/>
                <w:szCs w:val="17"/>
              </w:rPr>
            </w:pPr>
            <w:r>
              <w:rPr>
                <w:spacing w:val="-2"/>
                <w:sz w:val="17"/>
                <w:szCs w:val="17"/>
              </w:rPr>
              <w:t>275.56</w:t>
            </w:r>
          </w:p>
        </w:tc>
        <w:tc>
          <w:tcPr>
            <w:tcW w:w="1560" w:type="dxa"/>
            <w:tcBorders>
              <w:left w:val="single" w:color="000000" w:sz="4" w:space="0"/>
            </w:tcBorders>
            <w:vAlign w:val="top"/>
          </w:tcPr>
          <w:p w14:paraId="3D0F5C61">
            <w:pPr>
              <w:pStyle w:val="6"/>
              <w:spacing w:before="101" w:line="183" w:lineRule="auto"/>
              <w:ind w:left="514"/>
              <w:rPr>
                <w:sz w:val="17"/>
                <w:szCs w:val="17"/>
              </w:rPr>
            </w:pPr>
            <w:r>
              <w:rPr>
                <w:spacing w:val="-2"/>
                <w:sz w:val="17"/>
                <w:szCs w:val="17"/>
              </w:rPr>
              <w:t>2783.3</w:t>
            </w:r>
          </w:p>
        </w:tc>
      </w:tr>
      <w:tr w14:paraId="16064AB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25" w:hRule="atLeast"/>
        </w:trPr>
        <w:tc>
          <w:tcPr>
            <w:tcW w:w="1530" w:type="dxa"/>
            <w:tcBorders>
              <w:right w:val="single" w:color="000000" w:sz="4" w:space="0"/>
            </w:tcBorders>
            <w:vAlign w:val="top"/>
          </w:tcPr>
          <w:p w14:paraId="50F8A71B">
            <w:pPr>
              <w:pStyle w:val="6"/>
              <w:spacing w:before="92" w:line="184" w:lineRule="auto"/>
              <w:ind w:left="550"/>
              <w:rPr>
                <w:sz w:val="17"/>
                <w:szCs w:val="17"/>
              </w:rPr>
            </w:pPr>
            <w:r>
              <w:rPr>
                <w:spacing w:val="-2"/>
                <w:sz w:val="17"/>
                <w:szCs w:val="17"/>
              </w:rPr>
              <w:t>0.100</w:t>
            </w:r>
          </w:p>
        </w:tc>
        <w:tc>
          <w:tcPr>
            <w:tcW w:w="1590" w:type="dxa"/>
            <w:tcBorders>
              <w:left w:val="single" w:color="000000" w:sz="4" w:space="0"/>
              <w:right w:val="single" w:color="000000" w:sz="4" w:space="0"/>
            </w:tcBorders>
            <w:vAlign w:val="top"/>
          </w:tcPr>
          <w:p w14:paraId="6A81E1AC">
            <w:pPr>
              <w:pStyle w:val="6"/>
              <w:spacing w:before="112" w:line="183" w:lineRule="auto"/>
              <w:ind w:left="575"/>
              <w:rPr>
                <w:sz w:val="17"/>
                <w:szCs w:val="17"/>
              </w:rPr>
            </w:pPr>
            <w:r>
              <w:rPr>
                <w:spacing w:val="-2"/>
                <w:sz w:val="17"/>
                <w:szCs w:val="17"/>
              </w:rPr>
              <w:t>99.63</w:t>
            </w:r>
          </w:p>
        </w:tc>
        <w:tc>
          <w:tcPr>
            <w:tcW w:w="1560" w:type="dxa"/>
            <w:tcBorders>
              <w:left w:val="single" w:color="000000" w:sz="4" w:space="0"/>
              <w:right w:val="single" w:color="000000" w:sz="4" w:space="0"/>
            </w:tcBorders>
            <w:vAlign w:val="top"/>
          </w:tcPr>
          <w:p w14:paraId="42E540D1">
            <w:pPr>
              <w:pStyle w:val="6"/>
              <w:spacing w:before="102" w:line="183" w:lineRule="auto"/>
              <w:ind w:left="515"/>
              <w:rPr>
                <w:sz w:val="17"/>
                <w:szCs w:val="17"/>
              </w:rPr>
            </w:pPr>
            <w:r>
              <w:rPr>
                <w:spacing w:val="-2"/>
                <w:sz w:val="17"/>
                <w:szCs w:val="17"/>
              </w:rPr>
              <w:t>2675.7</w:t>
            </w:r>
          </w:p>
        </w:tc>
        <w:tc>
          <w:tcPr>
            <w:tcW w:w="1570" w:type="dxa"/>
            <w:tcBorders>
              <w:left w:val="single" w:color="000000" w:sz="4" w:space="0"/>
              <w:right w:val="single" w:color="000000" w:sz="4" w:space="0"/>
            </w:tcBorders>
            <w:vAlign w:val="top"/>
          </w:tcPr>
          <w:p w14:paraId="356F1A3B">
            <w:pPr>
              <w:pStyle w:val="6"/>
              <w:spacing w:before="122" w:line="183" w:lineRule="auto"/>
              <w:ind w:left="645"/>
              <w:rPr>
                <w:sz w:val="17"/>
                <w:szCs w:val="17"/>
              </w:rPr>
            </w:pPr>
            <w:r>
              <w:rPr>
                <w:spacing w:val="-3"/>
                <w:sz w:val="17"/>
                <w:szCs w:val="17"/>
              </w:rPr>
              <w:t>7.0</w:t>
            </w:r>
          </w:p>
        </w:tc>
        <w:tc>
          <w:tcPr>
            <w:tcW w:w="1580" w:type="dxa"/>
            <w:tcBorders>
              <w:left w:val="single" w:color="000000" w:sz="4" w:space="0"/>
              <w:right w:val="single" w:color="000000" w:sz="4" w:space="0"/>
            </w:tcBorders>
            <w:vAlign w:val="top"/>
          </w:tcPr>
          <w:p w14:paraId="0EB4C4F6">
            <w:pPr>
              <w:pStyle w:val="6"/>
              <w:spacing w:before="102" w:line="183" w:lineRule="auto"/>
              <w:ind w:left="525"/>
              <w:rPr>
                <w:sz w:val="17"/>
                <w:szCs w:val="17"/>
              </w:rPr>
            </w:pPr>
            <w:r>
              <w:rPr>
                <w:spacing w:val="-2"/>
                <w:sz w:val="17"/>
                <w:szCs w:val="17"/>
              </w:rPr>
              <w:t>285.80</w:t>
            </w:r>
          </w:p>
        </w:tc>
        <w:tc>
          <w:tcPr>
            <w:tcW w:w="1560" w:type="dxa"/>
            <w:tcBorders>
              <w:left w:val="single" w:color="000000" w:sz="4" w:space="0"/>
            </w:tcBorders>
            <w:vAlign w:val="top"/>
          </w:tcPr>
          <w:p w14:paraId="5A1EBA5F">
            <w:pPr>
              <w:pStyle w:val="6"/>
              <w:spacing w:before="122" w:line="184" w:lineRule="auto"/>
              <w:ind w:left="514"/>
              <w:rPr>
                <w:sz w:val="17"/>
                <w:szCs w:val="17"/>
              </w:rPr>
            </w:pPr>
            <w:r>
              <w:rPr>
                <w:spacing w:val="-2"/>
                <w:sz w:val="17"/>
                <w:szCs w:val="17"/>
              </w:rPr>
              <w:t>2771.4</w:t>
            </w:r>
          </w:p>
        </w:tc>
      </w:tr>
      <w:tr w14:paraId="1197EEE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10" w:hRule="atLeast"/>
        </w:trPr>
        <w:tc>
          <w:tcPr>
            <w:tcW w:w="1530" w:type="dxa"/>
            <w:tcBorders>
              <w:right w:val="single" w:color="000000" w:sz="4" w:space="0"/>
            </w:tcBorders>
            <w:vAlign w:val="top"/>
          </w:tcPr>
          <w:p w14:paraId="3252E62F">
            <w:pPr>
              <w:pStyle w:val="6"/>
              <w:spacing w:before="96" w:line="184" w:lineRule="auto"/>
              <w:ind w:left="550"/>
              <w:rPr>
                <w:sz w:val="17"/>
                <w:szCs w:val="17"/>
              </w:rPr>
            </w:pPr>
            <w:r>
              <w:rPr>
                <w:spacing w:val="-2"/>
                <w:sz w:val="17"/>
                <w:szCs w:val="17"/>
              </w:rPr>
              <w:t>0.120</w:t>
            </w:r>
          </w:p>
        </w:tc>
        <w:tc>
          <w:tcPr>
            <w:tcW w:w="1590" w:type="dxa"/>
            <w:tcBorders>
              <w:left w:val="single" w:color="000000" w:sz="4" w:space="0"/>
              <w:right w:val="single" w:color="000000" w:sz="4" w:space="0"/>
            </w:tcBorders>
            <w:vAlign w:val="top"/>
          </w:tcPr>
          <w:p w14:paraId="32CE0367">
            <w:pPr>
              <w:pStyle w:val="6"/>
              <w:spacing w:before="107" w:line="184" w:lineRule="auto"/>
              <w:ind w:left="535"/>
              <w:rPr>
                <w:sz w:val="17"/>
                <w:szCs w:val="17"/>
              </w:rPr>
            </w:pPr>
            <w:r>
              <w:rPr>
                <w:spacing w:val="-3"/>
                <w:sz w:val="17"/>
                <w:szCs w:val="17"/>
              </w:rPr>
              <w:t>104.81</w:t>
            </w:r>
          </w:p>
        </w:tc>
        <w:tc>
          <w:tcPr>
            <w:tcW w:w="1560" w:type="dxa"/>
            <w:tcBorders>
              <w:left w:val="single" w:color="000000" w:sz="4" w:space="0"/>
              <w:right w:val="single" w:color="000000" w:sz="4" w:space="0"/>
            </w:tcBorders>
            <w:vAlign w:val="top"/>
          </w:tcPr>
          <w:p w14:paraId="32FF3F6C">
            <w:pPr>
              <w:pStyle w:val="6"/>
              <w:spacing w:before="107" w:line="183" w:lineRule="auto"/>
              <w:ind w:left="515"/>
              <w:rPr>
                <w:sz w:val="17"/>
                <w:szCs w:val="17"/>
              </w:rPr>
            </w:pPr>
            <w:r>
              <w:rPr>
                <w:spacing w:val="-2"/>
                <w:sz w:val="17"/>
                <w:szCs w:val="17"/>
              </w:rPr>
              <w:t>2683.8</w:t>
            </w:r>
          </w:p>
        </w:tc>
        <w:tc>
          <w:tcPr>
            <w:tcW w:w="1570" w:type="dxa"/>
            <w:tcBorders>
              <w:left w:val="single" w:color="000000" w:sz="4" w:space="0"/>
              <w:right w:val="single" w:color="000000" w:sz="4" w:space="0"/>
            </w:tcBorders>
            <w:vAlign w:val="top"/>
          </w:tcPr>
          <w:p w14:paraId="61B0949E">
            <w:pPr>
              <w:pStyle w:val="6"/>
              <w:spacing w:before="107" w:line="183" w:lineRule="auto"/>
              <w:ind w:left="645"/>
              <w:rPr>
                <w:sz w:val="17"/>
                <w:szCs w:val="17"/>
              </w:rPr>
            </w:pPr>
            <w:r>
              <w:rPr>
                <w:spacing w:val="-2"/>
                <w:sz w:val="17"/>
                <w:szCs w:val="17"/>
              </w:rPr>
              <w:t>8.0</w:t>
            </w:r>
          </w:p>
        </w:tc>
        <w:tc>
          <w:tcPr>
            <w:tcW w:w="1580" w:type="dxa"/>
            <w:tcBorders>
              <w:left w:val="single" w:color="000000" w:sz="4" w:space="0"/>
              <w:right w:val="single" w:color="000000" w:sz="4" w:space="0"/>
            </w:tcBorders>
            <w:vAlign w:val="top"/>
          </w:tcPr>
          <w:p w14:paraId="668E3789">
            <w:pPr>
              <w:pStyle w:val="6"/>
              <w:spacing w:before="107" w:line="183" w:lineRule="auto"/>
              <w:ind w:left="525"/>
              <w:rPr>
                <w:sz w:val="17"/>
                <w:szCs w:val="17"/>
              </w:rPr>
            </w:pPr>
            <w:r>
              <w:rPr>
                <w:spacing w:val="-2"/>
                <w:sz w:val="17"/>
                <w:szCs w:val="17"/>
              </w:rPr>
              <w:t>294.98</w:t>
            </w:r>
          </w:p>
        </w:tc>
        <w:tc>
          <w:tcPr>
            <w:tcW w:w="1560" w:type="dxa"/>
            <w:tcBorders>
              <w:left w:val="single" w:color="000000" w:sz="4" w:space="0"/>
            </w:tcBorders>
            <w:vAlign w:val="top"/>
          </w:tcPr>
          <w:p w14:paraId="0BBFA7D8">
            <w:pPr>
              <w:pStyle w:val="6"/>
              <w:spacing w:before="107" w:line="183" w:lineRule="auto"/>
              <w:ind w:left="514"/>
              <w:rPr>
                <w:sz w:val="17"/>
                <w:szCs w:val="17"/>
              </w:rPr>
            </w:pPr>
            <w:r>
              <w:rPr>
                <w:spacing w:val="-2"/>
                <w:sz w:val="17"/>
                <w:szCs w:val="17"/>
              </w:rPr>
              <w:t>2757.5</w:t>
            </w:r>
          </w:p>
        </w:tc>
      </w:tr>
      <w:tr w14:paraId="11E6834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4" w:hRule="atLeast"/>
        </w:trPr>
        <w:tc>
          <w:tcPr>
            <w:tcW w:w="1530" w:type="dxa"/>
            <w:tcBorders>
              <w:right w:val="single" w:color="000000" w:sz="4" w:space="0"/>
            </w:tcBorders>
            <w:vAlign w:val="top"/>
          </w:tcPr>
          <w:p w14:paraId="2A06BAE0">
            <w:pPr>
              <w:pStyle w:val="6"/>
              <w:spacing w:before="96" w:line="184" w:lineRule="auto"/>
              <w:ind w:left="550"/>
              <w:rPr>
                <w:sz w:val="17"/>
                <w:szCs w:val="17"/>
              </w:rPr>
            </w:pPr>
            <w:r>
              <w:rPr>
                <w:spacing w:val="-2"/>
                <w:sz w:val="17"/>
                <w:szCs w:val="17"/>
              </w:rPr>
              <w:t>0.140</w:t>
            </w:r>
          </w:p>
        </w:tc>
        <w:tc>
          <w:tcPr>
            <w:tcW w:w="1590" w:type="dxa"/>
            <w:tcBorders>
              <w:left w:val="single" w:color="000000" w:sz="4" w:space="0"/>
              <w:right w:val="single" w:color="000000" w:sz="4" w:space="0"/>
            </w:tcBorders>
            <w:vAlign w:val="top"/>
          </w:tcPr>
          <w:p w14:paraId="7461A2EF">
            <w:pPr>
              <w:pStyle w:val="6"/>
              <w:spacing w:before="106" w:line="184" w:lineRule="auto"/>
              <w:ind w:left="535"/>
              <w:rPr>
                <w:sz w:val="17"/>
                <w:szCs w:val="17"/>
              </w:rPr>
            </w:pPr>
            <w:r>
              <w:rPr>
                <w:spacing w:val="-3"/>
                <w:sz w:val="17"/>
                <w:szCs w:val="17"/>
              </w:rPr>
              <w:t>109.32</w:t>
            </w:r>
          </w:p>
        </w:tc>
        <w:tc>
          <w:tcPr>
            <w:tcW w:w="1560" w:type="dxa"/>
            <w:tcBorders>
              <w:left w:val="single" w:color="000000" w:sz="4" w:space="0"/>
              <w:right w:val="single" w:color="000000" w:sz="4" w:space="0"/>
            </w:tcBorders>
            <w:vAlign w:val="top"/>
          </w:tcPr>
          <w:p w14:paraId="7197EA94">
            <w:pPr>
              <w:pStyle w:val="6"/>
              <w:spacing w:before="107" w:line="183" w:lineRule="auto"/>
              <w:ind w:left="515"/>
              <w:rPr>
                <w:sz w:val="17"/>
                <w:szCs w:val="17"/>
              </w:rPr>
            </w:pPr>
            <w:r>
              <w:rPr>
                <w:spacing w:val="-2"/>
                <w:sz w:val="17"/>
                <w:szCs w:val="17"/>
              </w:rPr>
              <w:t>2690.8</w:t>
            </w:r>
          </w:p>
        </w:tc>
        <w:tc>
          <w:tcPr>
            <w:tcW w:w="1570" w:type="dxa"/>
            <w:tcBorders>
              <w:left w:val="single" w:color="000000" w:sz="4" w:space="0"/>
              <w:right w:val="single" w:color="000000" w:sz="4" w:space="0"/>
            </w:tcBorders>
            <w:vAlign w:val="top"/>
          </w:tcPr>
          <w:p w14:paraId="0EA8BBA6">
            <w:pPr>
              <w:pStyle w:val="6"/>
              <w:spacing w:before="107" w:line="183" w:lineRule="auto"/>
              <w:ind w:left="645"/>
              <w:rPr>
                <w:sz w:val="17"/>
                <w:szCs w:val="17"/>
              </w:rPr>
            </w:pPr>
            <w:r>
              <w:rPr>
                <w:spacing w:val="-2"/>
                <w:sz w:val="17"/>
                <w:szCs w:val="17"/>
              </w:rPr>
              <w:t>9.0</w:t>
            </w:r>
          </w:p>
        </w:tc>
        <w:tc>
          <w:tcPr>
            <w:tcW w:w="1580" w:type="dxa"/>
            <w:tcBorders>
              <w:left w:val="single" w:color="000000" w:sz="4" w:space="0"/>
              <w:right w:val="single" w:color="000000" w:sz="4" w:space="0"/>
            </w:tcBorders>
            <w:vAlign w:val="top"/>
          </w:tcPr>
          <w:p w14:paraId="57A56D54">
            <w:pPr>
              <w:pStyle w:val="6"/>
              <w:spacing w:before="106" w:line="184" w:lineRule="auto"/>
              <w:ind w:left="525"/>
              <w:rPr>
                <w:sz w:val="17"/>
                <w:szCs w:val="17"/>
              </w:rPr>
            </w:pPr>
            <w:r>
              <w:rPr>
                <w:spacing w:val="-2"/>
                <w:sz w:val="17"/>
                <w:szCs w:val="17"/>
              </w:rPr>
              <w:t>303.31</w:t>
            </w:r>
          </w:p>
        </w:tc>
        <w:tc>
          <w:tcPr>
            <w:tcW w:w="1560" w:type="dxa"/>
            <w:tcBorders>
              <w:left w:val="single" w:color="000000" w:sz="4" w:space="0"/>
            </w:tcBorders>
            <w:vAlign w:val="top"/>
          </w:tcPr>
          <w:p w14:paraId="6C7F12C8">
            <w:pPr>
              <w:pStyle w:val="6"/>
              <w:spacing w:before="106" w:line="184" w:lineRule="auto"/>
              <w:ind w:left="514"/>
              <w:rPr>
                <w:sz w:val="17"/>
                <w:szCs w:val="17"/>
              </w:rPr>
            </w:pPr>
            <w:r>
              <w:rPr>
                <w:spacing w:val="-2"/>
                <w:sz w:val="17"/>
                <w:szCs w:val="17"/>
              </w:rPr>
              <w:t>2741.8</w:t>
            </w:r>
          </w:p>
        </w:tc>
      </w:tr>
      <w:tr w14:paraId="11C6666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0" w:hRule="atLeast"/>
        </w:trPr>
        <w:tc>
          <w:tcPr>
            <w:tcW w:w="1530" w:type="dxa"/>
            <w:tcBorders>
              <w:right w:val="single" w:color="000000" w:sz="4" w:space="0"/>
            </w:tcBorders>
            <w:vAlign w:val="top"/>
          </w:tcPr>
          <w:p w14:paraId="7657438B">
            <w:pPr>
              <w:pStyle w:val="6"/>
              <w:spacing w:before="92" w:line="184" w:lineRule="auto"/>
              <w:ind w:left="550"/>
              <w:rPr>
                <w:sz w:val="17"/>
                <w:szCs w:val="17"/>
              </w:rPr>
            </w:pPr>
            <w:r>
              <w:rPr>
                <w:spacing w:val="-2"/>
                <w:sz w:val="17"/>
                <w:szCs w:val="17"/>
              </w:rPr>
              <w:t>0.160</w:t>
            </w:r>
          </w:p>
        </w:tc>
        <w:tc>
          <w:tcPr>
            <w:tcW w:w="1590" w:type="dxa"/>
            <w:tcBorders>
              <w:left w:val="single" w:color="000000" w:sz="4" w:space="0"/>
              <w:right w:val="single" w:color="000000" w:sz="4" w:space="0"/>
            </w:tcBorders>
            <w:vAlign w:val="top"/>
          </w:tcPr>
          <w:p w14:paraId="5E9FC19F">
            <w:pPr>
              <w:pStyle w:val="6"/>
              <w:spacing w:before="102" w:line="184" w:lineRule="auto"/>
              <w:ind w:left="535"/>
              <w:rPr>
                <w:sz w:val="17"/>
                <w:szCs w:val="17"/>
              </w:rPr>
            </w:pPr>
            <w:r>
              <w:rPr>
                <w:spacing w:val="-3"/>
                <w:sz w:val="17"/>
                <w:szCs w:val="17"/>
              </w:rPr>
              <w:t>113.32</w:t>
            </w:r>
          </w:p>
        </w:tc>
        <w:tc>
          <w:tcPr>
            <w:tcW w:w="1560" w:type="dxa"/>
            <w:tcBorders>
              <w:left w:val="single" w:color="000000" w:sz="4" w:space="0"/>
              <w:right w:val="single" w:color="000000" w:sz="4" w:space="0"/>
            </w:tcBorders>
            <w:vAlign w:val="top"/>
          </w:tcPr>
          <w:p w14:paraId="36945F2D">
            <w:pPr>
              <w:pStyle w:val="6"/>
              <w:spacing w:before="103" w:line="183" w:lineRule="auto"/>
              <w:ind w:left="515"/>
              <w:rPr>
                <w:sz w:val="17"/>
                <w:szCs w:val="17"/>
              </w:rPr>
            </w:pPr>
            <w:r>
              <w:rPr>
                <w:spacing w:val="-2"/>
                <w:sz w:val="17"/>
                <w:szCs w:val="17"/>
              </w:rPr>
              <w:t>2696.8</w:t>
            </w:r>
          </w:p>
        </w:tc>
        <w:tc>
          <w:tcPr>
            <w:tcW w:w="1570" w:type="dxa"/>
            <w:tcBorders>
              <w:left w:val="single" w:color="000000" w:sz="4" w:space="0"/>
              <w:right w:val="single" w:color="000000" w:sz="4" w:space="0"/>
            </w:tcBorders>
            <w:vAlign w:val="top"/>
          </w:tcPr>
          <w:p w14:paraId="55ED2F8D">
            <w:pPr>
              <w:pStyle w:val="6"/>
              <w:spacing w:before="112" w:line="184" w:lineRule="auto"/>
              <w:ind w:left="605"/>
              <w:rPr>
                <w:sz w:val="17"/>
                <w:szCs w:val="17"/>
              </w:rPr>
            </w:pPr>
            <w:r>
              <w:rPr>
                <w:spacing w:val="-4"/>
                <w:sz w:val="17"/>
                <w:szCs w:val="17"/>
              </w:rPr>
              <w:t>10.0</w:t>
            </w:r>
          </w:p>
        </w:tc>
        <w:tc>
          <w:tcPr>
            <w:tcW w:w="1580" w:type="dxa"/>
            <w:tcBorders>
              <w:left w:val="single" w:color="000000" w:sz="4" w:space="0"/>
              <w:right w:val="single" w:color="000000" w:sz="4" w:space="0"/>
            </w:tcBorders>
            <w:vAlign w:val="top"/>
          </w:tcPr>
          <w:p w14:paraId="6EF4BE23">
            <w:pPr>
              <w:pStyle w:val="6"/>
              <w:spacing w:before="102" w:line="184" w:lineRule="auto"/>
              <w:ind w:left="525"/>
              <w:rPr>
                <w:sz w:val="17"/>
                <w:szCs w:val="17"/>
              </w:rPr>
            </w:pPr>
            <w:r>
              <w:rPr>
                <w:spacing w:val="-2"/>
                <w:sz w:val="17"/>
                <w:szCs w:val="17"/>
              </w:rPr>
              <w:t>310.96</w:t>
            </w:r>
          </w:p>
        </w:tc>
        <w:tc>
          <w:tcPr>
            <w:tcW w:w="1560" w:type="dxa"/>
            <w:tcBorders>
              <w:left w:val="single" w:color="000000" w:sz="4" w:space="0"/>
            </w:tcBorders>
            <w:vAlign w:val="top"/>
          </w:tcPr>
          <w:p w14:paraId="71AED60D">
            <w:pPr>
              <w:pStyle w:val="6"/>
              <w:spacing w:before="143" w:line="183" w:lineRule="auto"/>
              <w:ind w:left="514"/>
              <w:rPr>
                <w:sz w:val="17"/>
                <w:szCs w:val="17"/>
              </w:rPr>
            </w:pPr>
            <w:r>
              <w:rPr>
                <w:spacing w:val="-2"/>
                <w:sz w:val="17"/>
                <w:szCs w:val="17"/>
              </w:rPr>
              <w:t>2724.4</w:t>
            </w:r>
          </w:p>
        </w:tc>
      </w:tr>
      <w:tr w14:paraId="356C37A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10" w:hRule="atLeast"/>
        </w:trPr>
        <w:tc>
          <w:tcPr>
            <w:tcW w:w="1530" w:type="dxa"/>
            <w:tcBorders>
              <w:right w:val="single" w:color="000000" w:sz="4" w:space="0"/>
            </w:tcBorders>
            <w:vAlign w:val="top"/>
          </w:tcPr>
          <w:p w14:paraId="6EFFC769">
            <w:pPr>
              <w:pStyle w:val="6"/>
              <w:spacing w:before="83" w:line="184" w:lineRule="auto"/>
              <w:ind w:left="550"/>
              <w:rPr>
                <w:sz w:val="17"/>
                <w:szCs w:val="17"/>
              </w:rPr>
            </w:pPr>
            <w:r>
              <w:rPr>
                <w:spacing w:val="-2"/>
                <w:sz w:val="17"/>
                <w:szCs w:val="17"/>
              </w:rPr>
              <w:t>0.180</w:t>
            </w:r>
          </w:p>
        </w:tc>
        <w:tc>
          <w:tcPr>
            <w:tcW w:w="1590" w:type="dxa"/>
            <w:tcBorders>
              <w:left w:val="single" w:color="000000" w:sz="4" w:space="0"/>
              <w:right w:val="single" w:color="000000" w:sz="4" w:space="0"/>
            </w:tcBorders>
            <w:vAlign w:val="top"/>
          </w:tcPr>
          <w:p w14:paraId="7A0442BC">
            <w:pPr>
              <w:pStyle w:val="6"/>
              <w:spacing w:before="92" w:line="184" w:lineRule="auto"/>
              <w:ind w:left="535"/>
              <w:rPr>
                <w:sz w:val="17"/>
                <w:szCs w:val="17"/>
              </w:rPr>
            </w:pPr>
            <w:r>
              <w:rPr>
                <w:spacing w:val="-3"/>
                <w:sz w:val="17"/>
                <w:szCs w:val="17"/>
              </w:rPr>
              <w:t>116.93</w:t>
            </w:r>
          </w:p>
        </w:tc>
        <w:tc>
          <w:tcPr>
            <w:tcW w:w="1560" w:type="dxa"/>
            <w:tcBorders>
              <w:left w:val="single" w:color="000000" w:sz="4" w:space="0"/>
              <w:right w:val="single" w:color="000000" w:sz="4" w:space="0"/>
            </w:tcBorders>
            <w:vAlign w:val="top"/>
          </w:tcPr>
          <w:p w14:paraId="3075CA80">
            <w:pPr>
              <w:pStyle w:val="6"/>
              <w:spacing w:before="92" w:line="184" w:lineRule="auto"/>
              <w:ind w:left="515"/>
              <w:rPr>
                <w:sz w:val="17"/>
                <w:szCs w:val="17"/>
              </w:rPr>
            </w:pPr>
            <w:r>
              <w:rPr>
                <w:spacing w:val="-2"/>
                <w:sz w:val="17"/>
                <w:szCs w:val="17"/>
              </w:rPr>
              <w:t>2702.1</w:t>
            </w:r>
          </w:p>
        </w:tc>
        <w:tc>
          <w:tcPr>
            <w:tcW w:w="1570" w:type="dxa"/>
            <w:tcBorders>
              <w:left w:val="single" w:color="000000" w:sz="4" w:space="0"/>
              <w:right w:val="single" w:color="000000" w:sz="4" w:space="0"/>
            </w:tcBorders>
            <w:vAlign w:val="top"/>
          </w:tcPr>
          <w:p w14:paraId="082EAECA">
            <w:pPr>
              <w:pStyle w:val="6"/>
              <w:spacing w:before="112" w:line="184" w:lineRule="auto"/>
              <w:ind w:left="605"/>
              <w:rPr>
                <w:sz w:val="17"/>
                <w:szCs w:val="17"/>
              </w:rPr>
            </w:pPr>
            <w:r>
              <w:rPr>
                <w:spacing w:val="-4"/>
                <w:sz w:val="17"/>
                <w:szCs w:val="17"/>
              </w:rPr>
              <w:t>11.0</w:t>
            </w:r>
          </w:p>
        </w:tc>
        <w:tc>
          <w:tcPr>
            <w:tcW w:w="1580" w:type="dxa"/>
            <w:tcBorders>
              <w:left w:val="single" w:color="000000" w:sz="4" w:space="0"/>
              <w:right w:val="single" w:color="000000" w:sz="4" w:space="0"/>
            </w:tcBorders>
            <w:vAlign w:val="top"/>
          </w:tcPr>
          <w:p w14:paraId="1F83D7C3">
            <w:pPr>
              <w:pStyle w:val="6"/>
              <w:spacing w:before="122" w:line="184" w:lineRule="auto"/>
              <w:ind w:left="525"/>
              <w:rPr>
                <w:sz w:val="17"/>
                <w:szCs w:val="17"/>
              </w:rPr>
            </w:pPr>
            <w:r>
              <w:rPr>
                <w:spacing w:val="-2"/>
                <w:sz w:val="17"/>
                <w:szCs w:val="17"/>
              </w:rPr>
              <w:t>318.04</w:t>
            </w:r>
          </w:p>
        </w:tc>
        <w:tc>
          <w:tcPr>
            <w:tcW w:w="1560" w:type="dxa"/>
            <w:tcBorders>
              <w:left w:val="single" w:color="000000" w:sz="4" w:space="0"/>
            </w:tcBorders>
            <w:vAlign w:val="top"/>
          </w:tcPr>
          <w:p w14:paraId="0EF3B12B">
            <w:pPr>
              <w:pStyle w:val="6"/>
              <w:spacing w:before="93" w:line="183" w:lineRule="auto"/>
              <w:ind w:left="514"/>
              <w:rPr>
                <w:sz w:val="17"/>
                <w:szCs w:val="17"/>
              </w:rPr>
            </w:pPr>
            <w:r>
              <w:rPr>
                <w:spacing w:val="-2"/>
                <w:sz w:val="17"/>
                <w:szCs w:val="17"/>
              </w:rPr>
              <w:t>2705.4</w:t>
            </w:r>
          </w:p>
        </w:tc>
      </w:tr>
      <w:tr w14:paraId="69BEFD1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15" w:hRule="atLeast"/>
        </w:trPr>
        <w:tc>
          <w:tcPr>
            <w:tcW w:w="1530" w:type="dxa"/>
            <w:tcBorders>
              <w:right w:val="single" w:color="000000" w:sz="4" w:space="0"/>
            </w:tcBorders>
            <w:vAlign w:val="top"/>
          </w:tcPr>
          <w:p w14:paraId="4E7BB2F7">
            <w:pPr>
              <w:pStyle w:val="6"/>
              <w:spacing w:before="83" w:line="183" w:lineRule="auto"/>
              <w:ind w:left="550"/>
              <w:rPr>
                <w:sz w:val="17"/>
                <w:szCs w:val="17"/>
              </w:rPr>
            </w:pPr>
            <w:r>
              <w:rPr>
                <w:spacing w:val="-2"/>
                <w:sz w:val="17"/>
                <w:szCs w:val="17"/>
              </w:rPr>
              <w:t>0.200</w:t>
            </w:r>
          </w:p>
        </w:tc>
        <w:tc>
          <w:tcPr>
            <w:tcW w:w="1590" w:type="dxa"/>
            <w:tcBorders>
              <w:left w:val="single" w:color="000000" w:sz="4" w:space="0"/>
              <w:right w:val="single" w:color="000000" w:sz="4" w:space="0"/>
            </w:tcBorders>
            <w:vAlign w:val="top"/>
          </w:tcPr>
          <w:p w14:paraId="0C218988">
            <w:pPr>
              <w:pStyle w:val="6"/>
              <w:spacing w:before="92" w:line="184" w:lineRule="auto"/>
              <w:ind w:left="535"/>
              <w:rPr>
                <w:sz w:val="17"/>
                <w:szCs w:val="17"/>
              </w:rPr>
            </w:pPr>
            <w:r>
              <w:rPr>
                <w:spacing w:val="-3"/>
                <w:sz w:val="17"/>
                <w:szCs w:val="17"/>
              </w:rPr>
              <w:t>120.23</w:t>
            </w:r>
          </w:p>
        </w:tc>
        <w:tc>
          <w:tcPr>
            <w:tcW w:w="1560" w:type="dxa"/>
            <w:tcBorders>
              <w:left w:val="single" w:color="000000" w:sz="4" w:space="0"/>
              <w:right w:val="single" w:color="000000" w:sz="4" w:space="0"/>
            </w:tcBorders>
            <w:vAlign w:val="top"/>
          </w:tcPr>
          <w:p w14:paraId="23472168">
            <w:pPr>
              <w:pStyle w:val="6"/>
              <w:spacing w:before="123" w:line="183" w:lineRule="auto"/>
              <w:ind w:left="515"/>
              <w:rPr>
                <w:sz w:val="17"/>
                <w:szCs w:val="17"/>
              </w:rPr>
            </w:pPr>
            <w:r>
              <w:rPr>
                <w:spacing w:val="-2"/>
                <w:sz w:val="17"/>
                <w:szCs w:val="17"/>
              </w:rPr>
              <w:t>2706.9</w:t>
            </w:r>
          </w:p>
        </w:tc>
        <w:tc>
          <w:tcPr>
            <w:tcW w:w="1570" w:type="dxa"/>
            <w:tcBorders>
              <w:left w:val="single" w:color="000000" w:sz="4" w:space="0"/>
              <w:right w:val="single" w:color="000000" w:sz="4" w:space="0"/>
            </w:tcBorders>
            <w:vAlign w:val="top"/>
          </w:tcPr>
          <w:p w14:paraId="4D6843C9">
            <w:pPr>
              <w:pStyle w:val="6"/>
              <w:spacing w:before="112" w:line="184" w:lineRule="auto"/>
              <w:ind w:left="605"/>
              <w:rPr>
                <w:sz w:val="17"/>
                <w:szCs w:val="17"/>
              </w:rPr>
            </w:pPr>
            <w:r>
              <w:rPr>
                <w:spacing w:val="-4"/>
                <w:sz w:val="17"/>
                <w:szCs w:val="17"/>
              </w:rPr>
              <w:t>12.0</w:t>
            </w:r>
          </w:p>
        </w:tc>
        <w:tc>
          <w:tcPr>
            <w:tcW w:w="1580" w:type="dxa"/>
            <w:tcBorders>
              <w:left w:val="single" w:color="000000" w:sz="4" w:space="0"/>
              <w:right w:val="single" w:color="000000" w:sz="4" w:space="0"/>
            </w:tcBorders>
            <w:vAlign w:val="top"/>
          </w:tcPr>
          <w:p w14:paraId="04DF0525">
            <w:pPr>
              <w:pStyle w:val="6"/>
              <w:spacing w:before="123" w:line="183" w:lineRule="auto"/>
              <w:ind w:left="525"/>
              <w:rPr>
                <w:sz w:val="17"/>
                <w:szCs w:val="17"/>
              </w:rPr>
            </w:pPr>
            <w:r>
              <w:rPr>
                <w:spacing w:val="-2"/>
                <w:sz w:val="17"/>
                <w:szCs w:val="17"/>
              </w:rPr>
              <w:t>324.64</w:t>
            </w:r>
          </w:p>
        </w:tc>
        <w:tc>
          <w:tcPr>
            <w:tcW w:w="1560" w:type="dxa"/>
            <w:tcBorders>
              <w:left w:val="single" w:color="000000" w:sz="4" w:space="0"/>
            </w:tcBorders>
            <w:vAlign w:val="top"/>
          </w:tcPr>
          <w:p w14:paraId="08BFBF3F">
            <w:pPr>
              <w:pStyle w:val="6"/>
              <w:spacing w:before="123" w:line="183" w:lineRule="auto"/>
              <w:ind w:left="514"/>
              <w:rPr>
                <w:sz w:val="17"/>
                <w:szCs w:val="17"/>
              </w:rPr>
            </w:pPr>
            <w:r>
              <w:rPr>
                <w:spacing w:val="-2"/>
                <w:sz w:val="17"/>
                <w:szCs w:val="17"/>
              </w:rPr>
              <w:t>2684.8</w:t>
            </w:r>
          </w:p>
        </w:tc>
      </w:tr>
      <w:tr w14:paraId="225E7B4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19" w:hRule="atLeast"/>
        </w:trPr>
        <w:tc>
          <w:tcPr>
            <w:tcW w:w="1530" w:type="dxa"/>
            <w:tcBorders>
              <w:right w:val="single" w:color="000000" w:sz="4" w:space="0"/>
            </w:tcBorders>
            <w:vAlign w:val="top"/>
          </w:tcPr>
          <w:p w14:paraId="2D80822B">
            <w:pPr>
              <w:pStyle w:val="6"/>
              <w:spacing w:before="88" w:line="183" w:lineRule="auto"/>
              <w:ind w:left="550"/>
              <w:rPr>
                <w:sz w:val="17"/>
                <w:szCs w:val="17"/>
              </w:rPr>
            </w:pPr>
            <w:r>
              <w:rPr>
                <w:spacing w:val="-2"/>
                <w:sz w:val="17"/>
                <w:szCs w:val="17"/>
              </w:rPr>
              <w:t>0.250</w:t>
            </w:r>
          </w:p>
        </w:tc>
        <w:tc>
          <w:tcPr>
            <w:tcW w:w="1590" w:type="dxa"/>
            <w:tcBorders>
              <w:left w:val="single" w:color="000000" w:sz="4" w:space="0"/>
              <w:right w:val="single" w:color="000000" w:sz="4" w:space="0"/>
            </w:tcBorders>
            <w:vAlign w:val="top"/>
          </w:tcPr>
          <w:p w14:paraId="7C9DD3F5">
            <w:pPr>
              <w:pStyle w:val="6"/>
              <w:spacing w:before="97" w:line="184" w:lineRule="auto"/>
              <w:ind w:left="535"/>
              <w:rPr>
                <w:sz w:val="17"/>
                <w:szCs w:val="17"/>
              </w:rPr>
            </w:pPr>
            <w:r>
              <w:rPr>
                <w:spacing w:val="-3"/>
                <w:sz w:val="17"/>
                <w:szCs w:val="17"/>
              </w:rPr>
              <w:t>127.43</w:t>
            </w:r>
          </w:p>
        </w:tc>
        <w:tc>
          <w:tcPr>
            <w:tcW w:w="1560" w:type="dxa"/>
            <w:tcBorders>
              <w:left w:val="single" w:color="000000" w:sz="4" w:space="0"/>
              <w:right w:val="single" w:color="000000" w:sz="4" w:space="0"/>
            </w:tcBorders>
            <w:vAlign w:val="top"/>
          </w:tcPr>
          <w:p w14:paraId="7F1CE0CF">
            <w:pPr>
              <w:pStyle w:val="6"/>
              <w:spacing w:before="108" w:line="184" w:lineRule="auto"/>
              <w:ind w:left="515"/>
              <w:rPr>
                <w:sz w:val="17"/>
                <w:szCs w:val="17"/>
              </w:rPr>
            </w:pPr>
            <w:r>
              <w:rPr>
                <w:spacing w:val="-2"/>
                <w:sz w:val="17"/>
                <w:szCs w:val="17"/>
              </w:rPr>
              <w:t>2717.2</w:t>
            </w:r>
          </w:p>
        </w:tc>
        <w:tc>
          <w:tcPr>
            <w:tcW w:w="1570" w:type="dxa"/>
            <w:tcBorders>
              <w:left w:val="single" w:color="000000" w:sz="4" w:space="0"/>
              <w:right w:val="single" w:color="000000" w:sz="4" w:space="0"/>
            </w:tcBorders>
            <w:vAlign w:val="top"/>
          </w:tcPr>
          <w:p w14:paraId="33D096B4">
            <w:pPr>
              <w:pStyle w:val="6"/>
              <w:spacing w:before="108" w:line="184" w:lineRule="auto"/>
              <w:ind w:left="605"/>
              <w:rPr>
                <w:sz w:val="17"/>
                <w:szCs w:val="17"/>
              </w:rPr>
            </w:pPr>
            <w:r>
              <w:rPr>
                <w:spacing w:val="-4"/>
                <w:sz w:val="17"/>
                <w:szCs w:val="17"/>
              </w:rPr>
              <w:t>13.0</w:t>
            </w:r>
          </w:p>
        </w:tc>
        <w:tc>
          <w:tcPr>
            <w:tcW w:w="1580" w:type="dxa"/>
            <w:tcBorders>
              <w:left w:val="single" w:color="000000" w:sz="4" w:space="0"/>
              <w:right w:val="single" w:color="000000" w:sz="4" w:space="0"/>
            </w:tcBorders>
            <w:vAlign w:val="top"/>
          </w:tcPr>
          <w:p w14:paraId="3FCAADE9">
            <w:pPr>
              <w:pStyle w:val="6"/>
              <w:spacing w:before="97" w:line="184" w:lineRule="auto"/>
              <w:ind w:left="525"/>
              <w:rPr>
                <w:sz w:val="17"/>
                <w:szCs w:val="17"/>
              </w:rPr>
            </w:pPr>
            <w:r>
              <w:rPr>
                <w:spacing w:val="-2"/>
                <w:sz w:val="17"/>
                <w:szCs w:val="17"/>
              </w:rPr>
              <w:t>330.81</w:t>
            </w:r>
          </w:p>
        </w:tc>
        <w:tc>
          <w:tcPr>
            <w:tcW w:w="1560" w:type="dxa"/>
            <w:tcBorders>
              <w:left w:val="single" w:color="000000" w:sz="4" w:space="0"/>
            </w:tcBorders>
            <w:vAlign w:val="top"/>
          </w:tcPr>
          <w:p w14:paraId="443DA554">
            <w:pPr>
              <w:pStyle w:val="6"/>
              <w:spacing w:before="118" w:line="183" w:lineRule="auto"/>
              <w:ind w:left="514"/>
              <w:rPr>
                <w:sz w:val="17"/>
                <w:szCs w:val="17"/>
              </w:rPr>
            </w:pPr>
            <w:r>
              <w:rPr>
                <w:spacing w:val="-2"/>
                <w:sz w:val="17"/>
                <w:szCs w:val="17"/>
              </w:rPr>
              <w:t>2662.4</w:t>
            </w:r>
          </w:p>
        </w:tc>
      </w:tr>
      <w:tr w14:paraId="2284873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20" w:hRule="atLeast"/>
        </w:trPr>
        <w:tc>
          <w:tcPr>
            <w:tcW w:w="1530" w:type="dxa"/>
            <w:tcBorders>
              <w:right w:val="single" w:color="000000" w:sz="4" w:space="0"/>
            </w:tcBorders>
            <w:vAlign w:val="top"/>
          </w:tcPr>
          <w:p w14:paraId="074F69DD">
            <w:pPr>
              <w:pStyle w:val="6"/>
              <w:spacing w:before="109" w:line="183" w:lineRule="auto"/>
              <w:ind w:left="550"/>
              <w:rPr>
                <w:sz w:val="17"/>
                <w:szCs w:val="17"/>
              </w:rPr>
            </w:pPr>
            <w:r>
              <w:rPr>
                <w:spacing w:val="-2"/>
                <w:sz w:val="17"/>
                <w:szCs w:val="17"/>
              </w:rPr>
              <w:t>0.300</w:t>
            </w:r>
          </w:p>
        </w:tc>
        <w:tc>
          <w:tcPr>
            <w:tcW w:w="1590" w:type="dxa"/>
            <w:tcBorders>
              <w:left w:val="single" w:color="000000" w:sz="4" w:space="0"/>
              <w:right w:val="single" w:color="000000" w:sz="4" w:space="0"/>
            </w:tcBorders>
            <w:vAlign w:val="top"/>
          </w:tcPr>
          <w:p w14:paraId="6DA7ECEA">
            <w:pPr>
              <w:pStyle w:val="6"/>
              <w:spacing w:before="98" w:line="184" w:lineRule="auto"/>
              <w:ind w:left="535"/>
              <w:rPr>
                <w:sz w:val="17"/>
                <w:szCs w:val="17"/>
              </w:rPr>
            </w:pPr>
            <w:r>
              <w:rPr>
                <w:spacing w:val="-3"/>
                <w:sz w:val="17"/>
                <w:szCs w:val="17"/>
              </w:rPr>
              <w:t>133.54</w:t>
            </w:r>
          </w:p>
        </w:tc>
        <w:tc>
          <w:tcPr>
            <w:tcW w:w="1560" w:type="dxa"/>
            <w:tcBorders>
              <w:left w:val="single" w:color="000000" w:sz="4" w:space="0"/>
              <w:right w:val="single" w:color="000000" w:sz="4" w:space="0"/>
            </w:tcBorders>
            <w:vAlign w:val="top"/>
          </w:tcPr>
          <w:p w14:paraId="03AAF9CC">
            <w:pPr>
              <w:pStyle w:val="6"/>
              <w:spacing w:before="99" w:line="183" w:lineRule="auto"/>
              <w:ind w:left="515"/>
              <w:rPr>
                <w:sz w:val="17"/>
                <w:szCs w:val="17"/>
              </w:rPr>
            </w:pPr>
            <w:r>
              <w:rPr>
                <w:spacing w:val="-2"/>
                <w:sz w:val="17"/>
                <w:szCs w:val="17"/>
              </w:rPr>
              <w:t>2725.5</w:t>
            </w:r>
          </w:p>
        </w:tc>
        <w:tc>
          <w:tcPr>
            <w:tcW w:w="1570" w:type="dxa"/>
            <w:tcBorders>
              <w:left w:val="single" w:color="000000" w:sz="4" w:space="0"/>
              <w:right w:val="single" w:color="000000" w:sz="4" w:space="0"/>
            </w:tcBorders>
            <w:vAlign w:val="top"/>
          </w:tcPr>
          <w:p w14:paraId="36B14EF6">
            <w:pPr>
              <w:pStyle w:val="6"/>
              <w:spacing w:before="118" w:line="184" w:lineRule="auto"/>
              <w:ind w:left="605"/>
              <w:rPr>
                <w:sz w:val="17"/>
                <w:szCs w:val="17"/>
              </w:rPr>
            </w:pPr>
            <w:r>
              <w:rPr>
                <w:spacing w:val="-4"/>
                <w:sz w:val="17"/>
                <w:szCs w:val="17"/>
              </w:rPr>
              <w:t>14.0</w:t>
            </w:r>
          </w:p>
        </w:tc>
        <w:tc>
          <w:tcPr>
            <w:tcW w:w="1580" w:type="dxa"/>
            <w:tcBorders>
              <w:left w:val="single" w:color="000000" w:sz="4" w:space="0"/>
              <w:right w:val="single" w:color="000000" w:sz="4" w:space="0"/>
            </w:tcBorders>
            <w:vAlign w:val="top"/>
          </w:tcPr>
          <w:p w14:paraId="6D069A14">
            <w:pPr>
              <w:pStyle w:val="6"/>
              <w:spacing w:before="119" w:line="183" w:lineRule="auto"/>
              <w:ind w:left="525"/>
              <w:rPr>
                <w:sz w:val="17"/>
                <w:szCs w:val="17"/>
              </w:rPr>
            </w:pPr>
            <w:r>
              <w:rPr>
                <w:spacing w:val="-2"/>
                <w:sz w:val="17"/>
                <w:szCs w:val="17"/>
              </w:rPr>
              <w:t>336.63</w:t>
            </w:r>
          </w:p>
        </w:tc>
        <w:tc>
          <w:tcPr>
            <w:tcW w:w="1560" w:type="dxa"/>
            <w:tcBorders>
              <w:left w:val="single" w:color="000000" w:sz="4" w:space="0"/>
            </w:tcBorders>
            <w:vAlign w:val="top"/>
          </w:tcPr>
          <w:p w14:paraId="6ED0FEA3">
            <w:pPr>
              <w:pStyle w:val="6"/>
              <w:spacing w:before="119" w:line="183" w:lineRule="auto"/>
              <w:ind w:left="514"/>
              <w:rPr>
                <w:sz w:val="17"/>
                <w:szCs w:val="17"/>
              </w:rPr>
            </w:pPr>
            <w:r>
              <w:rPr>
                <w:spacing w:val="-2"/>
                <w:sz w:val="17"/>
                <w:szCs w:val="17"/>
              </w:rPr>
              <w:t>2638.3</w:t>
            </w:r>
          </w:p>
        </w:tc>
      </w:tr>
      <w:tr w14:paraId="44FDF96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0" w:hRule="atLeast"/>
        </w:trPr>
        <w:tc>
          <w:tcPr>
            <w:tcW w:w="1530" w:type="dxa"/>
            <w:tcBorders>
              <w:right w:val="single" w:color="000000" w:sz="4" w:space="0"/>
            </w:tcBorders>
            <w:vAlign w:val="top"/>
          </w:tcPr>
          <w:p w14:paraId="7F2D9FA5">
            <w:pPr>
              <w:pStyle w:val="6"/>
              <w:spacing w:before="99" w:line="183" w:lineRule="auto"/>
              <w:ind w:left="550"/>
              <w:rPr>
                <w:sz w:val="17"/>
                <w:szCs w:val="17"/>
              </w:rPr>
            </w:pPr>
            <w:r>
              <w:rPr>
                <w:spacing w:val="-2"/>
                <w:sz w:val="17"/>
                <w:szCs w:val="17"/>
              </w:rPr>
              <w:t>0.350</w:t>
            </w:r>
          </w:p>
        </w:tc>
        <w:tc>
          <w:tcPr>
            <w:tcW w:w="1590" w:type="dxa"/>
            <w:tcBorders>
              <w:left w:val="single" w:color="000000" w:sz="4" w:space="0"/>
              <w:right w:val="single" w:color="000000" w:sz="4" w:space="0"/>
            </w:tcBorders>
            <w:vAlign w:val="top"/>
          </w:tcPr>
          <w:p w14:paraId="270F7CE8">
            <w:pPr>
              <w:pStyle w:val="6"/>
              <w:spacing w:before="108" w:line="184" w:lineRule="auto"/>
              <w:ind w:left="535"/>
              <w:rPr>
                <w:sz w:val="17"/>
                <w:szCs w:val="17"/>
              </w:rPr>
            </w:pPr>
            <w:r>
              <w:rPr>
                <w:spacing w:val="-3"/>
                <w:sz w:val="17"/>
                <w:szCs w:val="17"/>
              </w:rPr>
              <w:t>138.88</w:t>
            </w:r>
          </w:p>
        </w:tc>
        <w:tc>
          <w:tcPr>
            <w:tcW w:w="1560" w:type="dxa"/>
            <w:tcBorders>
              <w:left w:val="single" w:color="000000" w:sz="4" w:space="0"/>
              <w:right w:val="single" w:color="000000" w:sz="4" w:space="0"/>
            </w:tcBorders>
            <w:vAlign w:val="top"/>
          </w:tcPr>
          <w:p w14:paraId="48E90D44">
            <w:pPr>
              <w:pStyle w:val="6"/>
              <w:spacing w:before="109" w:line="183" w:lineRule="auto"/>
              <w:ind w:left="515"/>
              <w:rPr>
                <w:sz w:val="17"/>
                <w:szCs w:val="17"/>
              </w:rPr>
            </w:pPr>
            <w:r>
              <w:rPr>
                <w:spacing w:val="-2"/>
                <w:sz w:val="17"/>
                <w:szCs w:val="17"/>
              </w:rPr>
              <w:t>2732.5</w:t>
            </w:r>
          </w:p>
        </w:tc>
        <w:tc>
          <w:tcPr>
            <w:tcW w:w="1570" w:type="dxa"/>
            <w:tcBorders>
              <w:left w:val="single" w:color="000000" w:sz="4" w:space="0"/>
              <w:right w:val="single" w:color="000000" w:sz="4" w:space="0"/>
            </w:tcBorders>
            <w:vAlign w:val="top"/>
          </w:tcPr>
          <w:p w14:paraId="0E1F4A45">
            <w:pPr>
              <w:pStyle w:val="6"/>
              <w:spacing w:before="108" w:line="184" w:lineRule="auto"/>
              <w:ind w:left="605"/>
              <w:rPr>
                <w:sz w:val="17"/>
                <w:szCs w:val="17"/>
              </w:rPr>
            </w:pPr>
            <w:r>
              <w:rPr>
                <w:spacing w:val="-4"/>
                <w:sz w:val="17"/>
                <w:szCs w:val="17"/>
              </w:rPr>
              <w:t>15.0</w:t>
            </w:r>
          </w:p>
        </w:tc>
        <w:tc>
          <w:tcPr>
            <w:tcW w:w="1580" w:type="dxa"/>
            <w:tcBorders>
              <w:left w:val="single" w:color="000000" w:sz="4" w:space="0"/>
              <w:right w:val="single" w:color="000000" w:sz="4" w:space="0"/>
            </w:tcBorders>
            <w:vAlign w:val="top"/>
          </w:tcPr>
          <w:p w14:paraId="69156C6E">
            <w:pPr>
              <w:pStyle w:val="6"/>
              <w:spacing w:before="108" w:line="184" w:lineRule="auto"/>
              <w:ind w:left="525"/>
              <w:rPr>
                <w:sz w:val="17"/>
                <w:szCs w:val="17"/>
              </w:rPr>
            </w:pPr>
            <w:r>
              <w:rPr>
                <w:spacing w:val="-2"/>
                <w:sz w:val="17"/>
                <w:szCs w:val="17"/>
              </w:rPr>
              <w:t>342.12</w:t>
            </w:r>
          </w:p>
        </w:tc>
        <w:tc>
          <w:tcPr>
            <w:tcW w:w="1560" w:type="dxa"/>
            <w:tcBorders>
              <w:left w:val="single" w:color="000000" w:sz="4" w:space="0"/>
            </w:tcBorders>
            <w:vAlign w:val="top"/>
          </w:tcPr>
          <w:p w14:paraId="452633CC">
            <w:pPr>
              <w:pStyle w:val="6"/>
              <w:spacing w:before="108" w:line="184" w:lineRule="auto"/>
              <w:ind w:left="514"/>
              <w:rPr>
                <w:sz w:val="17"/>
                <w:szCs w:val="17"/>
              </w:rPr>
            </w:pPr>
            <w:r>
              <w:rPr>
                <w:spacing w:val="-2"/>
                <w:sz w:val="17"/>
                <w:szCs w:val="17"/>
              </w:rPr>
              <w:t>2611.6</w:t>
            </w:r>
          </w:p>
        </w:tc>
      </w:tr>
      <w:tr w14:paraId="6A6377D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29" w:hRule="atLeast"/>
        </w:trPr>
        <w:tc>
          <w:tcPr>
            <w:tcW w:w="1530" w:type="dxa"/>
            <w:tcBorders>
              <w:right w:val="single" w:color="000000" w:sz="4" w:space="0"/>
            </w:tcBorders>
            <w:vAlign w:val="top"/>
          </w:tcPr>
          <w:p w14:paraId="549B25F1">
            <w:pPr>
              <w:pStyle w:val="6"/>
              <w:spacing w:before="89" w:line="183" w:lineRule="auto"/>
              <w:ind w:left="550"/>
              <w:rPr>
                <w:sz w:val="17"/>
                <w:szCs w:val="17"/>
              </w:rPr>
            </w:pPr>
            <w:r>
              <w:rPr>
                <w:spacing w:val="-2"/>
                <w:sz w:val="17"/>
                <w:szCs w:val="17"/>
              </w:rPr>
              <w:t>0.400</w:t>
            </w:r>
          </w:p>
        </w:tc>
        <w:tc>
          <w:tcPr>
            <w:tcW w:w="1590" w:type="dxa"/>
            <w:tcBorders>
              <w:left w:val="single" w:color="000000" w:sz="4" w:space="0"/>
              <w:right w:val="single" w:color="000000" w:sz="4" w:space="0"/>
            </w:tcBorders>
            <w:vAlign w:val="top"/>
          </w:tcPr>
          <w:p w14:paraId="2760D003">
            <w:pPr>
              <w:pStyle w:val="6"/>
              <w:spacing w:before="98" w:line="184" w:lineRule="auto"/>
              <w:ind w:left="535"/>
              <w:rPr>
                <w:sz w:val="17"/>
                <w:szCs w:val="17"/>
              </w:rPr>
            </w:pPr>
            <w:r>
              <w:rPr>
                <w:spacing w:val="-3"/>
                <w:sz w:val="17"/>
                <w:szCs w:val="17"/>
              </w:rPr>
              <w:t>143.62</w:t>
            </w:r>
          </w:p>
        </w:tc>
        <w:tc>
          <w:tcPr>
            <w:tcW w:w="1560" w:type="dxa"/>
            <w:tcBorders>
              <w:left w:val="single" w:color="000000" w:sz="4" w:space="0"/>
              <w:right w:val="single" w:color="000000" w:sz="4" w:space="0"/>
            </w:tcBorders>
            <w:vAlign w:val="top"/>
          </w:tcPr>
          <w:p w14:paraId="06B60E45">
            <w:pPr>
              <w:pStyle w:val="6"/>
              <w:spacing w:before="99" w:line="183" w:lineRule="auto"/>
              <w:ind w:left="515"/>
              <w:rPr>
                <w:sz w:val="17"/>
                <w:szCs w:val="17"/>
              </w:rPr>
            </w:pPr>
            <w:r>
              <w:rPr>
                <w:spacing w:val="-2"/>
                <w:sz w:val="17"/>
                <w:szCs w:val="17"/>
              </w:rPr>
              <w:t>2738.5</w:t>
            </w:r>
          </w:p>
        </w:tc>
        <w:tc>
          <w:tcPr>
            <w:tcW w:w="1570" w:type="dxa"/>
            <w:tcBorders>
              <w:left w:val="single" w:color="000000" w:sz="4" w:space="0"/>
              <w:right w:val="single" w:color="000000" w:sz="4" w:space="0"/>
            </w:tcBorders>
            <w:vAlign w:val="top"/>
          </w:tcPr>
          <w:p w14:paraId="3794AD59">
            <w:pPr>
              <w:pStyle w:val="6"/>
              <w:spacing w:before="118" w:line="184" w:lineRule="auto"/>
              <w:ind w:left="605"/>
              <w:rPr>
                <w:sz w:val="17"/>
                <w:szCs w:val="17"/>
              </w:rPr>
            </w:pPr>
            <w:r>
              <w:rPr>
                <w:spacing w:val="-4"/>
                <w:sz w:val="17"/>
                <w:szCs w:val="17"/>
              </w:rPr>
              <w:t>16.0</w:t>
            </w:r>
          </w:p>
        </w:tc>
        <w:tc>
          <w:tcPr>
            <w:tcW w:w="1580" w:type="dxa"/>
            <w:tcBorders>
              <w:left w:val="single" w:color="000000" w:sz="4" w:space="0"/>
              <w:right w:val="single" w:color="000000" w:sz="4" w:space="0"/>
            </w:tcBorders>
            <w:vAlign w:val="top"/>
          </w:tcPr>
          <w:p w14:paraId="663DD501">
            <w:pPr>
              <w:pStyle w:val="6"/>
              <w:spacing w:before="99" w:line="183" w:lineRule="auto"/>
              <w:ind w:left="525"/>
              <w:rPr>
                <w:sz w:val="17"/>
                <w:szCs w:val="17"/>
              </w:rPr>
            </w:pPr>
            <w:r>
              <w:rPr>
                <w:spacing w:val="-2"/>
                <w:sz w:val="17"/>
                <w:szCs w:val="17"/>
              </w:rPr>
              <w:t>347.32</w:t>
            </w:r>
          </w:p>
        </w:tc>
        <w:tc>
          <w:tcPr>
            <w:tcW w:w="1560" w:type="dxa"/>
            <w:tcBorders>
              <w:left w:val="single" w:color="000000" w:sz="4" w:space="0"/>
            </w:tcBorders>
            <w:vAlign w:val="top"/>
          </w:tcPr>
          <w:p w14:paraId="0DEEA630">
            <w:pPr>
              <w:pStyle w:val="6"/>
              <w:spacing w:before="139" w:line="183" w:lineRule="auto"/>
              <w:ind w:left="514"/>
              <w:rPr>
                <w:sz w:val="17"/>
                <w:szCs w:val="17"/>
              </w:rPr>
            </w:pPr>
            <w:r>
              <w:rPr>
                <w:spacing w:val="-2"/>
                <w:sz w:val="17"/>
                <w:szCs w:val="17"/>
              </w:rPr>
              <w:t>2582.7</w:t>
            </w:r>
          </w:p>
        </w:tc>
      </w:tr>
      <w:tr w14:paraId="59B9ADC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5" w:hRule="atLeast"/>
        </w:trPr>
        <w:tc>
          <w:tcPr>
            <w:tcW w:w="1530" w:type="dxa"/>
            <w:tcBorders>
              <w:right w:val="single" w:color="000000" w:sz="4" w:space="0"/>
            </w:tcBorders>
            <w:vAlign w:val="top"/>
          </w:tcPr>
          <w:p w14:paraId="0198FA3C">
            <w:pPr>
              <w:pStyle w:val="6"/>
              <w:spacing w:before="110" w:line="183" w:lineRule="auto"/>
              <w:ind w:left="550"/>
              <w:rPr>
                <w:sz w:val="17"/>
                <w:szCs w:val="17"/>
              </w:rPr>
            </w:pPr>
            <w:r>
              <w:rPr>
                <w:spacing w:val="-2"/>
                <w:sz w:val="17"/>
                <w:szCs w:val="17"/>
              </w:rPr>
              <w:t>0.450</w:t>
            </w:r>
          </w:p>
        </w:tc>
        <w:tc>
          <w:tcPr>
            <w:tcW w:w="1590" w:type="dxa"/>
            <w:tcBorders>
              <w:left w:val="single" w:color="000000" w:sz="4" w:space="0"/>
              <w:right w:val="single" w:color="000000" w:sz="4" w:space="0"/>
            </w:tcBorders>
            <w:vAlign w:val="top"/>
          </w:tcPr>
          <w:p w14:paraId="50F41549">
            <w:pPr>
              <w:pStyle w:val="6"/>
              <w:spacing w:before="89" w:line="184" w:lineRule="auto"/>
              <w:ind w:left="535"/>
              <w:rPr>
                <w:sz w:val="17"/>
                <w:szCs w:val="17"/>
              </w:rPr>
            </w:pPr>
            <w:r>
              <w:rPr>
                <w:spacing w:val="-3"/>
                <w:sz w:val="17"/>
                <w:szCs w:val="17"/>
              </w:rPr>
              <w:t>147.92</w:t>
            </w:r>
          </w:p>
        </w:tc>
        <w:tc>
          <w:tcPr>
            <w:tcW w:w="1560" w:type="dxa"/>
            <w:tcBorders>
              <w:left w:val="single" w:color="000000" w:sz="4" w:space="0"/>
              <w:right w:val="single" w:color="000000" w:sz="4" w:space="0"/>
            </w:tcBorders>
            <w:vAlign w:val="top"/>
          </w:tcPr>
          <w:p w14:paraId="3C28286B">
            <w:pPr>
              <w:pStyle w:val="6"/>
              <w:spacing w:before="90" w:line="183" w:lineRule="auto"/>
              <w:ind w:left="515"/>
              <w:rPr>
                <w:sz w:val="17"/>
                <w:szCs w:val="17"/>
              </w:rPr>
            </w:pPr>
            <w:r>
              <w:rPr>
                <w:spacing w:val="-2"/>
                <w:sz w:val="17"/>
                <w:szCs w:val="17"/>
              </w:rPr>
              <w:t>2743.8</w:t>
            </w:r>
          </w:p>
        </w:tc>
        <w:tc>
          <w:tcPr>
            <w:tcW w:w="1570" w:type="dxa"/>
            <w:tcBorders>
              <w:left w:val="single" w:color="000000" w:sz="4" w:space="0"/>
              <w:right w:val="single" w:color="000000" w:sz="4" w:space="0"/>
            </w:tcBorders>
            <w:vAlign w:val="top"/>
          </w:tcPr>
          <w:p w14:paraId="4B483A18">
            <w:pPr>
              <w:pStyle w:val="6"/>
              <w:spacing w:before="109" w:line="184" w:lineRule="auto"/>
              <w:ind w:left="605"/>
              <w:rPr>
                <w:sz w:val="17"/>
                <w:szCs w:val="17"/>
              </w:rPr>
            </w:pPr>
            <w:r>
              <w:rPr>
                <w:spacing w:val="-4"/>
                <w:sz w:val="17"/>
                <w:szCs w:val="17"/>
              </w:rPr>
              <w:t>17.0</w:t>
            </w:r>
          </w:p>
        </w:tc>
        <w:tc>
          <w:tcPr>
            <w:tcW w:w="1580" w:type="dxa"/>
            <w:tcBorders>
              <w:left w:val="single" w:color="000000" w:sz="4" w:space="0"/>
              <w:right w:val="single" w:color="000000" w:sz="4" w:space="0"/>
            </w:tcBorders>
            <w:vAlign w:val="top"/>
          </w:tcPr>
          <w:p w14:paraId="41E4753D">
            <w:pPr>
              <w:pStyle w:val="6"/>
              <w:spacing w:before="120" w:line="183" w:lineRule="auto"/>
              <w:ind w:left="525"/>
              <w:rPr>
                <w:sz w:val="17"/>
                <w:szCs w:val="17"/>
              </w:rPr>
            </w:pPr>
            <w:r>
              <w:rPr>
                <w:spacing w:val="-2"/>
                <w:sz w:val="17"/>
                <w:szCs w:val="17"/>
              </w:rPr>
              <w:t>352.26</w:t>
            </w:r>
          </w:p>
        </w:tc>
        <w:tc>
          <w:tcPr>
            <w:tcW w:w="1560" w:type="dxa"/>
            <w:tcBorders>
              <w:left w:val="single" w:color="000000" w:sz="4" w:space="0"/>
            </w:tcBorders>
            <w:vAlign w:val="top"/>
          </w:tcPr>
          <w:p w14:paraId="7E32E63D">
            <w:pPr>
              <w:pStyle w:val="6"/>
              <w:spacing w:before="90" w:line="183" w:lineRule="auto"/>
              <w:ind w:left="514"/>
              <w:rPr>
                <w:sz w:val="17"/>
                <w:szCs w:val="17"/>
              </w:rPr>
            </w:pPr>
            <w:r>
              <w:rPr>
                <w:spacing w:val="-2"/>
                <w:sz w:val="17"/>
                <w:szCs w:val="17"/>
              </w:rPr>
              <w:t>2550.8</w:t>
            </w:r>
          </w:p>
        </w:tc>
      </w:tr>
      <w:tr w14:paraId="1C7E403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25" w:hRule="atLeast"/>
        </w:trPr>
        <w:tc>
          <w:tcPr>
            <w:tcW w:w="1530" w:type="dxa"/>
            <w:tcBorders>
              <w:right w:val="single" w:color="000000" w:sz="4" w:space="0"/>
            </w:tcBorders>
            <w:vAlign w:val="top"/>
          </w:tcPr>
          <w:p w14:paraId="1F284146">
            <w:pPr>
              <w:pStyle w:val="6"/>
              <w:spacing w:before="85" w:line="183" w:lineRule="auto"/>
              <w:ind w:left="550"/>
              <w:rPr>
                <w:sz w:val="17"/>
                <w:szCs w:val="17"/>
              </w:rPr>
            </w:pPr>
            <w:r>
              <w:rPr>
                <w:spacing w:val="-2"/>
                <w:sz w:val="17"/>
                <w:szCs w:val="17"/>
              </w:rPr>
              <w:t>0.500</w:t>
            </w:r>
          </w:p>
        </w:tc>
        <w:tc>
          <w:tcPr>
            <w:tcW w:w="1590" w:type="dxa"/>
            <w:tcBorders>
              <w:left w:val="single" w:color="000000" w:sz="4" w:space="0"/>
              <w:right w:val="single" w:color="000000" w:sz="4" w:space="0"/>
            </w:tcBorders>
            <w:vAlign w:val="top"/>
          </w:tcPr>
          <w:p w14:paraId="52E22409">
            <w:pPr>
              <w:pStyle w:val="6"/>
              <w:spacing w:before="94" w:line="184" w:lineRule="auto"/>
              <w:ind w:left="535"/>
              <w:rPr>
                <w:sz w:val="17"/>
                <w:szCs w:val="17"/>
              </w:rPr>
            </w:pPr>
            <w:r>
              <w:rPr>
                <w:spacing w:val="-3"/>
                <w:sz w:val="17"/>
                <w:szCs w:val="17"/>
              </w:rPr>
              <w:t>151.85</w:t>
            </w:r>
          </w:p>
        </w:tc>
        <w:tc>
          <w:tcPr>
            <w:tcW w:w="1560" w:type="dxa"/>
            <w:tcBorders>
              <w:left w:val="single" w:color="000000" w:sz="4" w:space="0"/>
              <w:right w:val="single" w:color="000000" w:sz="4" w:space="0"/>
            </w:tcBorders>
            <w:vAlign w:val="top"/>
          </w:tcPr>
          <w:p w14:paraId="55720E19">
            <w:pPr>
              <w:pStyle w:val="6"/>
              <w:spacing w:before="135" w:line="183" w:lineRule="auto"/>
              <w:ind w:left="515"/>
              <w:rPr>
                <w:sz w:val="17"/>
                <w:szCs w:val="17"/>
              </w:rPr>
            </w:pPr>
            <w:r>
              <w:rPr>
                <w:spacing w:val="-2"/>
                <w:sz w:val="17"/>
                <w:szCs w:val="17"/>
              </w:rPr>
              <w:t>2748.5</w:t>
            </w:r>
          </w:p>
        </w:tc>
        <w:tc>
          <w:tcPr>
            <w:tcW w:w="1570" w:type="dxa"/>
            <w:tcBorders>
              <w:left w:val="single" w:color="000000" w:sz="4" w:space="0"/>
              <w:right w:val="single" w:color="000000" w:sz="4" w:space="0"/>
            </w:tcBorders>
            <w:vAlign w:val="top"/>
          </w:tcPr>
          <w:p w14:paraId="15457871">
            <w:pPr>
              <w:pStyle w:val="6"/>
              <w:spacing w:before="124" w:line="184" w:lineRule="auto"/>
              <w:ind w:left="605"/>
              <w:rPr>
                <w:sz w:val="17"/>
                <w:szCs w:val="17"/>
              </w:rPr>
            </w:pPr>
            <w:r>
              <w:rPr>
                <w:spacing w:val="-4"/>
                <w:sz w:val="17"/>
                <w:szCs w:val="17"/>
              </w:rPr>
              <w:t>18.0</w:t>
            </w:r>
          </w:p>
        </w:tc>
        <w:tc>
          <w:tcPr>
            <w:tcW w:w="1580" w:type="dxa"/>
            <w:tcBorders>
              <w:left w:val="single" w:color="000000" w:sz="4" w:space="0"/>
              <w:right w:val="single" w:color="000000" w:sz="4" w:space="0"/>
            </w:tcBorders>
            <w:vAlign w:val="top"/>
          </w:tcPr>
          <w:p w14:paraId="7747E323">
            <w:pPr>
              <w:pStyle w:val="6"/>
              <w:spacing w:before="95" w:line="183" w:lineRule="auto"/>
              <w:ind w:left="525"/>
              <w:rPr>
                <w:sz w:val="17"/>
                <w:szCs w:val="17"/>
              </w:rPr>
            </w:pPr>
            <w:r>
              <w:rPr>
                <w:spacing w:val="-2"/>
                <w:sz w:val="17"/>
                <w:szCs w:val="17"/>
              </w:rPr>
              <w:t>356.96</w:t>
            </w:r>
          </w:p>
        </w:tc>
        <w:tc>
          <w:tcPr>
            <w:tcW w:w="1560" w:type="dxa"/>
            <w:tcBorders>
              <w:left w:val="single" w:color="000000" w:sz="4" w:space="0"/>
            </w:tcBorders>
            <w:vAlign w:val="top"/>
          </w:tcPr>
          <w:p w14:paraId="1BD459F9">
            <w:pPr>
              <w:pStyle w:val="6"/>
              <w:spacing w:before="114" w:line="184" w:lineRule="auto"/>
              <w:ind w:left="514"/>
              <w:rPr>
                <w:sz w:val="17"/>
                <w:szCs w:val="17"/>
              </w:rPr>
            </w:pPr>
            <w:r>
              <w:rPr>
                <w:spacing w:val="-2"/>
                <w:sz w:val="17"/>
                <w:szCs w:val="17"/>
              </w:rPr>
              <w:t>2514.4</w:t>
            </w:r>
          </w:p>
        </w:tc>
      </w:tr>
      <w:tr w14:paraId="3EF1500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20" w:hRule="atLeast"/>
        </w:trPr>
        <w:tc>
          <w:tcPr>
            <w:tcW w:w="1530" w:type="dxa"/>
            <w:tcBorders>
              <w:right w:val="single" w:color="000000" w:sz="4" w:space="0"/>
            </w:tcBorders>
            <w:vAlign w:val="top"/>
          </w:tcPr>
          <w:p w14:paraId="29218C10">
            <w:pPr>
              <w:pStyle w:val="6"/>
              <w:spacing w:before="90" w:line="183" w:lineRule="auto"/>
              <w:ind w:left="550"/>
              <w:rPr>
                <w:sz w:val="17"/>
                <w:szCs w:val="17"/>
              </w:rPr>
            </w:pPr>
            <w:r>
              <w:rPr>
                <w:spacing w:val="-2"/>
                <w:sz w:val="17"/>
                <w:szCs w:val="17"/>
              </w:rPr>
              <w:t>0.600</w:t>
            </w:r>
          </w:p>
        </w:tc>
        <w:tc>
          <w:tcPr>
            <w:tcW w:w="1590" w:type="dxa"/>
            <w:tcBorders>
              <w:left w:val="single" w:color="000000" w:sz="4" w:space="0"/>
              <w:right w:val="single" w:color="000000" w:sz="4" w:space="0"/>
            </w:tcBorders>
            <w:vAlign w:val="top"/>
          </w:tcPr>
          <w:p w14:paraId="3223CDFC">
            <w:pPr>
              <w:pStyle w:val="6"/>
              <w:spacing w:before="99" w:line="184" w:lineRule="auto"/>
              <w:ind w:left="535"/>
              <w:rPr>
                <w:sz w:val="17"/>
                <w:szCs w:val="17"/>
              </w:rPr>
            </w:pPr>
            <w:r>
              <w:rPr>
                <w:spacing w:val="-3"/>
                <w:sz w:val="17"/>
                <w:szCs w:val="17"/>
              </w:rPr>
              <w:t>158.84</w:t>
            </w:r>
          </w:p>
        </w:tc>
        <w:tc>
          <w:tcPr>
            <w:tcW w:w="1560" w:type="dxa"/>
            <w:tcBorders>
              <w:left w:val="single" w:color="000000" w:sz="4" w:space="0"/>
              <w:right w:val="single" w:color="000000" w:sz="4" w:space="0"/>
            </w:tcBorders>
            <w:vAlign w:val="top"/>
          </w:tcPr>
          <w:p w14:paraId="4B4F3674">
            <w:pPr>
              <w:pStyle w:val="6"/>
              <w:spacing w:before="120" w:line="183" w:lineRule="auto"/>
              <w:ind w:left="515"/>
              <w:rPr>
                <w:sz w:val="17"/>
                <w:szCs w:val="17"/>
              </w:rPr>
            </w:pPr>
            <w:r>
              <w:rPr>
                <w:spacing w:val="-2"/>
                <w:sz w:val="17"/>
                <w:szCs w:val="17"/>
              </w:rPr>
              <w:t>2756.4</w:t>
            </w:r>
          </w:p>
        </w:tc>
        <w:tc>
          <w:tcPr>
            <w:tcW w:w="1570" w:type="dxa"/>
            <w:tcBorders>
              <w:left w:val="single" w:color="000000" w:sz="4" w:space="0"/>
              <w:right w:val="single" w:color="000000" w:sz="4" w:space="0"/>
            </w:tcBorders>
            <w:vAlign w:val="top"/>
          </w:tcPr>
          <w:p w14:paraId="614AFFFB">
            <w:pPr>
              <w:pStyle w:val="6"/>
              <w:spacing w:before="109" w:line="184" w:lineRule="auto"/>
              <w:ind w:left="605"/>
              <w:rPr>
                <w:sz w:val="17"/>
                <w:szCs w:val="17"/>
              </w:rPr>
            </w:pPr>
            <w:r>
              <w:rPr>
                <w:spacing w:val="-4"/>
                <w:sz w:val="17"/>
                <w:szCs w:val="17"/>
              </w:rPr>
              <w:t>19.0</w:t>
            </w:r>
          </w:p>
        </w:tc>
        <w:tc>
          <w:tcPr>
            <w:tcW w:w="1580" w:type="dxa"/>
            <w:tcBorders>
              <w:left w:val="single" w:color="000000" w:sz="4" w:space="0"/>
              <w:right w:val="single" w:color="000000" w:sz="4" w:space="0"/>
            </w:tcBorders>
            <w:vAlign w:val="top"/>
          </w:tcPr>
          <w:p w14:paraId="4CE33303">
            <w:pPr>
              <w:pStyle w:val="6"/>
              <w:spacing w:before="120" w:line="184" w:lineRule="auto"/>
              <w:ind w:left="525"/>
              <w:rPr>
                <w:sz w:val="17"/>
                <w:szCs w:val="17"/>
              </w:rPr>
            </w:pPr>
            <w:r>
              <w:rPr>
                <w:spacing w:val="-2"/>
                <w:sz w:val="17"/>
                <w:szCs w:val="17"/>
              </w:rPr>
              <w:t>361.44</w:t>
            </w:r>
          </w:p>
        </w:tc>
        <w:tc>
          <w:tcPr>
            <w:tcW w:w="1560" w:type="dxa"/>
            <w:tcBorders>
              <w:left w:val="single" w:color="000000" w:sz="4" w:space="0"/>
            </w:tcBorders>
            <w:vAlign w:val="top"/>
          </w:tcPr>
          <w:p w14:paraId="115453F7">
            <w:pPr>
              <w:pStyle w:val="6"/>
              <w:spacing w:before="120" w:line="184" w:lineRule="auto"/>
              <w:ind w:left="514"/>
              <w:rPr>
                <w:sz w:val="17"/>
                <w:szCs w:val="17"/>
              </w:rPr>
            </w:pPr>
            <w:r>
              <w:rPr>
                <w:spacing w:val="-2"/>
                <w:sz w:val="17"/>
                <w:szCs w:val="17"/>
              </w:rPr>
              <w:t>2470.1</w:t>
            </w:r>
          </w:p>
        </w:tc>
      </w:tr>
      <w:tr w14:paraId="5EE24A5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4" w:hRule="atLeast"/>
        </w:trPr>
        <w:tc>
          <w:tcPr>
            <w:tcW w:w="1530" w:type="dxa"/>
            <w:tcBorders>
              <w:right w:val="single" w:color="000000" w:sz="4" w:space="0"/>
            </w:tcBorders>
            <w:vAlign w:val="top"/>
          </w:tcPr>
          <w:p w14:paraId="2C9D738B">
            <w:pPr>
              <w:pStyle w:val="6"/>
              <w:spacing w:before="100" w:line="183" w:lineRule="auto"/>
              <w:ind w:left="550"/>
              <w:rPr>
                <w:sz w:val="17"/>
                <w:szCs w:val="17"/>
              </w:rPr>
            </w:pPr>
            <w:r>
              <w:rPr>
                <w:spacing w:val="-2"/>
                <w:sz w:val="17"/>
                <w:szCs w:val="17"/>
              </w:rPr>
              <w:t>0.700</w:t>
            </w:r>
          </w:p>
        </w:tc>
        <w:tc>
          <w:tcPr>
            <w:tcW w:w="1590" w:type="dxa"/>
            <w:tcBorders>
              <w:left w:val="single" w:color="000000" w:sz="4" w:space="0"/>
              <w:right w:val="single" w:color="000000" w:sz="4" w:space="0"/>
            </w:tcBorders>
            <w:vAlign w:val="top"/>
          </w:tcPr>
          <w:p w14:paraId="134D733A">
            <w:pPr>
              <w:pStyle w:val="6"/>
              <w:spacing w:before="109" w:line="184" w:lineRule="auto"/>
              <w:ind w:left="535"/>
              <w:rPr>
                <w:sz w:val="17"/>
                <w:szCs w:val="17"/>
              </w:rPr>
            </w:pPr>
            <w:r>
              <w:rPr>
                <w:spacing w:val="-3"/>
                <w:sz w:val="17"/>
                <w:szCs w:val="17"/>
              </w:rPr>
              <w:t>164.96</w:t>
            </w:r>
          </w:p>
        </w:tc>
        <w:tc>
          <w:tcPr>
            <w:tcW w:w="1560" w:type="dxa"/>
            <w:tcBorders>
              <w:left w:val="single" w:color="000000" w:sz="4" w:space="0"/>
              <w:right w:val="single" w:color="000000" w:sz="4" w:space="0"/>
            </w:tcBorders>
            <w:vAlign w:val="top"/>
          </w:tcPr>
          <w:p w14:paraId="673C2C3E">
            <w:pPr>
              <w:pStyle w:val="6"/>
              <w:spacing w:before="110" w:line="183" w:lineRule="auto"/>
              <w:ind w:left="515"/>
              <w:rPr>
                <w:sz w:val="17"/>
                <w:szCs w:val="17"/>
              </w:rPr>
            </w:pPr>
            <w:r>
              <w:rPr>
                <w:spacing w:val="-2"/>
                <w:sz w:val="17"/>
                <w:szCs w:val="17"/>
              </w:rPr>
              <w:t>2762.9</w:t>
            </w:r>
          </w:p>
        </w:tc>
        <w:tc>
          <w:tcPr>
            <w:tcW w:w="1570" w:type="dxa"/>
            <w:tcBorders>
              <w:left w:val="single" w:color="000000" w:sz="4" w:space="0"/>
              <w:right w:val="single" w:color="000000" w:sz="4" w:space="0"/>
            </w:tcBorders>
            <w:vAlign w:val="top"/>
          </w:tcPr>
          <w:p w14:paraId="3DF206D7">
            <w:pPr>
              <w:pStyle w:val="6"/>
              <w:spacing w:before="100" w:line="183" w:lineRule="auto"/>
              <w:ind w:left="605"/>
              <w:rPr>
                <w:sz w:val="17"/>
                <w:szCs w:val="17"/>
              </w:rPr>
            </w:pPr>
            <w:r>
              <w:rPr>
                <w:spacing w:val="-2"/>
                <w:sz w:val="17"/>
                <w:szCs w:val="17"/>
              </w:rPr>
              <w:t>20.0</w:t>
            </w:r>
          </w:p>
        </w:tc>
        <w:tc>
          <w:tcPr>
            <w:tcW w:w="1580" w:type="dxa"/>
            <w:tcBorders>
              <w:left w:val="single" w:color="000000" w:sz="4" w:space="0"/>
              <w:right w:val="single" w:color="000000" w:sz="4" w:space="0"/>
            </w:tcBorders>
            <w:vAlign w:val="top"/>
          </w:tcPr>
          <w:p w14:paraId="4F120E95">
            <w:pPr>
              <w:pStyle w:val="6"/>
              <w:spacing w:before="109" w:line="184" w:lineRule="auto"/>
              <w:ind w:left="525"/>
              <w:rPr>
                <w:sz w:val="17"/>
                <w:szCs w:val="17"/>
              </w:rPr>
            </w:pPr>
            <w:r>
              <w:rPr>
                <w:spacing w:val="-2"/>
                <w:sz w:val="17"/>
                <w:szCs w:val="17"/>
              </w:rPr>
              <w:t>365.71</w:t>
            </w:r>
          </w:p>
        </w:tc>
        <w:tc>
          <w:tcPr>
            <w:tcW w:w="1560" w:type="dxa"/>
            <w:tcBorders>
              <w:left w:val="single" w:color="000000" w:sz="4" w:space="0"/>
            </w:tcBorders>
            <w:vAlign w:val="top"/>
          </w:tcPr>
          <w:p w14:paraId="5443AD80">
            <w:pPr>
              <w:pStyle w:val="6"/>
              <w:spacing w:before="109" w:line="184" w:lineRule="auto"/>
              <w:ind w:left="514"/>
              <w:rPr>
                <w:sz w:val="17"/>
                <w:szCs w:val="17"/>
              </w:rPr>
            </w:pPr>
            <w:r>
              <w:rPr>
                <w:spacing w:val="-2"/>
                <w:sz w:val="17"/>
                <w:szCs w:val="17"/>
              </w:rPr>
              <w:t>2413.9</w:t>
            </w:r>
          </w:p>
        </w:tc>
      </w:tr>
      <w:tr w14:paraId="3E709FC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5" w:hRule="atLeast"/>
        </w:trPr>
        <w:tc>
          <w:tcPr>
            <w:tcW w:w="1530" w:type="dxa"/>
            <w:tcBorders>
              <w:right w:val="single" w:color="000000" w:sz="4" w:space="0"/>
            </w:tcBorders>
            <w:vAlign w:val="top"/>
          </w:tcPr>
          <w:p w14:paraId="4164FE64">
            <w:pPr>
              <w:pStyle w:val="6"/>
              <w:spacing w:before="106" w:line="183" w:lineRule="auto"/>
              <w:ind w:left="550"/>
              <w:rPr>
                <w:sz w:val="17"/>
                <w:szCs w:val="17"/>
              </w:rPr>
            </w:pPr>
            <w:r>
              <w:rPr>
                <w:spacing w:val="-2"/>
                <w:sz w:val="17"/>
                <w:szCs w:val="17"/>
              </w:rPr>
              <w:t>0.800</w:t>
            </w:r>
          </w:p>
        </w:tc>
        <w:tc>
          <w:tcPr>
            <w:tcW w:w="1590" w:type="dxa"/>
            <w:tcBorders>
              <w:left w:val="single" w:color="000000" w:sz="4" w:space="0"/>
              <w:right w:val="single" w:color="000000" w:sz="4" w:space="0"/>
            </w:tcBorders>
            <w:vAlign w:val="top"/>
          </w:tcPr>
          <w:p w14:paraId="34494654">
            <w:pPr>
              <w:pStyle w:val="6"/>
              <w:spacing w:before="96" w:line="184" w:lineRule="auto"/>
              <w:ind w:left="535"/>
              <w:rPr>
                <w:sz w:val="17"/>
                <w:szCs w:val="17"/>
              </w:rPr>
            </w:pPr>
            <w:r>
              <w:rPr>
                <w:spacing w:val="-3"/>
                <w:sz w:val="17"/>
                <w:szCs w:val="17"/>
              </w:rPr>
              <w:t>170.42</w:t>
            </w:r>
          </w:p>
        </w:tc>
        <w:tc>
          <w:tcPr>
            <w:tcW w:w="1560" w:type="dxa"/>
            <w:tcBorders>
              <w:left w:val="single" w:color="000000" w:sz="4" w:space="0"/>
              <w:right w:val="single" w:color="000000" w:sz="4" w:space="0"/>
            </w:tcBorders>
            <w:vAlign w:val="top"/>
          </w:tcPr>
          <w:p w14:paraId="36F93D13">
            <w:pPr>
              <w:pStyle w:val="6"/>
              <w:spacing w:before="96" w:line="183" w:lineRule="auto"/>
              <w:ind w:left="515"/>
              <w:rPr>
                <w:sz w:val="17"/>
                <w:szCs w:val="17"/>
              </w:rPr>
            </w:pPr>
            <w:r>
              <w:rPr>
                <w:spacing w:val="-2"/>
                <w:sz w:val="17"/>
                <w:szCs w:val="17"/>
              </w:rPr>
              <w:t>2768.4</w:t>
            </w:r>
          </w:p>
        </w:tc>
        <w:tc>
          <w:tcPr>
            <w:tcW w:w="1570" w:type="dxa"/>
            <w:tcBorders>
              <w:left w:val="single" w:color="000000" w:sz="4" w:space="0"/>
              <w:right w:val="single" w:color="000000" w:sz="4" w:space="0"/>
            </w:tcBorders>
            <w:vAlign w:val="top"/>
          </w:tcPr>
          <w:p w14:paraId="301C3373">
            <w:pPr>
              <w:pStyle w:val="6"/>
              <w:spacing w:before="105" w:line="184" w:lineRule="auto"/>
              <w:ind w:left="605"/>
              <w:rPr>
                <w:sz w:val="17"/>
                <w:szCs w:val="17"/>
              </w:rPr>
            </w:pPr>
            <w:r>
              <w:rPr>
                <w:spacing w:val="-2"/>
                <w:sz w:val="17"/>
                <w:szCs w:val="17"/>
              </w:rPr>
              <w:t>21.0</w:t>
            </w:r>
          </w:p>
        </w:tc>
        <w:tc>
          <w:tcPr>
            <w:tcW w:w="1580" w:type="dxa"/>
            <w:tcBorders>
              <w:left w:val="single" w:color="000000" w:sz="4" w:space="0"/>
              <w:right w:val="single" w:color="000000" w:sz="4" w:space="0"/>
            </w:tcBorders>
            <w:vAlign w:val="top"/>
          </w:tcPr>
          <w:p w14:paraId="09326119">
            <w:pPr>
              <w:pStyle w:val="6"/>
              <w:spacing w:before="116" w:line="183" w:lineRule="auto"/>
              <w:ind w:left="525"/>
              <w:rPr>
                <w:sz w:val="17"/>
                <w:szCs w:val="17"/>
              </w:rPr>
            </w:pPr>
            <w:r>
              <w:rPr>
                <w:spacing w:val="-2"/>
                <w:sz w:val="17"/>
                <w:szCs w:val="17"/>
              </w:rPr>
              <w:t>369.79</w:t>
            </w:r>
          </w:p>
        </w:tc>
        <w:tc>
          <w:tcPr>
            <w:tcW w:w="1560" w:type="dxa"/>
            <w:tcBorders>
              <w:left w:val="single" w:color="000000" w:sz="4" w:space="0"/>
            </w:tcBorders>
            <w:vAlign w:val="top"/>
          </w:tcPr>
          <w:p w14:paraId="44C4B972">
            <w:pPr>
              <w:pStyle w:val="6"/>
              <w:spacing w:before="96" w:line="183" w:lineRule="auto"/>
              <w:ind w:left="514"/>
              <w:rPr>
                <w:sz w:val="17"/>
                <w:szCs w:val="17"/>
              </w:rPr>
            </w:pPr>
            <w:r>
              <w:rPr>
                <w:spacing w:val="-2"/>
                <w:sz w:val="17"/>
                <w:szCs w:val="17"/>
              </w:rPr>
              <w:t>2340.2</w:t>
            </w:r>
          </w:p>
        </w:tc>
      </w:tr>
      <w:tr w14:paraId="059C98A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94" w:hRule="atLeast"/>
        </w:trPr>
        <w:tc>
          <w:tcPr>
            <w:tcW w:w="1530" w:type="dxa"/>
            <w:tcBorders>
              <w:bottom w:val="single" w:color="000000" w:sz="4" w:space="0"/>
              <w:right w:val="single" w:color="000000" w:sz="4" w:space="0"/>
            </w:tcBorders>
            <w:vAlign w:val="top"/>
          </w:tcPr>
          <w:p w14:paraId="14939D19">
            <w:pPr>
              <w:pStyle w:val="6"/>
              <w:spacing w:before="91" w:line="183" w:lineRule="auto"/>
              <w:ind w:left="550"/>
              <w:rPr>
                <w:sz w:val="17"/>
                <w:szCs w:val="17"/>
              </w:rPr>
            </w:pPr>
            <w:r>
              <w:rPr>
                <w:spacing w:val="-2"/>
                <w:sz w:val="17"/>
                <w:szCs w:val="17"/>
              </w:rPr>
              <w:t>0.900</w:t>
            </w:r>
          </w:p>
        </w:tc>
        <w:tc>
          <w:tcPr>
            <w:tcW w:w="1590" w:type="dxa"/>
            <w:tcBorders>
              <w:left w:val="single" w:color="000000" w:sz="4" w:space="0"/>
              <w:bottom w:val="single" w:color="000000" w:sz="4" w:space="0"/>
              <w:right w:val="single" w:color="000000" w:sz="4" w:space="0"/>
            </w:tcBorders>
            <w:vAlign w:val="top"/>
          </w:tcPr>
          <w:p w14:paraId="3F4B907E">
            <w:pPr>
              <w:pStyle w:val="6"/>
              <w:spacing w:before="100" w:line="184" w:lineRule="auto"/>
              <w:ind w:left="535"/>
              <w:rPr>
                <w:sz w:val="17"/>
                <w:szCs w:val="17"/>
              </w:rPr>
            </w:pPr>
            <w:r>
              <w:rPr>
                <w:spacing w:val="-3"/>
                <w:sz w:val="17"/>
                <w:szCs w:val="17"/>
              </w:rPr>
              <w:t>175.36</w:t>
            </w:r>
          </w:p>
        </w:tc>
        <w:tc>
          <w:tcPr>
            <w:tcW w:w="1560" w:type="dxa"/>
            <w:tcBorders>
              <w:left w:val="single" w:color="000000" w:sz="4" w:space="0"/>
              <w:bottom w:val="single" w:color="000000" w:sz="4" w:space="0"/>
              <w:right w:val="single" w:color="000000" w:sz="4" w:space="0"/>
            </w:tcBorders>
            <w:vAlign w:val="top"/>
          </w:tcPr>
          <w:p w14:paraId="4E3765BD">
            <w:pPr>
              <w:pStyle w:val="6"/>
              <w:spacing w:before="101" w:line="183" w:lineRule="auto"/>
              <w:ind w:left="515"/>
              <w:rPr>
                <w:sz w:val="17"/>
                <w:szCs w:val="17"/>
              </w:rPr>
            </w:pPr>
            <w:r>
              <w:rPr>
                <w:spacing w:val="-2"/>
                <w:sz w:val="17"/>
                <w:szCs w:val="17"/>
              </w:rPr>
              <w:t>2773.0</w:t>
            </w:r>
          </w:p>
        </w:tc>
        <w:tc>
          <w:tcPr>
            <w:tcW w:w="1570" w:type="dxa"/>
            <w:tcBorders>
              <w:left w:val="single" w:color="000000" w:sz="4" w:space="0"/>
              <w:bottom w:val="single" w:color="000000" w:sz="4" w:space="0"/>
              <w:right w:val="single" w:color="000000" w:sz="4" w:space="0"/>
            </w:tcBorders>
            <w:vAlign w:val="top"/>
          </w:tcPr>
          <w:p w14:paraId="2763C119">
            <w:pPr>
              <w:pStyle w:val="6"/>
              <w:spacing w:before="111" w:line="183" w:lineRule="auto"/>
              <w:ind w:left="605"/>
              <w:rPr>
                <w:sz w:val="17"/>
                <w:szCs w:val="17"/>
              </w:rPr>
            </w:pPr>
            <w:r>
              <w:rPr>
                <w:spacing w:val="-2"/>
                <w:sz w:val="17"/>
                <w:szCs w:val="17"/>
              </w:rPr>
              <w:t>22.0</w:t>
            </w:r>
          </w:p>
        </w:tc>
        <w:tc>
          <w:tcPr>
            <w:tcW w:w="1580" w:type="dxa"/>
            <w:tcBorders>
              <w:left w:val="single" w:color="000000" w:sz="4" w:space="0"/>
              <w:bottom w:val="single" w:color="000000" w:sz="4" w:space="0"/>
              <w:right w:val="single" w:color="000000" w:sz="4" w:space="0"/>
            </w:tcBorders>
            <w:vAlign w:val="top"/>
          </w:tcPr>
          <w:p w14:paraId="3DFA0C8D">
            <w:pPr>
              <w:pStyle w:val="6"/>
              <w:spacing w:before="101" w:line="183" w:lineRule="auto"/>
              <w:ind w:left="525"/>
              <w:rPr>
                <w:sz w:val="17"/>
                <w:szCs w:val="17"/>
              </w:rPr>
            </w:pPr>
            <w:r>
              <w:rPr>
                <w:spacing w:val="-2"/>
                <w:sz w:val="17"/>
                <w:szCs w:val="17"/>
              </w:rPr>
              <w:t>373.68</w:t>
            </w:r>
          </w:p>
        </w:tc>
        <w:tc>
          <w:tcPr>
            <w:tcW w:w="1560" w:type="dxa"/>
            <w:tcBorders>
              <w:left w:val="single" w:color="000000" w:sz="4" w:space="0"/>
              <w:bottom w:val="single" w:color="000000" w:sz="4" w:space="0"/>
            </w:tcBorders>
            <w:vAlign w:val="top"/>
          </w:tcPr>
          <w:p w14:paraId="71909F9F">
            <w:pPr>
              <w:pStyle w:val="6"/>
              <w:spacing w:before="100" w:line="184" w:lineRule="auto"/>
              <w:ind w:left="514"/>
              <w:rPr>
                <w:sz w:val="17"/>
                <w:szCs w:val="17"/>
              </w:rPr>
            </w:pPr>
            <w:r>
              <w:rPr>
                <w:spacing w:val="-2"/>
                <w:sz w:val="17"/>
                <w:szCs w:val="17"/>
              </w:rPr>
              <w:t>2192.5</w:t>
            </w:r>
          </w:p>
        </w:tc>
      </w:tr>
    </w:tbl>
    <w:p w14:paraId="4B7FD0B7">
      <w:pPr>
        <w:pStyle w:val="2"/>
        <w:spacing w:line="14" w:lineRule="auto"/>
        <w:rPr>
          <w:sz w:val="2"/>
        </w:rPr>
      </w:pPr>
    </w:p>
    <w:p w14:paraId="611E1433">
      <w:pPr>
        <w:spacing w:line="14" w:lineRule="auto"/>
        <w:rPr>
          <w:sz w:val="2"/>
          <w:szCs w:val="2"/>
        </w:rPr>
        <w:sectPr>
          <w:type w:val="continuous"/>
          <w:pgSz w:w="11910" w:h="16840"/>
          <w:pgMar w:top="400" w:right="1241" w:bottom="400" w:left="1239" w:header="0" w:footer="0" w:gutter="0"/>
          <w:cols w:equalWidth="0" w:num="1">
            <w:col w:w="9429"/>
          </w:cols>
        </w:sectPr>
      </w:pPr>
    </w:p>
    <w:p w14:paraId="047CA948">
      <w:pPr>
        <w:pStyle w:val="2"/>
        <w:spacing w:line="257" w:lineRule="auto"/>
      </w:pPr>
    </w:p>
    <w:p w14:paraId="4B32FE42">
      <w:pPr>
        <w:pStyle w:val="2"/>
        <w:spacing w:line="258" w:lineRule="auto"/>
      </w:pPr>
    </w:p>
    <w:p w14:paraId="70165BE2">
      <w:pPr>
        <w:spacing w:before="59" w:line="219" w:lineRule="auto"/>
        <w:ind w:left="10"/>
        <w:rPr>
          <w:rFonts w:ascii="宋体" w:hAnsi="宋体" w:eastAsia="宋体" w:cs="宋体"/>
          <w:sz w:val="18"/>
          <w:szCs w:val="18"/>
        </w:rPr>
      </w:pPr>
      <w:r>
        <w:rPr>
          <w:rFonts w:ascii="宋体" w:hAnsi="宋体" w:eastAsia="宋体" w:cs="宋体"/>
          <w:spacing w:val="4"/>
          <w:sz w:val="18"/>
          <w:szCs w:val="18"/>
        </w:rPr>
        <w:t>2.饱和蒸汽温度—焓表(按温度排列)</w:t>
      </w:r>
    </w:p>
    <w:p w14:paraId="71DD8182">
      <w:pPr>
        <w:spacing w:line="213" w:lineRule="exact"/>
      </w:pPr>
    </w:p>
    <w:tbl>
      <w:tblPr>
        <w:tblStyle w:val="5"/>
        <w:tblW w:w="9370" w:type="dxa"/>
        <w:tblInd w:w="1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540"/>
        <w:gridCol w:w="1580"/>
        <w:gridCol w:w="1570"/>
        <w:gridCol w:w="1580"/>
        <w:gridCol w:w="1570"/>
        <w:gridCol w:w="1530"/>
      </w:tblGrid>
      <w:tr w14:paraId="0020B2B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54" w:hRule="atLeast"/>
        </w:trPr>
        <w:tc>
          <w:tcPr>
            <w:tcW w:w="1540" w:type="dxa"/>
            <w:tcBorders>
              <w:top w:val="single" w:color="000000" w:sz="4" w:space="0"/>
              <w:bottom w:val="single" w:color="000000" w:sz="4" w:space="0"/>
              <w:right w:val="single" w:color="000000" w:sz="4" w:space="0"/>
            </w:tcBorders>
            <w:vAlign w:val="top"/>
          </w:tcPr>
          <w:p w14:paraId="0AA55429">
            <w:pPr>
              <w:pStyle w:val="6"/>
              <w:spacing w:before="292" w:line="220" w:lineRule="auto"/>
              <w:ind w:left="430"/>
              <w:rPr>
                <w:sz w:val="17"/>
                <w:szCs w:val="17"/>
              </w:rPr>
            </w:pPr>
            <w:r>
              <w:rPr>
                <w:spacing w:val="7"/>
                <w:sz w:val="17"/>
                <w:szCs w:val="17"/>
              </w:rPr>
              <w:t>温度(℃)</w:t>
            </w:r>
          </w:p>
        </w:tc>
        <w:tc>
          <w:tcPr>
            <w:tcW w:w="1580" w:type="dxa"/>
            <w:tcBorders>
              <w:top w:val="single" w:color="000000" w:sz="4" w:space="0"/>
              <w:left w:val="single" w:color="000000" w:sz="4" w:space="0"/>
              <w:bottom w:val="single" w:color="000000" w:sz="4" w:space="0"/>
              <w:right w:val="single" w:color="000000" w:sz="4" w:space="0"/>
            </w:tcBorders>
            <w:vAlign w:val="top"/>
          </w:tcPr>
          <w:p w14:paraId="57802B22">
            <w:pPr>
              <w:pStyle w:val="6"/>
              <w:spacing w:before="292" w:line="219" w:lineRule="auto"/>
              <w:ind w:left="305"/>
              <w:rPr>
                <w:sz w:val="17"/>
                <w:szCs w:val="17"/>
              </w:rPr>
            </w:pPr>
            <w:r>
              <w:rPr>
                <w:spacing w:val="-10"/>
                <w:sz w:val="17"/>
                <w:szCs w:val="17"/>
              </w:rPr>
              <w:t>压</w:t>
            </w:r>
            <w:r>
              <w:rPr>
                <w:spacing w:val="-32"/>
                <w:sz w:val="17"/>
                <w:szCs w:val="17"/>
              </w:rPr>
              <w:t xml:space="preserve"> </w:t>
            </w:r>
            <w:r>
              <w:rPr>
                <w:spacing w:val="-10"/>
                <w:sz w:val="17"/>
                <w:szCs w:val="17"/>
              </w:rPr>
              <w:t>力 (</w:t>
            </w:r>
            <w:r>
              <w:rPr>
                <w:spacing w:val="-43"/>
                <w:sz w:val="17"/>
                <w:szCs w:val="17"/>
              </w:rPr>
              <w:t xml:space="preserve"> </w:t>
            </w:r>
            <w:r>
              <w:rPr>
                <w:spacing w:val="-10"/>
                <w:sz w:val="17"/>
                <w:szCs w:val="17"/>
              </w:rPr>
              <w:t>M</w:t>
            </w:r>
            <w:r>
              <w:rPr>
                <w:spacing w:val="-41"/>
                <w:sz w:val="17"/>
                <w:szCs w:val="17"/>
              </w:rPr>
              <w:t xml:space="preserve"> </w:t>
            </w:r>
            <w:r>
              <w:rPr>
                <w:spacing w:val="-10"/>
                <w:sz w:val="17"/>
                <w:szCs w:val="17"/>
              </w:rPr>
              <w:t>P</w:t>
            </w:r>
            <w:r>
              <w:rPr>
                <w:spacing w:val="-38"/>
                <w:sz w:val="17"/>
                <w:szCs w:val="17"/>
              </w:rPr>
              <w:t xml:space="preserve"> </w:t>
            </w:r>
            <w:r>
              <w:rPr>
                <w:spacing w:val="-10"/>
                <w:sz w:val="17"/>
                <w:szCs w:val="17"/>
              </w:rPr>
              <w:t>a</w:t>
            </w:r>
            <w:r>
              <w:rPr>
                <w:spacing w:val="-38"/>
                <w:sz w:val="17"/>
                <w:szCs w:val="17"/>
              </w:rPr>
              <w:t xml:space="preserve"> </w:t>
            </w:r>
            <w:r>
              <w:rPr>
                <w:spacing w:val="-10"/>
                <w:sz w:val="17"/>
                <w:szCs w:val="17"/>
              </w:rPr>
              <w:t>)</w:t>
            </w:r>
          </w:p>
        </w:tc>
        <w:tc>
          <w:tcPr>
            <w:tcW w:w="1570" w:type="dxa"/>
            <w:tcBorders>
              <w:top w:val="single" w:color="000000" w:sz="4" w:space="0"/>
              <w:left w:val="single" w:color="000000" w:sz="4" w:space="0"/>
              <w:bottom w:val="single" w:color="000000" w:sz="4" w:space="0"/>
              <w:right w:val="single" w:color="000000" w:sz="4" w:space="0"/>
            </w:tcBorders>
            <w:vAlign w:val="top"/>
          </w:tcPr>
          <w:p w14:paraId="11CF8E8A">
            <w:pPr>
              <w:pStyle w:val="6"/>
              <w:spacing w:before="286" w:line="214" w:lineRule="auto"/>
              <w:ind w:left="395"/>
              <w:rPr>
                <w:sz w:val="17"/>
                <w:szCs w:val="17"/>
              </w:rPr>
            </w:pPr>
            <w:r>
              <w:rPr>
                <w:spacing w:val="8"/>
                <w:sz w:val="17"/>
                <w:szCs w:val="17"/>
              </w:rPr>
              <w:t>焓(</w:t>
            </w:r>
            <w:r>
              <w:rPr>
                <w:sz w:val="17"/>
                <w:szCs w:val="17"/>
              </w:rPr>
              <w:t>KJ</w:t>
            </w:r>
            <w:r>
              <w:rPr>
                <w:spacing w:val="8"/>
                <w:sz w:val="17"/>
                <w:szCs w:val="17"/>
              </w:rPr>
              <w:t>/</w:t>
            </w:r>
            <w:r>
              <w:rPr>
                <w:sz w:val="17"/>
                <w:szCs w:val="17"/>
              </w:rPr>
              <w:t>kg</w:t>
            </w:r>
            <w:r>
              <w:rPr>
                <w:spacing w:val="8"/>
                <w:sz w:val="17"/>
                <w:szCs w:val="17"/>
              </w:rPr>
              <w:t>)</w:t>
            </w:r>
          </w:p>
        </w:tc>
        <w:tc>
          <w:tcPr>
            <w:tcW w:w="1580" w:type="dxa"/>
            <w:tcBorders>
              <w:top w:val="single" w:color="000000" w:sz="4" w:space="0"/>
              <w:left w:val="single" w:color="000000" w:sz="4" w:space="0"/>
              <w:bottom w:val="single" w:color="000000" w:sz="4" w:space="0"/>
              <w:right w:val="single" w:color="000000" w:sz="4" w:space="0"/>
            </w:tcBorders>
            <w:vAlign w:val="top"/>
          </w:tcPr>
          <w:p w14:paraId="5C3D864C">
            <w:pPr>
              <w:pStyle w:val="6"/>
              <w:spacing w:before="292" w:line="220" w:lineRule="auto"/>
              <w:ind w:left="365"/>
              <w:rPr>
                <w:sz w:val="17"/>
                <w:szCs w:val="17"/>
              </w:rPr>
            </w:pPr>
            <w:r>
              <w:rPr>
                <w:spacing w:val="-14"/>
                <w:sz w:val="17"/>
                <w:szCs w:val="17"/>
              </w:rPr>
              <w:t>温</w:t>
            </w:r>
            <w:r>
              <w:rPr>
                <w:spacing w:val="-28"/>
                <w:sz w:val="17"/>
                <w:szCs w:val="17"/>
              </w:rPr>
              <w:t xml:space="preserve"> </w:t>
            </w:r>
            <w:r>
              <w:rPr>
                <w:spacing w:val="-14"/>
                <w:sz w:val="17"/>
                <w:szCs w:val="17"/>
              </w:rPr>
              <w:t>度</w:t>
            </w:r>
            <w:r>
              <w:rPr>
                <w:spacing w:val="2"/>
                <w:sz w:val="17"/>
                <w:szCs w:val="17"/>
              </w:rPr>
              <w:t xml:space="preserve"> </w:t>
            </w:r>
            <w:r>
              <w:rPr>
                <w:spacing w:val="-14"/>
                <w:sz w:val="17"/>
                <w:szCs w:val="17"/>
              </w:rPr>
              <w:t>(</w:t>
            </w:r>
            <w:r>
              <w:rPr>
                <w:spacing w:val="-15"/>
                <w:sz w:val="17"/>
                <w:szCs w:val="17"/>
              </w:rPr>
              <w:t xml:space="preserve"> </w:t>
            </w:r>
            <w:r>
              <w:rPr>
                <w:spacing w:val="-14"/>
                <w:sz w:val="17"/>
                <w:szCs w:val="17"/>
              </w:rPr>
              <w:t>℃</w:t>
            </w:r>
            <w:r>
              <w:rPr>
                <w:spacing w:val="-26"/>
                <w:sz w:val="17"/>
                <w:szCs w:val="17"/>
              </w:rPr>
              <w:t xml:space="preserve"> </w:t>
            </w:r>
            <w:r>
              <w:rPr>
                <w:spacing w:val="-14"/>
                <w:sz w:val="17"/>
                <w:szCs w:val="17"/>
              </w:rPr>
              <w:t>)</w:t>
            </w:r>
          </w:p>
        </w:tc>
        <w:tc>
          <w:tcPr>
            <w:tcW w:w="1570" w:type="dxa"/>
            <w:tcBorders>
              <w:top w:val="single" w:color="000000" w:sz="4" w:space="0"/>
              <w:left w:val="single" w:color="000000" w:sz="4" w:space="0"/>
              <w:bottom w:val="single" w:color="000000" w:sz="4" w:space="0"/>
              <w:right w:val="single" w:color="000000" w:sz="4" w:space="0"/>
            </w:tcBorders>
            <w:vAlign w:val="top"/>
          </w:tcPr>
          <w:p w14:paraId="4B5D9BAC">
            <w:pPr>
              <w:pStyle w:val="6"/>
              <w:spacing w:before="292" w:line="219" w:lineRule="auto"/>
              <w:ind w:left="285"/>
              <w:rPr>
                <w:sz w:val="17"/>
                <w:szCs w:val="17"/>
              </w:rPr>
            </w:pPr>
            <w:r>
              <w:rPr>
                <w:spacing w:val="-9"/>
                <w:sz w:val="17"/>
                <w:szCs w:val="17"/>
              </w:rPr>
              <w:t>压</w:t>
            </w:r>
            <w:r>
              <w:rPr>
                <w:spacing w:val="-33"/>
                <w:sz w:val="17"/>
                <w:szCs w:val="17"/>
              </w:rPr>
              <w:t xml:space="preserve"> </w:t>
            </w:r>
            <w:r>
              <w:rPr>
                <w:spacing w:val="-9"/>
                <w:sz w:val="17"/>
                <w:szCs w:val="17"/>
              </w:rPr>
              <w:t>力 (</w:t>
            </w:r>
            <w:r>
              <w:rPr>
                <w:spacing w:val="-40"/>
                <w:sz w:val="17"/>
                <w:szCs w:val="17"/>
              </w:rPr>
              <w:t xml:space="preserve"> </w:t>
            </w:r>
            <w:r>
              <w:rPr>
                <w:spacing w:val="-9"/>
                <w:sz w:val="17"/>
                <w:szCs w:val="17"/>
              </w:rPr>
              <w:t>M</w:t>
            </w:r>
            <w:r>
              <w:rPr>
                <w:spacing w:val="-38"/>
                <w:sz w:val="17"/>
                <w:szCs w:val="17"/>
              </w:rPr>
              <w:t xml:space="preserve"> </w:t>
            </w:r>
            <w:r>
              <w:rPr>
                <w:spacing w:val="-9"/>
                <w:sz w:val="17"/>
                <w:szCs w:val="17"/>
              </w:rPr>
              <w:t>P</w:t>
            </w:r>
            <w:r>
              <w:rPr>
                <w:spacing w:val="-35"/>
                <w:sz w:val="17"/>
                <w:szCs w:val="17"/>
              </w:rPr>
              <w:t xml:space="preserve"> </w:t>
            </w:r>
            <w:r>
              <w:rPr>
                <w:spacing w:val="-9"/>
                <w:sz w:val="17"/>
                <w:szCs w:val="17"/>
              </w:rPr>
              <w:t>a</w:t>
            </w:r>
            <w:r>
              <w:rPr>
                <w:spacing w:val="-34"/>
                <w:sz w:val="17"/>
                <w:szCs w:val="17"/>
              </w:rPr>
              <w:t xml:space="preserve"> </w:t>
            </w:r>
            <w:r>
              <w:rPr>
                <w:spacing w:val="-9"/>
                <w:sz w:val="17"/>
                <w:szCs w:val="17"/>
              </w:rPr>
              <w:t>)</w:t>
            </w:r>
          </w:p>
        </w:tc>
        <w:tc>
          <w:tcPr>
            <w:tcW w:w="1530" w:type="dxa"/>
            <w:tcBorders>
              <w:top w:val="single" w:color="000000" w:sz="4" w:space="0"/>
              <w:left w:val="single" w:color="000000" w:sz="4" w:space="0"/>
              <w:bottom w:val="single" w:color="000000" w:sz="4" w:space="0"/>
            </w:tcBorders>
            <w:vAlign w:val="top"/>
          </w:tcPr>
          <w:p w14:paraId="49115C46">
            <w:pPr>
              <w:pStyle w:val="6"/>
              <w:spacing w:before="286" w:line="214" w:lineRule="auto"/>
              <w:ind w:left="315"/>
              <w:rPr>
                <w:sz w:val="17"/>
                <w:szCs w:val="17"/>
              </w:rPr>
            </w:pPr>
            <w:r>
              <w:rPr>
                <w:spacing w:val="13"/>
                <w:w w:val="116"/>
                <w:sz w:val="17"/>
                <w:szCs w:val="17"/>
              </w:rPr>
              <w:t>焓(KJ/kg</w:t>
            </w:r>
          </w:p>
        </w:tc>
      </w:tr>
      <w:tr w14:paraId="0C9280D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0" w:hRule="atLeast"/>
        </w:trPr>
        <w:tc>
          <w:tcPr>
            <w:tcW w:w="1540" w:type="dxa"/>
            <w:tcBorders>
              <w:top w:val="single" w:color="000000" w:sz="4" w:space="0"/>
              <w:right w:val="single" w:color="000000" w:sz="4" w:space="0"/>
            </w:tcBorders>
            <w:vAlign w:val="top"/>
          </w:tcPr>
          <w:p w14:paraId="0E881EA7">
            <w:pPr>
              <w:pStyle w:val="6"/>
              <w:spacing w:before="161" w:line="183" w:lineRule="auto"/>
              <w:ind w:left="720"/>
              <w:rPr>
                <w:sz w:val="17"/>
                <w:szCs w:val="17"/>
              </w:rPr>
            </w:pPr>
            <w:r>
              <w:rPr>
                <w:sz w:val="17"/>
                <w:szCs w:val="17"/>
              </w:rPr>
              <w:t>0</w:t>
            </w:r>
          </w:p>
        </w:tc>
        <w:tc>
          <w:tcPr>
            <w:tcW w:w="1580" w:type="dxa"/>
            <w:tcBorders>
              <w:top w:val="single" w:color="000000" w:sz="4" w:space="0"/>
              <w:left w:val="single" w:color="000000" w:sz="4" w:space="0"/>
              <w:right w:val="single" w:color="000000" w:sz="4" w:space="0"/>
            </w:tcBorders>
            <w:vAlign w:val="top"/>
          </w:tcPr>
          <w:p w14:paraId="2E8301E0">
            <w:pPr>
              <w:pStyle w:val="6"/>
              <w:spacing w:before="171" w:line="184" w:lineRule="auto"/>
              <w:ind w:left="445"/>
              <w:rPr>
                <w:sz w:val="17"/>
                <w:szCs w:val="17"/>
              </w:rPr>
            </w:pPr>
            <w:r>
              <w:rPr>
                <w:spacing w:val="-1"/>
                <w:sz w:val="17"/>
                <w:szCs w:val="17"/>
              </w:rPr>
              <w:t>0.000611</w:t>
            </w:r>
          </w:p>
        </w:tc>
        <w:tc>
          <w:tcPr>
            <w:tcW w:w="1570" w:type="dxa"/>
            <w:tcBorders>
              <w:top w:val="single" w:color="000000" w:sz="4" w:space="0"/>
              <w:left w:val="single" w:color="000000" w:sz="4" w:space="0"/>
              <w:right w:val="single" w:color="000000" w:sz="4" w:space="0"/>
            </w:tcBorders>
            <w:vAlign w:val="top"/>
          </w:tcPr>
          <w:p w14:paraId="55FE03B0">
            <w:pPr>
              <w:pStyle w:val="6"/>
              <w:spacing w:before="171" w:line="184" w:lineRule="auto"/>
              <w:ind w:left="525"/>
              <w:rPr>
                <w:sz w:val="17"/>
                <w:szCs w:val="17"/>
              </w:rPr>
            </w:pPr>
            <w:r>
              <w:rPr>
                <w:spacing w:val="-2"/>
                <w:sz w:val="17"/>
                <w:szCs w:val="17"/>
              </w:rPr>
              <w:t>2501.0</w:t>
            </w:r>
          </w:p>
        </w:tc>
        <w:tc>
          <w:tcPr>
            <w:tcW w:w="1580" w:type="dxa"/>
            <w:tcBorders>
              <w:top w:val="single" w:color="000000" w:sz="4" w:space="0"/>
              <w:left w:val="single" w:color="000000" w:sz="4" w:space="0"/>
              <w:right w:val="single" w:color="000000" w:sz="4" w:space="0"/>
            </w:tcBorders>
            <w:vAlign w:val="top"/>
          </w:tcPr>
          <w:p w14:paraId="0C7E25D7">
            <w:pPr>
              <w:pStyle w:val="6"/>
              <w:spacing w:before="171" w:line="183" w:lineRule="auto"/>
              <w:ind w:left="694"/>
              <w:rPr>
                <w:sz w:val="17"/>
                <w:szCs w:val="17"/>
              </w:rPr>
            </w:pPr>
            <w:r>
              <w:rPr>
                <w:spacing w:val="-2"/>
                <w:sz w:val="17"/>
                <w:szCs w:val="17"/>
              </w:rPr>
              <w:t>80</w:t>
            </w:r>
          </w:p>
        </w:tc>
        <w:tc>
          <w:tcPr>
            <w:tcW w:w="1570" w:type="dxa"/>
            <w:tcBorders>
              <w:top w:val="single" w:color="000000" w:sz="4" w:space="0"/>
              <w:left w:val="single" w:color="000000" w:sz="4" w:space="0"/>
              <w:right w:val="single" w:color="000000" w:sz="4" w:space="0"/>
            </w:tcBorders>
            <w:vAlign w:val="top"/>
          </w:tcPr>
          <w:p w14:paraId="5574B0AE">
            <w:pPr>
              <w:pStyle w:val="6"/>
              <w:spacing w:before="151" w:line="183" w:lineRule="auto"/>
              <w:ind w:left="565"/>
              <w:rPr>
                <w:sz w:val="17"/>
                <w:szCs w:val="17"/>
              </w:rPr>
            </w:pPr>
            <w:r>
              <w:rPr>
                <w:spacing w:val="-2"/>
                <w:sz w:val="17"/>
                <w:szCs w:val="17"/>
              </w:rPr>
              <w:t>0.047</w:t>
            </w:r>
          </w:p>
        </w:tc>
        <w:tc>
          <w:tcPr>
            <w:tcW w:w="1530" w:type="dxa"/>
            <w:tcBorders>
              <w:top w:val="single" w:color="000000" w:sz="4" w:space="0"/>
              <w:left w:val="single" w:color="000000" w:sz="4" w:space="0"/>
            </w:tcBorders>
            <w:vAlign w:val="top"/>
          </w:tcPr>
          <w:p w14:paraId="7C7B3E04">
            <w:pPr>
              <w:pStyle w:val="6"/>
              <w:spacing w:before="181" w:line="183" w:lineRule="auto"/>
              <w:ind w:left="505"/>
              <w:rPr>
                <w:sz w:val="17"/>
                <w:szCs w:val="17"/>
              </w:rPr>
            </w:pPr>
            <w:r>
              <w:rPr>
                <w:spacing w:val="-2"/>
                <w:sz w:val="17"/>
                <w:szCs w:val="17"/>
              </w:rPr>
              <w:t>2643.8</w:t>
            </w:r>
          </w:p>
        </w:tc>
      </w:tr>
      <w:tr w14:paraId="7D67DD7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49" w:hRule="atLeast"/>
        </w:trPr>
        <w:tc>
          <w:tcPr>
            <w:tcW w:w="1540" w:type="dxa"/>
            <w:tcBorders>
              <w:right w:val="single" w:color="000000" w:sz="4" w:space="0"/>
            </w:tcBorders>
            <w:vAlign w:val="top"/>
          </w:tcPr>
          <w:p w14:paraId="00EF1860">
            <w:pPr>
              <w:pStyle w:val="6"/>
              <w:spacing w:before="100" w:line="184" w:lineRule="auto"/>
              <w:ind w:left="799"/>
              <w:rPr>
                <w:sz w:val="17"/>
                <w:szCs w:val="17"/>
              </w:rPr>
            </w:pPr>
            <w:r>
              <w:rPr>
                <w:spacing w:val="-2"/>
                <w:sz w:val="17"/>
                <w:szCs w:val="17"/>
              </w:rPr>
              <w:t>0.01</w:t>
            </w:r>
          </w:p>
        </w:tc>
        <w:tc>
          <w:tcPr>
            <w:tcW w:w="1580" w:type="dxa"/>
            <w:tcBorders>
              <w:left w:val="single" w:color="000000" w:sz="4" w:space="0"/>
              <w:right w:val="single" w:color="000000" w:sz="4" w:space="0"/>
            </w:tcBorders>
            <w:vAlign w:val="top"/>
          </w:tcPr>
          <w:p w14:paraId="2CB8A2D2">
            <w:pPr>
              <w:pStyle w:val="6"/>
              <w:spacing w:before="111" w:line="330" w:lineRule="exact"/>
              <w:ind w:left="445"/>
              <w:rPr>
                <w:sz w:val="17"/>
                <w:szCs w:val="17"/>
              </w:rPr>
            </w:pPr>
            <w:r>
              <w:rPr>
                <w:spacing w:val="-1"/>
                <w:position w:val="15"/>
                <w:sz w:val="17"/>
                <w:szCs w:val="17"/>
              </w:rPr>
              <w:t>0.000611</w:t>
            </w:r>
          </w:p>
          <w:p w14:paraId="30B84522">
            <w:pPr>
              <w:pStyle w:val="6"/>
              <w:spacing w:line="183" w:lineRule="auto"/>
              <w:ind w:left="445"/>
              <w:rPr>
                <w:sz w:val="17"/>
                <w:szCs w:val="17"/>
              </w:rPr>
            </w:pPr>
            <w:r>
              <w:rPr>
                <w:spacing w:val="-1"/>
                <w:sz w:val="17"/>
                <w:szCs w:val="17"/>
              </w:rPr>
              <w:t>0.000657</w:t>
            </w:r>
          </w:p>
        </w:tc>
        <w:tc>
          <w:tcPr>
            <w:tcW w:w="1570" w:type="dxa"/>
            <w:tcBorders>
              <w:left w:val="single" w:color="000000" w:sz="4" w:space="0"/>
              <w:right w:val="single" w:color="000000" w:sz="4" w:space="0"/>
            </w:tcBorders>
            <w:vAlign w:val="top"/>
          </w:tcPr>
          <w:p w14:paraId="4B89EE42">
            <w:pPr>
              <w:pStyle w:val="6"/>
              <w:spacing w:before="111" w:line="330" w:lineRule="exact"/>
              <w:ind w:left="525"/>
              <w:rPr>
                <w:sz w:val="17"/>
                <w:szCs w:val="17"/>
              </w:rPr>
            </w:pPr>
            <w:r>
              <w:rPr>
                <w:spacing w:val="-2"/>
                <w:position w:val="15"/>
                <w:sz w:val="17"/>
                <w:szCs w:val="17"/>
              </w:rPr>
              <w:t>2501.0</w:t>
            </w:r>
          </w:p>
          <w:p w14:paraId="39F9F19B">
            <w:pPr>
              <w:pStyle w:val="6"/>
              <w:spacing w:line="183" w:lineRule="auto"/>
              <w:ind w:left="525"/>
              <w:rPr>
                <w:sz w:val="17"/>
                <w:szCs w:val="17"/>
              </w:rPr>
            </w:pPr>
            <w:r>
              <w:rPr>
                <w:spacing w:val="-2"/>
                <w:sz w:val="17"/>
                <w:szCs w:val="17"/>
              </w:rPr>
              <w:t>2502.8</w:t>
            </w:r>
          </w:p>
        </w:tc>
        <w:tc>
          <w:tcPr>
            <w:tcW w:w="1580" w:type="dxa"/>
            <w:tcBorders>
              <w:left w:val="single" w:color="000000" w:sz="4" w:space="0"/>
              <w:right w:val="single" w:color="000000" w:sz="4" w:space="0"/>
            </w:tcBorders>
            <w:vAlign w:val="top"/>
          </w:tcPr>
          <w:p w14:paraId="1D2AA1D1">
            <w:pPr>
              <w:pStyle w:val="6"/>
              <w:spacing w:before="101" w:line="183" w:lineRule="auto"/>
              <w:ind w:left="694"/>
              <w:rPr>
                <w:sz w:val="17"/>
                <w:szCs w:val="17"/>
              </w:rPr>
            </w:pPr>
            <w:r>
              <w:rPr>
                <w:spacing w:val="-2"/>
                <w:sz w:val="17"/>
                <w:szCs w:val="17"/>
              </w:rPr>
              <w:t>85</w:t>
            </w:r>
          </w:p>
          <w:p w14:paraId="0D2F334E">
            <w:pPr>
              <w:pStyle w:val="6"/>
              <w:spacing w:before="171" w:line="183" w:lineRule="auto"/>
              <w:ind w:left="694"/>
              <w:rPr>
                <w:sz w:val="17"/>
                <w:szCs w:val="17"/>
              </w:rPr>
            </w:pPr>
            <w:r>
              <w:rPr>
                <w:spacing w:val="-2"/>
                <w:sz w:val="17"/>
                <w:szCs w:val="17"/>
              </w:rPr>
              <w:t>90</w:t>
            </w:r>
          </w:p>
        </w:tc>
        <w:tc>
          <w:tcPr>
            <w:tcW w:w="1570" w:type="dxa"/>
            <w:tcBorders>
              <w:left w:val="single" w:color="000000" w:sz="4" w:space="0"/>
              <w:right w:val="single" w:color="000000" w:sz="4" w:space="0"/>
            </w:tcBorders>
            <w:vAlign w:val="top"/>
          </w:tcPr>
          <w:p w14:paraId="12C5EEE0">
            <w:pPr>
              <w:pStyle w:val="6"/>
              <w:spacing w:before="91" w:line="350" w:lineRule="exact"/>
              <w:ind w:left="565"/>
              <w:rPr>
                <w:sz w:val="17"/>
                <w:szCs w:val="17"/>
              </w:rPr>
            </w:pPr>
            <w:r>
              <w:rPr>
                <w:spacing w:val="-2"/>
                <w:position w:val="16"/>
                <w:sz w:val="17"/>
                <w:szCs w:val="17"/>
              </w:rPr>
              <w:t>0.058</w:t>
            </w:r>
          </w:p>
          <w:p w14:paraId="73841C07">
            <w:pPr>
              <w:pStyle w:val="6"/>
              <w:spacing w:line="183" w:lineRule="auto"/>
              <w:ind w:left="565"/>
              <w:rPr>
                <w:sz w:val="17"/>
                <w:szCs w:val="17"/>
              </w:rPr>
            </w:pPr>
            <w:r>
              <w:rPr>
                <w:spacing w:val="-2"/>
                <w:sz w:val="17"/>
                <w:szCs w:val="17"/>
              </w:rPr>
              <w:t>0.070</w:t>
            </w:r>
          </w:p>
        </w:tc>
        <w:tc>
          <w:tcPr>
            <w:tcW w:w="1530" w:type="dxa"/>
            <w:tcBorders>
              <w:left w:val="single" w:color="000000" w:sz="4" w:space="0"/>
            </w:tcBorders>
            <w:vAlign w:val="top"/>
          </w:tcPr>
          <w:p w14:paraId="184C48DA">
            <w:pPr>
              <w:pStyle w:val="6"/>
              <w:spacing w:before="121" w:line="310" w:lineRule="exact"/>
              <w:ind w:left="505"/>
              <w:rPr>
                <w:sz w:val="17"/>
                <w:szCs w:val="17"/>
              </w:rPr>
            </w:pPr>
            <w:r>
              <w:rPr>
                <w:spacing w:val="-2"/>
                <w:position w:val="13"/>
                <w:sz w:val="17"/>
                <w:szCs w:val="17"/>
              </w:rPr>
              <w:t>2652.1</w:t>
            </w:r>
          </w:p>
          <w:p w14:paraId="1AD8BCCD">
            <w:pPr>
              <w:pStyle w:val="6"/>
              <w:spacing w:line="183" w:lineRule="auto"/>
              <w:ind w:left="505"/>
              <w:rPr>
                <w:sz w:val="17"/>
                <w:szCs w:val="17"/>
              </w:rPr>
            </w:pPr>
            <w:r>
              <w:rPr>
                <w:spacing w:val="-2"/>
                <w:sz w:val="17"/>
                <w:szCs w:val="17"/>
              </w:rPr>
              <w:t>2660.3</w:t>
            </w:r>
          </w:p>
        </w:tc>
      </w:tr>
      <w:tr w14:paraId="7181335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74" w:hRule="atLeast"/>
        </w:trPr>
        <w:tc>
          <w:tcPr>
            <w:tcW w:w="1540" w:type="dxa"/>
            <w:tcBorders>
              <w:right w:val="single" w:color="000000" w:sz="4" w:space="0"/>
            </w:tcBorders>
            <w:vAlign w:val="top"/>
          </w:tcPr>
          <w:p w14:paraId="0DEC187A">
            <w:pPr>
              <w:pStyle w:val="6"/>
              <w:spacing w:before="92" w:line="183" w:lineRule="auto"/>
              <w:ind w:left="720"/>
              <w:rPr>
                <w:sz w:val="17"/>
                <w:szCs w:val="17"/>
              </w:rPr>
            </w:pPr>
            <w:r>
              <w:rPr>
                <w:sz w:val="17"/>
                <w:szCs w:val="17"/>
              </w:rPr>
              <w:t>2</w:t>
            </w:r>
          </w:p>
        </w:tc>
        <w:tc>
          <w:tcPr>
            <w:tcW w:w="1580" w:type="dxa"/>
            <w:tcBorders>
              <w:left w:val="single" w:color="000000" w:sz="4" w:space="0"/>
              <w:right w:val="single" w:color="000000" w:sz="4" w:space="0"/>
            </w:tcBorders>
            <w:vAlign w:val="top"/>
          </w:tcPr>
          <w:p w14:paraId="10411497">
            <w:pPr>
              <w:pStyle w:val="6"/>
              <w:spacing w:before="122" w:line="330" w:lineRule="exact"/>
              <w:ind w:left="445"/>
              <w:rPr>
                <w:sz w:val="17"/>
                <w:szCs w:val="17"/>
              </w:rPr>
            </w:pPr>
            <w:r>
              <w:rPr>
                <w:spacing w:val="-1"/>
                <w:position w:val="15"/>
                <w:sz w:val="17"/>
                <w:szCs w:val="17"/>
              </w:rPr>
              <w:t>0.000705</w:t>
            </w:r>
          </w:p>
          <w:p w14:paraId="1EF214DE">
            <w:pPr>
              <w:pStyle w:val="6"/>
              <w:spacing w:line="183" w:lineRule="auto"/>
              <w:ind w:left="445"/>
              <w:rPr>
                <w:sz w:val="17"/>
                <w:szCs w:val="17"/>
              </w:rPr>
            </w:pPr>
            <w:r>
              <w:rPr>
                <w:spacing w:val="-1"/>
                <w:sz w:val="17"/>
                <w:szCs w:val="17"/>
              </w:rPr>
              <w:t>0.000758</w:t>
            </w:r>
          </w:p>
        </w:tc>
        <w:tc>
          <w:tcPr>
            <w:tcW w:w="1570" w:type="dxa"/>
            <w:tcBorders>
              <w:left w:val="single" w:color="000000" w:sz="4" w:space="0"/>
              <w:right w:val="single" w:color="000000" w:sz="4" w:space="0"/>
            </w:tcBorders>
            <w:vAlign w:val="top"/>
          </w:tcPr>
          <w:p w14:paraId="58A6EE55">
            <w:pPr>
              <w:pStyle w:val="6"/>
              <w:spacing w:before="122" w:line="320" w:lineRule="exact"/>
              <w:ind w:left="525"/>
              <w:rPr>
                <w:sz w:val="17"/>
                <w:szCs w:val="17"/>
              </w:rPr>
            </w:pPr>
            <w:r>
              <w:rPr>
                <w:spacing w:val="-2"/>
                <w:position w:val="14"/>
                <w:sz w:val="17"/>
                <w:szCs w:val="17"/>
              </w:rPr>
              <w:t>2504.7</w:t>
            </w:r>
          </w:p>
          <w:p w14:paraId="367907F6">
            <w:pPr>
              <w:pStyle w:val="6"/>
              <w:spacing w:line="183" w:lineRule="auto"/>
              <w:ind w:left="525"/>
              <w:rPr>
                <w:sz w:val="17"/>
                <w:szCs w:val="17"/>
              </w:rPr>
            </w:pPr>
            <w:r>
              <w:rPr>
                <w:spacing w:val="-2"/>
                <w:sz w:val="17"/>
                <w:szCs w:val="17"/>
              </w:rPr>
              <w:t>2506.5</w:t>
            </w:r>
          </w:p>
        </w:tc>
        <w:tc>
          <w:tcPr>
            <w:tcW w:w="1580" w:type="dxa"/>
            <w:tcBorders>
              <w:left w:val="single" w:color="000000" w:sz="4" w:space="0"/>
              <w:right w:val="single" w:color="000000" w:sz="4" w:space="0"/>
            </w:tcBorders>
            <w:vAlign w:val="top"/>
          </w:tcPr>
          <w:p w14:paraId="44FD9B6F">
            <w:pPr>
              <w:pStyle w:val="6"/>
              <w:spacing w:before="112" w:line="183" w:lineRule="auto"/>
              <w:ind w:left="694"/>
              <w:rPr>
                <w:sz w:val="17"/>
                <w:szCs w:val="17"/>
              </w:rPr>
            </w:pPr>
            <w:r>
              <w:rPr>
                <w:spacing w:val="-2"/>
                <w:sz w:val="17"/>
                <w:szCs w:val="17"/>
              </w:rPr>
              <w:t>95</w:t>
            </w:r>
          </w:p>
          <w:p w14:paraId="5AACF8D6">
            <w:pPr>
              <w:pStyle w:val="6"/>
              <w:spacing w:before="170" w:line="184" w:lineRule="auto"/>
              <w:ind w:left="655"/>
              <w:rPr>
                <w:sz w:val="17"/>
                <w:szCs w:val="17"/>
              </w:rPr>
            </w:pPr>
            <w:r>
              <w:rPr>
                <w:spacing w:val="-5"/>
                <w:sz w:val="17"/>
                <w:szCs w:val="17"/>
              </w:rPr>
              <w:t>100</w:t>
            </w:r>
          </w:p>
        </w:tc>
        <w:tc>
          <w:tcPr>
            <w:tcW w:w="1570" w:type="dxa"/>
            <w:tcBorders>
              <w:left w:val="single" w:color="000000" w:sz="4" w:space="0"/>
              <w:right w:val="single" w:color="000000" w:sz="4" w:space="0"/>
            </w:tcBorders>
            <w:vAlign w:val="top"/>
          </w:tcPr>
          <w:p w14:paraId="32F43ECC">
            <w:pPr>
              <w:pStyle w:val="6"/>
              <w:spacing w:before="102" w:line="350" w:lineRule="exact"/>
              <w:ind w:left="565"/>
              <w:rPr>
                <w:sz w:val="17"/>
                <w:szCs w:val="17"/>
              </w:rPr>
            </w:pPr>
            <w:r>
              <w:rPr>
                <w:spacing w:val="-2"/>
                <w:position w:val="16"/>
                <w:sz w:val="17"/>
                <w:szCs w:val="17"/>
              </w:rPr>
              <w:t>0.085</w:t>
            </w:r>
          </w:p>
          <w:p w14:paraId="3AA21EFF">
            <w:pPr>
              <w:pStyle w:val="6"/>
              <w:spacing w:line="183" w:lineRule="auto"/>
              <w:ind w:left="565"/>
              <w:rPr>
                <w:sz w:val="17"/>
                <w:szCs w:val="17"/>
              </w:rPr>
            </w:pPr>
            <w:r>
              <w:rPr>
                <w:spacing w:val="-2"/>
                <w:sz w:val="17"/>
                <w:szCs w:val="17"/>
              </w:rPr>
              <w:t>0.101</w:t>
            </w:r>
          </w:p>
        </w:tc>
        <w:tc>
          <w:tcPr>
            <w:tcW w:w="1530" w:type="dxa"/>
            <w:tcBorders>
              <w:left w:val="single" w:color="000000" w:sz="4" w:space="0"/>
            </w:tcBorders>
            <w:vAlign w:val="top"/>
          </w:tcPr>
          <w:p w14:paraId="7118FEEF">
            <w:pPr>
              <w:pStyle w:val="6"/>
              <w:spacing w:before="122" w:line="340" w:lineRule="exact"/>
              <w:ind w:left="505"/>
              <w:rPr>
                <w:sz w:val="17"/>
                <w:szCs w:val="17"/>
              </w:rPr>
            </w:pPr>
            <w:r>
              <w:rPr>
                <w:spacing w:val="-2"/>
                <w:position w:val="15"/>
                <w:sz w:val="17"/>
                <w:szCs w:val="17"/>
              </w:rPr>
              <w:t>2668.4</w:t>
            </w:r>
          </w:p>
          <w:p w14:paraId="77F53F79">
            <w:pPr>
              <w:pStyle w:val="6"/>
              <w:spacing w:line="183" w:lineRule="auto"/>
              <w:ind w:left="505"/>
              <w:rPr>
                <w:sz w:val="17"/>
                <w:szCs w:val="17"/>
              </w:rPr>
            </w:pPr>
            <w:r>
              <w:rPr>
                <w:spacing w:val="-2"/>
                <w:sz w:val="17"/>
                <w:szCs w:val="17"/>
              </w:rPr>
              <w:t>2676.3</w:t>
            </w:r>
          </w:p>
        </w:tc>
      </w:tr>
      <w:tr w14:paraId="1E5F559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25" w:hRule="atLeast"/>
        </w:trPr>
        <w:tc>
          <w:tcPr>
            <w:tcW w:w="1540" w:type="dxa"/>
            <w:tcBorders>
              <w:right w:val="single" w:color="000000" w:sz="4" w:space="0"/>
            </w:tcBorders>
            <w:vAlign w:val="top"/>
          </w:tcPr>
          <w:p w14:paraId="181A5862">
            <w:pPr>
              <w:pStyle w:val="6"/>
              <w:spacing w:before="98" w:line="183" w:lineRule="auto"/>
              <w:ind w:left="720"/>
              <w:rPr>
                <w:sz w:val="17"/>
                <w:szCs w:val="17"/>
              </w:rPr>
            </w:pPr>
            <w:r>
              <w:rPr>
                <w:sz w:val="17"/>
                <w:szCs w:val="17"/>
              </w:rPr>
              <w:t>4</w:t>
            </w:r>
          </w:p>
        </w:tc>
        <w:tc>
          <w:tcPr>
            <w:tcW w:w="1580" w:type="dxa"/>
            <w:tcBorders>
              <w:left w:val="single" w:color="000000" w:sz="4" w:space="0"/>
              <w:right w:val="single" w:color="000000" w:sz="4" w:space="0"/>
            </w:tcBorders>
            <w:vAlign w:val="top"/>
          </w:tcPr>
          <w:p w14:paraId="6D8419CE">
            <w:pPr>
              <w:pStyle w:val="6"/>
              <w:spacing w:before="117" w:line="184" w:lineRule="auto"/>
              <w:ind w:left="445"/>
              <w:rPr>
                <w:sz w:val="17"/>
                <w:szCs w:val="17"/>
              </w:rPr>
            </w:pPr>
            <w:r>
              <w:rPr>
                <w:spacing w:val="-1"/>
                <w:sz w:val="17"/>
                <w:szCs w:val="17"/>
              </w:rPr>
              <w:t>0.000813</w:t>
            </w:r>
          </w:p>
        </w:tc>
        <w:tc>
          <w:tcPr>
            <w:tcW w:w="1570" w:type="dxa"/>
            <w:tcBorders>
              <w:left w:val="single" w:color="000000" w:sz="4" w:space="0"/>
              <w:right w:val="single" w:color="000000" w:sz="4" w:space="0"/>
            </w:tcBorders>
            <w:vAlign w:val="top"/>
          </w:tcPr>
          <w:p w14:paraId="30A99499">
            <w:pPr>
              <w:pStyle w:val="6"/>
              <w:spacing w:before="118" w:line="183" w:lineRule="auto"/>
              <w:ind w:left="525"/>
              <w:rPr>
                <w:sz w:val="17"/>
                <w:szCs w:val="17"/>
              </w:rPr>
            </w:pPr>
            <w:r>
              <w:rPr>
                <w:spacing w:val="-2"/>
                <w:sz w:val="17"/>
                <w:szCs w:val="17"/>
              </w:rPr>
              <w:t>2508.3</w:t>
            </w:r>
          </w:p>
        </w:tc>
        <w:tc>
          <w:tcPr>
            <w:tcW w:w="1580" w:type="dxa"/>
            <w:tcBorders>
              <w:left w:val="single" w:color="000000" w:sz="4" w:space="0"/>
              <w:right w:val="single" w:color="000000" w:sz="4" w:space="0"/>
            </w:tcBorders>
            <w:vAlign w:val="top"/>
          </w:tcPr>
          <w:p w14:paraId="3AAA85EA">
            <w:pPr>
              <w:pStyle w:val="6"/>
              <w:spacing w:before="108" w:line="184" w:lineRule="auto"/>
              <w:ind w:left="655"/>
              <w:rPr>
                <w:sz w:val="17"/>
                <w:szCs w:val="17"/>
              </w:rPr>
            </w:pPr>
            <w:r>
              <w:rPr>
                <w:spacing w:val="-5"/>
                <w:sz w:val="17"/>
                <w:szCs w:val="17"/>
              </w:rPr>
              <w:t>110</w:t>
            </w:r>
          </w:p>
        </w:tc>
        <w:tc>
          <w:tcPr>
            <w:tcW w:w="1570" w:type="dxa"/>
            <w:tcBorders>
              <w:left w:val="single" w:color="000000" w:sz="4" w:space="0"/>
              <w:right w:val="single" w:color="000000" w:sz="4" w:space="0"/>
            </w:tcBorders>
            <w:vAlign w:val="top"/>
          </w:tcPr>
          <w:p w14:paraId="334C9535">
            <w:pPr>
              <w:pStyle w:val="6"/>
              <w:spacing w:before="117" w:line="184" w:lineRule="auto"/>
              <w:ind w:left="565"/>
              <w:rPr>
                <w:sz w:val="17"/>
                <w:szCs w:val="17"/>
              </w:rPr>
            </w:pPr>
            <w:r>
              <w:rPr>
                <w:spacing w:val="-2"/>
                <w:sz w:val="17"/>
                <w:szCs w:val="17"/>
              </w:rPr>
              <w:t>0.143</w:t>
            </w:r>
          </w:p>
        </w:tc>
        <w:tc>
          <w:tcPr>
            <w:tcW w:w="1530" w:type="dxa"/>
            <w:tcBorders>
              <w:left w:val="single" w:color="000000" w:sz="4" w:space="0"/>
            </w:tcBorders>
            <w:vAlign w:val="top"/>
          </w:tcPr>
          <w:p w14:paraId="6363791B">
            <w:pPr>
              <w:pStyle w:val="6"/>
              <w:spacing w:before="108" w:line="184" w:lineRule="auto"/>
              <w:ind w:left="505"/>
              <w:rPr>
                <w:sz w:val="17"/>
                <w:szCs w:val="17"/>
              </w:rPr>
            </w:pPr>
            <w:r>
              <w:rPr>
                <w:spacing w:val="-2"/>
                <w:sz w:val="17"/>
                <w:szCs w:val="17"/>
              </w:rPr>
              <w:t>2691.8</w:t>
            </w:r>
          </w:p>
        </w:tc>
      </w:tr>
      <w:tr w14:paraId="5EE2FCA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19" w:hRule="atLeast"/>
        </w:trPr>
        <w:tc>
          <w:tcPr>
            <w:tcW w:w="1540" w:type="dxa"/>
            <w:tcBorders>
              <w:right w:val="single" w:color="000000" w:sz="4" w:space="0"/>
            </w:tcBorders>
            <w:vAlign w:val="top"/>
          </w:tcPr>
          <w:p w14:paraId="26BC16C3">
            <w:pPr>
              <w:pStyle w:val="6"/>
              <w:spacing w:before="104" w:line="182" w:lineRule="auto"/>
              <w:ind w:left="720"/>
              <w:rPr>
                <w:sz w:val="17"/>
                <w:szCs w:val="17"/>
              </w:rPr>
            </w:pPr>
            <w:r>
              <w:rPr>
                <w:sz w:val="17"/>
                <w:szCs w:val="17"/>
              </w:rPr>
              <w:t>5</w:t>
            </w:r>
          </w:p>
        </w:tc>
        <w:tc>
          <w:tcPr>
            <w:tcW w:w="1580" w:type="dxa"/>
            <w:tcBorders>
              <w:left w:val="single" w:color="000000" w:sz="4" w:space="0"/>
              <w:right w:val="single" w:color="000000" w:sz="4" w:space="0"/>
            </w:tcBorders>
            <w:vAlign w:val="top"/>
          </w:tcPr>
          <w:p w14:paraId="6CC67935">
            <w:pPr>
              <w:pStyle w:val="6"/>
              <w:spacing w:before="93" w:line="183" w:lineRule="auto"/>
              <w:ind w:left="445"/>
              <w:rPr>
                <w:sz w:val="17"/>
                <w:szCs w:val="17"/>
              </w:rPr>
            </w:pPr>
            <w:r>
              <w:rPr>
                <w:spacing w:val="-1"/>
                <w:sz w:val="17"/>
                <w:szCs w:val="17"/>
              </w:rPr>
              <w:t>0.000872</w:t>
            </w:r>
          </w:p>
        </w:tc>
        <w:tc>
          <w:tcPr>
            <w:tcW w:w="1570" w:type="dxa"/>
            <w:tcBorders>
              <w:left w:val="single" w:color="000000" w:sz="4" w:space="0"/>
              <w:right w:val="single" w:color="000000" w:sz="4" w:space="0"/>
            </w:tcBorders>
            <w:vAlign w:val="top"/>
          </w:tcPr>
          <w:p w14:paraId="6DAC26AE">
            <w:pPr>
              <w:pStyle w:val="6"/>
              <w:spacing w:before="102" w:line="184" w:lineRule="auto"/>
              <w:ind w:left="525"/>
              <w:rPr>
                <w:sz w:val="17"/>
                <w:szCs w:val="17"/>
              </w:rPr>
            </w:pPr>
            <w:r>
              <w:rPr>
                <w:spacing w:val="-2"/>
                <w:sz w:val="17"/>
                <w:szCs w:val="17"/>
              </w:rPr>
              <w:t>2510.2</w:t>
            </w:r>
          </w:p>
        </w:tc>
        <w:tc>
          <w:tcPr>
            <w:tcW w:w="1580" w:type="dxa"/>
            <w:tcBorders>
              <w:left w:val="single" w:color="000000" w:sz="4" w:space="0"/>
              <w:right w:val="single" w:color="000000" w:sz="4" w:space="0"/>
            </w:tcBorders>
            <w:vAlign w:val="top"/>
          </w:tcPr>
          <w:p w14:paraId="5A9E5972">
            <w:pPr>
              <w:pStyle w:val="6"/>
              <w:spacing w:before="112" w:line="184" w:lineRule="auto"/>
              <w:ind w:left="655"/>
              <w:rPr>
                <w:sz w:val="17"/>
                <w:szCs w:val="17"/>
              </w:rPr>
            </w:pPr>
            <w:r>
              <w:rPr>
                <w:spacing w:val="-5"/>
                <w:sz w:val="17"/>
                <w:szCs w:val="17"/>
              </w:rPr>
              <w:t>120</w:t>
            </w:r>
          </w:p>
        </w:tc>
        <w:tc>
          <w:tcPr>
            <w:tcW w:w="1570" w:type="dxa"/>
            <w:tcBorders>
              <w:left w:val="single" w:color="000000" w:sz="4" w:space="0"/>
              <w:right w:val="single" w:color="000000" w:sz="4" w:space="0"/>
            </w:tcBorders>
            <w:vAlign w:val="top"/>
          </w:tcPr>
          <w:p w14:paraId="48BFC95C">
            <w:pPr>
              <w:pStyle w:val="6"/>
              <w:spacing w:before="102" w:line="184" w:lineRule="auto"/>
              <w:ind w:left="565"/>
              <w:rPr>
                <w:sz w:val="17"/>
                <w:szCs w:val="17"/>
              </w:rPr>
            </w:pPr>
            <w:r>
              <w:rPr>
                <w:spacing w:val="-2"/>
                <w:sz w:val="17"/>
                <w:szCs w:val="17"/>
              </w:rPr>
              <w:t>0.199</w:t>
            </w:r>
          </w:p>
        </w:tc>
        <w:tc>
          <w:tcPr>
            <w:tcW w:w="1530" w:type="dxa"/>
            <w:tcBorders>
              <w:left w:val="single" w:color="000000" w:sz="4" w:space="0"/>
            </w:tcBorders>
            <w:vAlign w:val="top"/>
          </w:tcPr>
          <w:p w14:paraId="2D882148">
            <w:pPr>
              <w:pStyle w:val="6"/>
              <w:spacing w:before="113" w:line="183" w:lineRule="auto"/>
              <w:ind w:left="505"/>
              <w:rPr>
                <w:sz w:val="17"/>
                <w:szCs w:val="17"/>
              </w:rPr>
            </w:pPr>
            <w:r>
              <w:rPr>
                <w:spacing w:val="-2"/>
                <w:sz w:val="17"/>
                <w:szCs w:val="17"/>
              </w:rPr>
              <w:t>2706.6</w:t>
            </w:r>
          </w:p>
        </w:tc>
      </w:tr>
      <w:tr w14:paraId="6C38C16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0" w:hRule="atLeast"/>
        </w:trPr>
        <w:tc>
          <w:tcPr>
            <w:tcW w:w="1540" w:type="dxa"/>
            <w:tcBorders>
              <w:right w:val="single" w:color="000000" w:sz="4" w:space="0"/>
            </w:tcBorders>
            <w:vAlign w:val="top"/>
          </w:tcPr>
          <w:p w14:paraId="514645C9">
            <w:pPr>
              <w:pStyle w:val="6"/>
              <w:spacing w:before="94" w:line="183" w:lineRule="auto"/>
              <w:ind w:left="720"/>
              <w:rPr>
                <w:sz w:val="17"/>
                <w:szCs w:val="17"/>
              </w:rPr>
            </w:pPr>
            <w:r>
              <w:rPr>
                <w:sz w:val="17"/>
                <w:szCs w:val="17"/>
              </w:rPr>
              <w:t>6</w:t>
            </w:r>
          </w:p>
        </w:tc>
        <w:tc>
          <w:tcPr>
            <w:tcW w:w="1580" w:type="dxa"/>
            <w:tcBorders>
              <w:left w:val="single" w:color="000000" w:sz="4" w:space="0"/>
              <w:right w:val="single" w:color="000000" w:sz="4" w:space="0"/>
            </w:tcBorders>
            <w:vAlign w:val="top"/>
          </w:tcPr>
          <w:p w14:paraId="075CDC7D">
            <w:pPr>
              <w:pStyle w:val="6"/>
              <w:spacing w:before="104" w:line="183" w:lineRule="auto"/>
              <w:ind w:left="485"/>
              <w:rPr>
                <w:sz w:val="17"/>
                <w:szCs w:val="17"/>
              </w:rPr>
            </w:pPr>
            <w:r>
              <w:rPr>
                <w:spacing w:val="-1"/>
                <w:sz w:val="17"/>
                <w:szCs w:val="17"/>
              </w:rPr>
              <w:t>0.00093</w:t>
            </w:r>
          </w:p>
        </w:tc>
        <w:tc>
          <w:tcPr>
            <w:tcW w:w="1570" w:type="dxa"/>
            <w:tcBorders>
              <w:left w:val="single" w:color="000000" w:sz="4" w:space="0"/>
              <w:right w:val="single" w:color="000000" w:sz="4" w:space="0"/>
            </w:tcBorders>
            <w:vAlign w:val="top"/>
          </w:tcPr>
          <w:p w14:paraId="17A13DFF">
            <w:pPr>
              <w:pStyle w:val="6"/>
              <w:spacing w:before="94" w:line="184" w:lineRule="auto"/>
              <w:ind w:left="525"/>
              <w:rPr>
                <w:sz w:val="17"/>
                <w:szCs w:val="17"/>
              </w:rPr>
            </w:pPr>
            <w:r>
              <w:rPr>
                <w:spacing w:val="-2"/>
                <w:sz w:val="17"/>
                <w:szCs w:val="17"/>
              </w:rPr>
              <w:t>2512.0</w:t>
            </w:r>
          </w:p>
        </w:tc>
        <w:tc>
          <w:tcPr>
            <w:tcW w:w="1580" w:type="dxa"/>
            <w:tcBorders>
              <w:left w:val="single" w:color="000000" w:sz="4" w:space="0"/>
              <w:right w:val="single" w:color="000000" w:sz="4" w:space="0"/>
            </w:tcBorders>
            <w:vAlign w:val="top"/>
          </w:tcPr>
          <w:p w14:paraId="57511A56">
            <w:pPr>
              <w:pStyle w:val="6"/>
              <w:spacing w:before="123" w:line="184" w:lineRule="auto"/>
              <w:ind w:left="655"/>
              <w:rPr>
                <w:sz w:val="17"/>
                <w:szCs w:val="17"/>
              </w:rPr>
            </w:pPr>
            <w:r>
              <w:rPr>
                <w:spacing w:val="-5"/>
                <w:sz w:val="17"/>
                <w:szCs w:val="17"/>
              </w:rPr>
              <w:t>130</w:t>
            </w:r>
          </w:p>
        </w:tc>
        <w:tc>
          <w:tcPr>
            <w:tcW w:w="1570" w:type="dxa"/>
            <w:tcBorders>
              <w:left w:val="single" w:color="000000" w:sz="4" w:space="0"/>
              <w:right w:val="single" w:color="000000" w:sz="4" w:space="0"/>
            </w:tcBorders>
            <w:vAlign w:val="top"/>
          </w:tcPr>
          <w:p w14:paraId="4076F5C6">
            <w:pPr>
              <w:pStyle w:val="6"/>
              <w:spacing w:before="94" w:line="183" w:lineRule="auto"/>
              <w:ind w:left="565"/>
              <w:rPr>
                <w:sz w:val="17"/>
                <w:szCs w:val="17"/>
              </w:rPr>
            </w:pPr>
            <w:r>
              <w:rPr>
                <w:spacing w:val="-2"/>
                <w:sz w:val="17"/>
                <w:szCs w:val="17"/>
              </w:rPr>
              <w:t>0.270</w:t>
            </w:r>
          </w:p>
        </w:tc>
        <w:tc>
          <w:tcPr>
            <w:tcW w:w="1530" w:type="dxa"/>
            <w:tcBorders>
              <w:left w:val="single" w:color="000000" w:sz="4" w:space="0"/>
            </w:tcBorders>
            <w:vAlign w:val="top"/>
          </w:tcPr>
          <w:p w14:paraId="6EC05C5B">
            <w:pPr>
              <w:pStyle w:val="6"/>
              <w:spacing w:before="104" w:line="183" w:lineRule="auto"/>
              <w:ind w:left="505"/>
              <w:rPr>
                <w:sz w:val="17"/>
                <w:szCs w:val="17"/>
              </w:rPr>
            </w:pPr>
            <w:r>
              <w:rPr>
                <w:spacing w:val="-2"/>
                <w:sz w:val="17"/>
                <w:szCs w:val="17"/>
              </w:rPr>
              <w:t>2720.7</w:t>
            </w:r>
          </w:p>
        </w:tc>
      </w:tr>
      <w:tr w14:paraId="3F9FA5E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44" w:hRule="atLeast"/>
        </w:trPr>
        <w:tc>
          <w:tcPr>
            <w:tcW w:w="1540" w:type="dxa"/>
            <w:tcBorders>
              <w:right w:val="single" w:color="000000" w:sz="4" w:space="0"/>
            </w:tcBorders>
            <w:vAlign w:val="top"/>
          </w:tcPr>
          <w:p w14:paraId="345E2BAC">
            <w:pPr>
              <w:pStyle w:val="6"/>
              <w:spacing w:before="95" w:line="182" w:lineRule="auto"/>
              <w:ind w:left="720"/>
              <w:rPr>
                <w:sz w:val="17"/>
                <w:szCs w:val="17"/>
              </w:rPr>
            </w:pPr>
            <w:r>
              <w:rPr>
                <w:sz w:val="17"/>
                <w:szCs w:val="17"/>
              </w:rPr>
              <w:t>7</w:t>
            </w:r>
          </w:p>
        </w:tc>
        <w:tc>
          <w:tcPr>
            <w:tcW w:w="1580" w:type="dxa"/>
            <w:tcBorders>
              <w:left w:val="single" w:color="000000" w:sz="4" w:space="0"/>
              <w:right w:val="single" w:color="000000" w:sz="4" w:space="0"/>
            </w:tcBorders>
            <w:vAlign w:val="top"/>
          </w:tcPr>
          <w:p w14:paraId="05FB32A5">
            <w:pPr>
              <w:pStyle w:val="6"/>
              <w:spacing w:before="143" w:line="184" w:lineRule="auto"/>
              <w:ind w:left="445"/>
              <w:rPr>
                <w:sz w:val="17"/>
                <w:szCs w:val="17"/>
              </w:rPr>
            </w:pPr>
            <w:r>
              <w:rPr>
                <w:spacing w:val="-1"/>
                <w:sz w:val="17"/>
                <w:szCs w:val="17"/>
              </w:rPr>
              <w:t>0.001001</w:t>
            </w:r>
          </w:p>
        </w:tc>
        <w:tc>
          <w:tcPr>
            <w:tcW w:w="1570" w:type="dxa"/>
            <w:tcBorders>
              <w:left w:val="single" w:color="000000" w:sz="4" w:space="0"/>
              <w:right w:val="single" w:color="000000" w:sz="4" w:space="0"/>
            </w:tcBorders>
            <w:vAlign w:val="top"/>
          </w:tcPr>
          <w:p w14:paraId="3026C2A1">
            <w:pPr>
              <w:pStyle w:val="6"/>
              <w:spacing w:before="104" w:line="184" w:lineRule="auto"/>
              <w:ind w:left="525"/>
              <w:rPr>
                <w:sz w:val="17"/>
                <w:szCs w:val="17"/>
              </w:rPr>
            </w:pPr>
            <w:r>
              <w:rPr>
                <w:spacing w:val="-2"/>
                <w:sz w:val="17"/>
                <w:szCs w:val="17"/>
              </w:rPr>
              <w:t>2513.9</w:t>
            </w:r>
          </w:p>
        </w:tc>
        <w:tc>
          <w:tcPr>
            <w:tcW w:w="1580" w:type="dxa"/>
            <w:tcBorders>
              <w:left w:val="single" w:color="000000" w:sz="4" w:space="0"/>
              <w:right w:val="single" w:color="000000" w:sz="4" w:space="0"/>
            </w:tcBorders>
            <w:vAlign w:val="top"/>
          </w:tcPr>
          <w:p w14:paraId="5FB9D10C">
            <w:pPr>
              <w:pStyle w:val="6"/>
              <w:spacing w:before="124" w:line="184" w:lineRule="auto"/>
              <w:ind w:left="655"/>
              <w:rPr>
                <w:sz w:val="17"/>
                <w:szCs w:val="17"/>
              </w:rPr>
            </w:pPr>
            <w:r>
              <w:rPr>
                <w:spacing w:val="-5"/>
                <w:sz w:val="17"/>
                <w:szCs w:val="17"/>
              </w:rPr>
              <w:t>140</w:t>
            </w:r>
          </w:p>
        </w:tc>
        <w:tc>
          <w:tcPr>
            <w:tcW w:w="1570" w:type="dxa"/>
            <w:tcBorders>
              <w:left w:val="single" w:color="000000" w:sz="4" w:space="0"/>
              <w:right w:val="single" w:color="000000" w:sz="4" w:space="0"/>
            </w:tcBorders>
            <w:vAlign w:val="top"/>
          </w:tcPr>
          <w:p w14:paraId="107579F2">
            <w:pPr>
              <w:pStyle w:val="6"/>
              <w:spacing w:before="124" w:line="184" w:lineRule="auto"/>
              <w:ind w:left="565"/>
              <w:rPr>
                <w:sz w:val="17"/>
                <w:szCs w:val="17"/>
              </w:rPr>
            </w:pPr>
            <w:r>
              <w:rPr>
                <w:spacing w:val="-2"/>
                <w:sz w:val="17"/>
                <w:szCs w:val="17"/>
              </w:rPr>
              <w:t>0.361</w:t>
            </w:r>
          </w:p>
        </w:tc>
        <w:tc>
          <w:tcPr>
            <w:tcW w:w="1530" w:type="dxa"/>
            <w:tcBorders>
              <w:left w:val="single" w:color="000000" w:sz="4" w:space="0"/>
            </w:tcBorders>
            <w:vAlign w:val="top"/>
          </w:tcPr>
          <w:p w14:paraId="01734038">
            <w:pPr>
              <w:pStyle w:val="6"/>
              <w:spacing w:before="104" w:line="183" w:lineRule="auto"/>
              <w:ind w:left="505"/>
              <w:rPr>
                <w:sz w:val="17"/>
                <w:szCs w:val="17"/>
              </w:rPr>
            </w:pPr>
            <w:r>
              <w:rPr>
                <w:spacing w:val="-2"/>
                <w:sz w:val="17"/>
                <w:szCs w:val="17"/>
              </w:rPr>
              <w:t>2734.0</w:t>
            </w:r>
          </w:p>
        </w:tc>
      </w:tr>
      <w:tr w14:paraId="6211717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15" w:hRule="atLeast"/>
        </w:trPr>
        <w:tc>
          <w:tcPr>
            <w:tcW w:w="1540" w:type="dxa"/>
            <w:tcBorders>
              <w:right w:val="single" w:color="000000" w:sz="4" w:space="0"/>
            </w:tcBorders>
            <w:vAlign w:val="top"/>
          </w:tcPr>
          <w:p w14:paraId="3F7034EE">
            <w:pPr>
              <w:pStyle w:val="6"/>
              <w:spacing w:before="100" w:line="183" w:lineRule="auto"/>
              <w:ind w:left="720"/>
              <w:rPr>
                <w:sz w:val="17"/>
                <w:szCs w:val="17"/>
              </w:rPr>
            </w:pPr>
            <w:r>
              <w:rPr>
                <w:sz w:val="17"/>
                <w:szCs w:val="17"/>
              </w:rPr>
              <w:t>8</w:t>
            </w:r>
          </w:p>
        </w:tc>
        <w:tc>
          <w:tcPr>
            <w:tcW w:w="1580" w:type="dxa"/>
            <w:tcBorders>
              <w:left w:val="single" w:color="000000" w:sz="4" w:space="0"/>
              <w:right w:val="single" w:color="000000" w:sz="4" w:space="0"/>
            </w:tcBorders>
            <w:vAlign w:val="top"/>
          </w:tcPr>
          <w:p w14:paraId="28EF43CE">
            <w:pPr>
              <w:pStyle w:val="6"/>
              <w:spacing w:before="89" w:line="184" w:lineRule="auto"/>
              <w:ind w:left="445"/>
              <w:rPr>
                <w:sz w:val="17"/>
                <w:szCs w:val="17"/>
              </w:rPr>
            </w:pPr>
            <w:r>
              <w:rPr>
                <w:spacing w:val="-1"/>
                <w:sz w:val="17"/>
                <w:szCs w:val="17"/>
              </w:rPr>
              <w:t>0.001072</w:t>
            </w:r>
          </w:p>
        </w:tc>
        <w:tc>
          <w:tcPr>
            <w:tcW w:w="1570" w:type="dxa"/>
            <w:tcBorders>
              <w:left w:val="single" w:color="000000" w:sz="4" w:space="0"/>
              <w:right w:val="single" w:color="000000" w:sz="4" w:space="0"/>
            </w:tcBorders>
            <w:vAlign w:val="top"/>
          </w:tcPr>
          <w:p w14:paraId="5FEDE2D1">
            <w:pPr>
              <w:pStyle w:val="6"/>
              <w:spacing w:before="89" w:line="184" w:lineRule="auto"/>
              <w:ind w:left="525"/>
              <w:rPr>
                <w:sz w:val="17"/>
                <w:szCs w:val="17"/>
              </w:rPr>
            </w:pPr>
            <w:r>
              <w:rPr>
                <w:spacing w:val="-2"/>
                <w:sz w:val="17"/>
                <w:szCs w:val="17"/>
              </w:rPr>
              <w:t>2515.7</w:t>
            </w:r>
          </w:p>
        </w:tc>
        <w:tc>
          <w:tcPr>
            <w:tcW w:w="1580" w:type="dxa"/>
            <w:tcBorders>
              <w:left w:val="single" w:color="000000" w:sz="4" w:space="0"/>
              <w:right w:val="single" w:color="000000" w:sz="4" w:space="0"/>
            </w:tcBorders>
            <w:vAlign w:val="top"/>
          </w:tcPr>
          <w:p w14:paraId="779B0801">
            <w:pPr>
              <w:pStyle w:val="6"/>
              <w:spacing w:before="99" w:line="184" w:lineRule="auto"/>
              <w:ind w:left="655"/>
              <w:rPr>
                <w:sz w:val="17"/>
                <w:szCs w:val="17"/>
              </w:rPr>
            </w:pPr>
            <w:r>
              <w:rPr>
                <w:spacing w:val="-5"/>
                <w:sz w:val="17"/>
                <w:szCs w:val="17"/>
              </w:rPr>
              <w:t>150</w:t>
            </w:r>
          </w:p>
        </w:tc>
        <w:tc>
          <w:tcPr>
            <w:tcW w:w="1570" w:type="dxa"/>
            <w:tcBorders>
              <w:left w:val="single" w:color="000000" w:sz="4" w:space="0"/>
              <w:right w:val="single" w:color="000000" w:sz="4" w:space="0"/>
            </w:tcBorders>
            <w:vAlign w:val="top"/>
          </w:tcPr>
          <w:p w14:paraId="484D7E33">
            <w:pPr>
              <w:pStyle w:val="6"/>
              <w:spacing w:before="90" w:line="183" w:lineRule="auto"/>
              <w:ind w:left="565"/>
              <w:rPr>
                <w:sz w:val="17"/>
                <w:szCs w:val="17"/>
              </w:rPr>
            </w:pPr>
            <w:r>
              <w:rPr>
                <w:spacing w:val="-2"/>
                <w:sz w:val="17"/>
                <w:szCs w:val="17"/>
              </w:rPr>
              <w:t>0.476</w:t>
            </w:r>
          </w:p>
        </w:tc>
        <w:tc>
          <w:tcPr>
            <w:tcW w:w="1530" w:type="dxa"/>
            <w:tcBorders>
              <w:left w:val="single" w:color="000000" w:sz="4" w:space="0"/>
            </w:tcBorders>
            <w:vAlign w:val="top"/>
          </w:tcPr>
          <w:p w14:paraId="1D9FB62D">
            <w:pPr>
              <w:pStyle w:val="6"/>
              <w:spacing w:before="100" w:line="183" w:lineRule="auto"/>
              <w:ind w:left="505"/>
              <w:rPr>
                <w:sz w:val="17"/>
                <w:szCs w:val="17"/>
              </w:rPr>
            </w:pPr>
            <w:r>
              <w:rPr>
                <w:spacing w:val="-2"/>
                <w:sz w:val="17"/>
                <w:szCs w:val="17"/>
              </w:rPr>
              <w:t>2746.3</w:t>
            </w:r>
          </w:p>
        </w:tc>
      </w:tr>
      <w:tr w14:paraId="3CC83B6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45" w:hRule="atLeast"/>
        </w:trPr>
        <w:tc>
          <w:tcPr>
            <w:tcW w:w="1540" w:type="dxa"/>
            <w:tcBorders>
              <w:right w:val="single" w:color="000000" w:sz="4" w:space="0"/>
            </w:tcBorders>
            <w:vAlign w:val="top"/>
          </w:tcPr>
          <w:p w14:paraId="3906E0B4">
            <w:pPr>
              <w:pStyle w:val="6"/>
              <w:spacing w:before="115" w:line="183" w:lineRule="auto"/>
              <w:ind w:left="720"/>
              <w:rPr>
                <w:sz w:val="17"/>
                <w:szCs w:val="17"/>
              </w:rPr>
            </w:pPr>
            <w:r>
              <w:rPr>
                <w:sz w:val="17"/>
                <w:szCs w:val="17"/>
              </w:rPr>
              <w:t>9</w:t>
            </w:r>
          </w:p>
        </w:tc>
        <w:tc>
          <w:tcPr>
            <w:tcW w:w="1580" w:type="dxa"/>
            <w:tcBorders>
              <w:left w:val="single" w:color="000000" w:sz="4" w:space="0"/>
              <w:right w:val="single" w:color="000000" w:sz="4" w:space="0"/>
            </w:tcBorders>
            <w:vAlign w:val="top"/>
          </w:tcPr>
          <w:p w14:paraId="7815AE9B">
            <w:pPr>
              <w:pStyle w:val="6"/>
              <w:spacing w:before="145" w:line="184" w:lineRule="auto"/>
              <w:ind w:left="445"/>
              <w:rPr>
                <w:sz w:val="17"/>
                <w:szCs w:val="17"/>
              </w:rPr>
            </w:pPr>
            <w:r>
              <w:rPr>
                <w:spacing w:val="-1"/>
                <w:sz w:val="17"/>
                <w:szCs w:val="17"/>
              </w:rPr>
              <w:t>0.001147</w:t>
            </w:r>
          </w:p>
        </w:tc>
        <w:tc>
          <w:tcPr>
            <w:tcW w:w="1570" w:type="dxa"/>
            <w:tcBorders>
              <w:left w:val="single" w:color="000000" w:sz="4" w:space="0"/>
              <w:right w:val="single" w:color="000000" w:sz="4" w:space="0"/>
            </w:tcBorders>
            <w:vAlign w:val="top"/>
          </w:tcPr>
          <w:p w14:paraId="4F165948">
            <w:pPr>
              <w:pStyle w:val="6"/>
              <w:spacing w:before="145" w:line="184" w:lineRule="auto"/>
              <w:ind w:left="525"/>
              <w:rPr>
                <w:sz w:val="17"/>
                <w:szCs w:val="17"/>
              </w:rPr>
            </w:pPr>
            <w:r>
              <w:rPr>
                <w:spacing w:val="-2"/>
                <w:sz w:val="17"/>
                <w:szCs w:val="17"/>
              </w:rPr>
              <w:t>2517.5</w:t>
            </w:r>
          </w:p>
        </w:tc>
        <w:tc>
          <w:tcPr>
            <w:tcW w:w="1580" w:type="dxa"/>
            <w:tcBorders>
              <w:left w:val="single" w:color="000000" w:sz="4" w:space="0"/>
              <w:right w:val="single" w:color="000000" w:sz="4" w:space="0"/>
            </w:tcBorders>
            <w:vAlign w:val="top"/>
          </w:tcPr>
          <w:p w14:paraId="2032648C">
            <w:pPr>
              <w:pStyle w:val="6"/>
              <w:spacing w:before="124" w:line="184" w:lineRule="auto"/>
              <w:ind w:left="655"/>
              <w:rPr>
                <w:sz w:val="17"/>
                <w:szCs w:val="17"/>
              </w:rPr>
            </w:pPr>
            <w:r>
              <w:rPr>
                <w:spacing w:val="-5"/>
                <w:sz w:val="17"/>
                <w:szCs w:val="17"/>
              </w:rPr>
              <w:t>160</w:t>
            </w:r>
          </w:p>
        </w:tc>
        <w:tc>
          <w:tcPr>
            <w:tcW w:w="1570" w:type="dxa"/>
            <w:tcBorders>
              <w:left w:val="single" w:color="000000" w:sz="4" w:space="0"/>
              <w:right w:val="single" w:color="000000" w:sz="4" w:space="0"/>
            </w:tcBorders>
            <w:vAlign w:val="top"/>
          </w:tcPr>
          <w:p w14:paraId="3DE57577">
            <w:pPr>
              <w:pStyle w:val="6"/>
              <w:spacing w:before="104" w:line="184" w:lineRule="auto"/>
              <w:ind w:left="565"/>
              <w:rPr>
                <w:sz w:val="17"/>
                <w:szCs w:val="17"/>
              </w:rPr>
            </w:pPr>
            <w:r>
              <w:rPr>
                <w:spacing w:val="-2"/>
                <w:sz w:val="17"/>
                <w:szCs w:val="17"/>
              </w:rPr>
              <w:t>0.618</w:t>
            </w:r>
          </w:p>
        </w:tc>
        <w:tc>
          <w:tcPr>
            <w:tcW w:w="1530" w:type="dxa"/>
            <w:tcBorders>
              <w:left w:val="single" w:color="000000" w:sz="4" w:space="0"/>
            </w:tcBorders>
            <w:vAlign w:val="top"/>
          </w:tcPr>
          <w:p w14:paraId="2364BDD5">
            <w:pPr>
              <w:pStyle w:val="6"/>
              <w:spacing w:before="145" w:line="183" w:lineRule="auto"/>
              <w:ind w:left="505"/>
              <w:rPr>
                <w:sz w:val="17"/>
                <w:szCs w:val="17"/>
              </w:rPr>
            </w:pPr>
            <w:r>
              <w:rPr>
                <w:spacing w:val="-2"/>
                <w:sz w:val="17"/>
                <w:szCs w:val="17"/>
              </w:rPr>
              <w:t>2757.7</w:t>
            </w:r>
          </w:p>
        </w:tc>
      </w:tr>
      <w:tr w14:paraId="3A3052E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19" w:hRule="atLeast"/>
        </w:trPr>
        <w:tc>
          <w:tcPr>
            <w:tcW w:w="1540" w:type="dxa"/>
            <w:tcBorders>
              <w:right w:val="single" w:color="000000" w:sz="4" w:space="0"/>
            </w:tcBorders>
            <w:vAlign w:val="top"/>
          </w:tcPr>
          <w:p w14:paraId="15917072">
            <w:pPr>
              <w:pStyle w:val="6"/>
              <w:spacing w:before="99" w:line="184" w:lineRule="auto"/>
              <w:ind w:left="680"/>
              <w:rPr>
                <w:sz w:val="17"/>
                <w:szCs w:val="17"/>
              </w:rPr>
            </w:pPr>
            <w:r>
              <w:rPr>
                <w:spacing w:val="-5"/>
                <w:sz w:val="17"/>
                <w:szCs w:val="17"/>
              </w:rPr>
              <w:t>10</w:t>
            </w:r>
          </w:p>
        </w:tc>
        <w:tc>
          <w:tcPr>
            <w:tcW w:w="1580" w:type="dxa"/>
            <w:tcBorders>
              <w:left w:val="single" w:color="000000" w:sz="4" w:space="0"/>
              <w:right w:val="single" w:color="000000" w:sz="4" w:space="0"/>
            </w:tcBorders>
            <w:vAlign w:val="top"/>
          </w:tcPr>
          <w:p w14:paraId="6CE53ED1">
            <w:pPr>
              <w:pStyle w:val="6"/>
              <w:spacing w:before="109" w:line="184" w:lineRule="auto"/>
              <w:ind w:left="445"/>
              <w:rPr>
                <w:sz w:val="17"/>
                <w:szCs w:val="17"/>
              </w:rPr>
            </w:pPr>
            <w:r>
              <w:rPr>
                <w:spacing w:val="-1"/>
                <w:sz w:val="17"/>
                <w:szCs w:val="17"/>
              </w:rPr>
              <w:t>0.001227</w:t>
            </w:r>
          </w:p>
        </w:tc>
        <w:tc>
          <w:tcPr>
            <w:tcW w:w="1570" w:type="dxa"/>
            <w:tcBorders>
              <w:left w:val="single" w:color="000000" w:sz="4" w:space="0"/>
              <w:right w:val="single" w:color="000000" w:sz="4" w:space="0"/>
            </w:tcBorders>
            <w:vAlign w:val="top"/>
          </w:tcPr>
          <w:p w14:paraId="156ABE27">
            <w:pPr>
              <w:pStyle w:val="6"/>
              <w:spacing w:before="109" w:line="184" w:lineRule="auto"/>
              <w:ind w:left="525"/>
              <w:rPr>
                <w:sz w:val="17"/>
                <w:szCs w:val="17"/>
              </w:rPr>
            </w:pPr>
            <w:r>
              <w:rPr>
                <w:spacing w:val="-2"/>
                <w:sz w:val="17"/>
                <w:szCs w:val="17"/>
              </w:rPr>
              <w:t>2519.4</w:t>
            </w:r>
          </w:p>
        </w:tc>
        <w:tc>
          <w:tcPr>
            <w:tcW w:w="1580" w:type="dxa"/>
            <w:tcBorders>
              <w:left w:val="single" w:color="000000" w:sz="4" w:space="0"/>
              <w:right w:val="single" w:color="000000" w:sz="4" w:space="0"/>
            </w:tcBorders>
            <w:vAlign w:val="top"/>
          </w:tcPr>
          <w:p w14:paraId="778CAA5F">
            <w:pPr>
              <w:pStyle w:val="6"/>
              <w:spacing w:before="99" w:line="184" w:lineRule="auto"/>
              <w:ind w:left="655"/>
              <w:rPr>
                <w:sz w:val="17"/>
                <w:szCs w:val="17"/>
              </w:rPr>
            </w:pPr>
            <w:r>
              <w:rPr>
                <w:spacing w:val="-5"/>
                <w:sz w:val="17"/>
                <w:szCs w:val="17"/>
              </w:rPr>
              <w:t>170</w:t>
            </w:r>
          </w:p>
        </w:tc>
        <w:tc>
          <w:tcPr>
            <w:tcW w:w="1570" w:type="dxa"/>
            <w:tcBorders>
              <w:left w:val="single" w:color="000000" w:sz="4" w:space="0"/>
              <w:right w:val="single" w:color="000000" w:sz="4" w:space="0"/>
            </w:tcBorders>
            <w:vAlign w:val="top"/>
          </w:tcPr>
          <w:p w14:paraId="493D4BC8">
            <w:pPr>
              <w:pStyle w:val="6"/>
              <w:spacing w:before="90" w:line="183" w:lineRule="auto"/>
              <w:ind w:left="565"/>
              <w:rPr>
                <w:sz w:val="17"/>
                <w:szCs w:val="17"/>
              </w:rPr>
            </w:pPr>
            <w:r>
              <w:rPr>
                <w:spacing w:val="-2"/>
                <w:sz w:val="17"/>
                <w:szCs w:val="17"/>
              </w:rPr>
              <w:t>0.792</w:t>
            </w:r>
          </w:p>
        </w:tc>
        <w:tc>
          <w:tcPr>
            <w:tcW w:w="1530" w:type="dxa"/>
            <w:tcBorders>
              <w:left w:val="single" w:color="000000" w:sz="4" w:space="0"/>
            </w:tcBorders>
            <w:vAlign w:val="top"/>
          </w:tcPr>
          <w:p w14:paraId="7FBBD07E">
            <w:pPr>
              <w:pStyle w:val="6"/>
              <w:spacing w:before="100" w:line="183" w:lineRule="auto"/>
              <w:ind w:left="505"/>
              <w:rPr>
                <w:sz w:val="17"/>
                <w:szCs w:val="17"/>
              </w:rPr>
            </w:pPr>
            <w:r>
              <w:rPr>
                <w:spacing w:val="-2"/>
                <w:sz w:val="17"/>
                <w:szCs w:val="17"/>
              </w:rPr>
              <w:t>2768.0</w:t>
            </w:r>
          </w:p>
        </w:tc>
      </w:tr>
      <w:tr w14:paraId="14083BA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40" w:hRule="atLeast"/>
        </w:trPr>
        <w:tc>
          <w:tcPr>
            <w:tcW w:w="1540" w:type="dxa"/>
            <w:tcBorders>
              <w:right w:val="single" w:color="000000" w:sz="4" w:space="0"/>
            </w:tcBorders>
            <w:vAlign w:val="top"/>
          </w:tcPr>
          <w:p w14:paraId="61973127">
            <w:pPr>
              <w:pStyle w:val="6"/>
              <w:spacing w:before="110" w:line="184" w:lineRule="auto"/>
              <w:ind w:left="680"/>
              <w:rPr>
                <w:sz w:val="17"/>
                <w:szCs w:val="17"/>
              </w:rPr>
            </w:pPr>
            <w:r>
              <w:rPr>
                <w:spacing w:val="-5"/>
                <w:sz w:val="17"/>
                <w:szCs w:val="17"/>
              </w:rPr>
              <w:t>11</w:t>
            </w:r>
          </w:p>
        </w:tc>
        <w:tc>
          <w:tcPr>
            <w:tcW w:w="1580" w:type="dxa"/>
            <w:tcBorders>
              <w:left w:val="single" w:color="000000" w:sz="4" w:space="0"/>
              <w:right w:val="single" w:color="000000" w:sz="4" w:space="0"/>
            </w:tcBorders>
            <w:vAlign w:val="top"/>
          </w:tcPr>
          <w:p w14:paraId="5C8A0983">
            <w:pPr>
              <w:pStyle w:val="6"/>
              <w:spacing w:before="120" w:line="184" w:lineRule="auto"/>
              <w:ind w:left="445"/>
              <w:rPr>
                <w:sz w:val="17"/>
                <w:szCs w:val="17"/>
              </w:rPr>
            </w:pPr>
            <w:r>
              <w:rPr>
                <w:spacing w:val="-1"/>
                <w:sz w:val="17"/>
                <w:szCs w:val="17"/>
              </w:rPr>
              <w:t>0.001312</w:t>
            </w:r>
          </w:p>
        </w:tc>
        <w:tc>
          <w:tcPr>
            <w:tcW w:w="1570" w:type="dxa"/>
            <w:tcBorders>
              <w:left w:val="single" w:color="000000" w:sz="4" w:space="0"/>
              <w:right w:val="single" w:color="000000" w:sz="4" w:space="0"/>
            </w:tcBorders>
            <w:vAlign w:val="top"/>
          </w:tcPr>
          <w:p w14:paraId="25F8C7ED">
            <w:pPr>
              <w:pStyle w:val="6"/>
              <w:spacing w:before="120" w:line="184" w:lineRule="auto"/>
              <w:ind w:left="525"/>
              <w:rPr>
                <w:sz w:val="17"/>
                <w:szCs w:val="17"/>
              </w:rPr>
            </w:pPr>
            <w:r>
              <w:rPr>
                <w:spacing w:val="-2"/>
                <w:sz w:val="17"/>
                <w:szCs w:val="17"/>
              </w:rPr>
              <w:t>2521.2</w:t>
            </w:r>
          </w:p>
        </w:tc>
        <w:tc>
          <w:tcPr>
            <w:tcW w:w="1580" w:type="dxa"/>
            <w:tcBorders>
              <w:left w:val="single" w:color="000000" w:sz="4" w:space="0"/>
              <w:right w:val="single" w:color="000000" w:sz="4" w:space="0"/>
            </w:tcBorders>
            <w:vAlign w:val="top"/>
          </w:tcPr>
          <w:p w14:paraId="769A0B27">
            <w:pPr>
              <w:pStyle w:val="6"/>
              <w:spacing w:before="120" w:line="184" w:lineRule="auto"/>
              <w:ind w:left="655"/>
              <w:rPr>
                <w:sz w:val="17"/>
                <w:szCs w:val="17"/>
              </w:rPr>
            </w:pPr>
            <w:r>
              <w:rPr>
                <w:spacing w:val="-5"/>
                <w:sz w:val="17"/>
                <w:szCs w:val="17"/>
              </w:rPr>
              <w:t>180</w:t>
            </w:r>
          </w:p>
        </w:tc>
        <w:tc>
          <w:tcPr>
            <w:tcW w:w="1570" w:type="dxa"/>
            <w:tcBorders>
              <w:left w:val="single" w:color="000000" w:sz="4" w:space="0"/>
              <w:right w:val="single" w:color="000000" w:sz="4" w:space="0"/>
            </w:tcBorders>
            <w:vAlign w:val="top"/>
          </w:tcPr>
          <w:p w14:paraId="41041D4E">
            <w:pPr>
              <w:pStyle w:val="6"/>
              <w:spacing w:before="100" w:line="184" w:lineRule="auto"/>
              <w:ind w:left="565"/>
              <w:rPr>
                <w:sz w:val="17"/>
                <w:szCs w:val="17"/>
              </w:rPr>
            </w:pPr>
            <w:r>
              <w:rPr>
                <w:spacing w:val="-4"/>
                <w:sz w:val="17"/>
                <w:szCs w:val="17"/>
              </w:rPr>
              <w:t>1.003</w:t>
            </w:r>
          </w:p>
        </w:tc>
        <w:tc>
          <w:tcPr>
            <w:tcW w:w="1530" w:type="dxa"/>
            <w:tcBorders>
              <w:left w:val="single" w:color="000000" w:sz="4" w:space="0"/>
            </w:tcBorders>
            <w:vAlign w:val="top"/>
          </w:tcPr>
          <w:p w14:paraId="6304EDEE">
            <w:pPr>
              <w:pStyle w:val="6"/>
              <w:spacing w:before="130" w:line="184" w:lineRule="auto"/>
              <w:ind w:left="505"/>
              <w:rPr>
                <w:sz w:val="17"/>
                <w:szCs w:val="17"/>
              </w:rPr>
            </w:pPr>
            <w:r>
              <w:rPr>
                <w:spacing w:val="-2"/>
                <w:sz w:val="17"/>
                <w:szCs w:val="17"/>
              </w:rPr>
              <w:t>2777.1</w:t>
            </w:r>
          </w:p>
        </w:tc>
      </w:tr>
      <w:tr w14:paraId="177FDA8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25" w:hRule="atLeast"/>
        </w:trPr>
        <w:tc>
          <w:tcPr>
            <w:tcW w:w="1540" w:type="dxa"/>
            <w:tcBorders>
              <w:right w:val="single" w:color="000000" w:sz="4" w:space="0"/>
            </w:tcBorders>
            <w:vAlign w:val="top"/>
          </w:tcPr>
          <w:p w14:paraId="229D9A7F">
            <w:pPr>
              <w:pStyle w:val="6"/>
              <w:spacing w:before="100" w:line="184" w:lineRule="auto"/>
              <w:ind w:left="680"/>
              <w:rPr>
                <w:sz w:val="17"/>
                <w:szCs w:val="17"/>
              </w:rPr>
            </w:pPr>
            <w:r>
              <w:rPr>
                <w:spacing w:val="-5"/>
                <w:sz w:val="17"/>
                <w:szCs w:val="17"/>
              </w:rPr>
              <w:t>12</w:t>
            </w:r>
          </w:p>
        </w:tc>
        <w:tc>
          <w:tcPr>
            <w:tcW w:w="1580" w:type="dxa"/>
            <w:tcBorders>
              <w:left w:val="single" w:color="000000" w:sz="4" w:space="0"/>
              <w:right w:val="single" w:color="000000" w:sz="4" w:space="0"/>
            </w:tcBorders>
            <w:vAlign w:val="top"/>
          </w:tcPr>
          <w:p w14:paraId="56F7C43D">
            <w:pPr>
              <w:pStyle w:val="6"/>
              <w:spacing w:before="111" w:line="184" w:lineRule="auto"/>
              <w:ind w:left="445"/>
              <w:rPr>
                <w:sz w:val="17"/>
                <w:szCs w:val="17"/>
              </w:rPr>
            </w:pPr>
            <w:r>
              <w:rPr>
                <w:spacing w:val="-1"/>
                <w:sz w:val="17"/>
                <w:szCs w:val="17"/>
              </w:rPr>
              <w:t>0.001402</w:t>
            </w:r>
          </w:p>
        </w:tc>
        <w:tc>
          <w:tcPr>
            <w:tcW w:w="1570" w:type="dxa"/>
            <w:tcBorders>
              <w:left w:val="single" w:color="000000" w:sz="4" w:space="0"/>
              <w:right w:val="single" w:color="000000" w:sz="4" w:space="0"/>
            </w:tcBorders>
            <w:vAlign w:val="top"/>
          </w:tcPr>
          <w:p w14:paraId="318F5955">
            <w:pPr>
              <w:pStyle w:val="6"/>
              <w:spacing w:before="111" w:line="183" w:lineRule="auto"/>
              <w:ind w:left="525"/>
              <w:rPr>
                <w:sz w:val="17"/>
                <w:szCs w:val="17"/>
              </w:rPr>
            </w:pPr>
            <w:r>
              <w:rPr>
                <w:spacing w:val="-2"/>
                <w:sz w:val="17"/>
                <w:szCs w:val="17"/>
              </w:rPr>
              <w:t>2523.0</w:t>
            </w:r>
          </w:p>
        </w:tc>
        <w:tc>
          <w:tcPr>
            <w:tcW w:w="1580" w:type="dxa"/>
            <w:tcBorders>
              <w:left w:val="single" w:color="000000" w:sz="4" w:space="0"/>
              <w:right w:val="single" w:color="000000" w:sz="4" w:space="0"/>
            </w:tcBorders>
            <w:vAlign w:val="top"/>
          </w:tcPr>
          <w:p w14:paraId="60EBF4AB">
            <w:pPr>
              <w:pStyle w:val="6"/>
              <w:spacing w:before="100" w:line="184" w:lineRule="auto"/>
              <w:ind w:left="655"/>
              <w:rPr>
                <w:sz w:val="17"/>
                <w:szCs w:val="17"/>
              </w:rPr>
            </w:pPr>
            <w:r>
              <w:rPr>
                <w:spacing w:val="-5"/>
                <w:sz w:val="17"/>
                <w:szCs w:val="17"/>
              </w:rPr>
              <w:t>190</w:t>
            </w:r>
          </w:p>
        </w:tc>
        <w:tc>
          <w:tcPr>
            <w:tcW w:w="1570" w:type="dxa"/>
            <w:tcBorders>
              <w:left w:val="single" w:color="000000" w:sz="4" w:space="0"/>
              <w:right w:val="single" w:color="000000" w:sz="4" w:space="0"/>
            </w:tcBorders>
            <w:vAlign w:val="top"/>
          </w:tcPr>
          <w:p w14:paraId="7D15E751">
            <w:pPr>
              <w:pStyle w:val="6"/>
              <w:spacing w:before="100" w:line="184" w:lineRule="auto"/>
              <w:ind w:left="565"/>
              <w:rPr>
                <w:sz w:val="17"/>
                <w:szCs w:val="17"/>
              </w:rPr>
            </w:pPr>
            <w:r>
              <w:rPr>
                <w:spacing w:val="-4"/>
                <w:sz w:val="17"/>
                <w:szCs w:val="17"/>
              </w:rPr>
              <w:t>1.255</w:t>
            </w:r>
          </w:p>
        </w:tc>
        <w:tc>
          <w:tcPr>
            <w:tcW w:w="1530" w:type="dxa"/>
            <w:tcBorders>
              <w:left w:val="single" w:color="000000" w:sz="4" w:space="0"/>
            </w:tcBorders>
            <w:vAlign w:val="top"/>
          </w:tcPr>
          <w:p w14:paraId="42593072">
            <w:pPr>
              <w:pStyle w:val="6"/>
              <w:spacing w:before="121" w:line="183" w:lineRule="auto"/>
              <w:ind w:left="505"/>
              <w:rPr>
                <w:sz w:val="17"/>
                <w:szCs w:val="17"/>
              </w:rPr>
            </w:pPr>
            <w:r>
              <w:rPr>
                <w:spacing w:val="-2"/>
                <w:sz w:val="17"/>
                <w:szCs w:val="17"/>
              </w:rPr>
              <w:t>2784.9</w:t>
            </w:r>
          </w:p>
        </w:tc>
      </w:tr>
      <w:tr w14:paraId="4E53F50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40" w:hRule="atLeast"/>
        </w:trPr>
        <w:tc>
          <w:tcPr>
            <w:tcW w:w="1540" w:type="dxa"/>
            <w:tcBorders>
              <w:right w:val="single" w:color="000000" w:sz="4" w:space="0"/>
            </w:tcBorders>
            <w:vAlign w:val="top"/>
          </w:tcPr>
          <w:p w14:paraId="6C07CFEE">
            <w:pPr>
              <w:pStyle w:val="6"/>
              <w:spacing w:before="105" w:line="184" w:lineRule="auto"/>
              <w:ind w:left="680"/>
              <w:rPr>
                <w:sz w:val="17"/>
                <w:szCs w:val="17"/>
              </w:rPr>
            </w:pPr>
            <w:r>
              <w:rPr>
                <w:spacing w:val="-5"/>
                <w:sz w:val="17"/>
                <w:szCs w:val="17"/>
              </w:rPr>
              <w:t>13</w:t>
            </w:r>
          </w:p>
        </w:tc>
        <w:tc>
          <w:tcPr>
            <w:tcW w:w="1580" w:type="dxa"/>
            <w:tcBorders>
              <w:left w:val="single" w:color="000000" w:sz="4" w:space="0"/>
              <w:right w:val="single" w:color="000000" w:sz="4" w:space="0"/>
            </w:tcBorders>
            <w:vAlign w:val="top"/>
          </w:tcPr>
          <w:p w14:paraId="3B48C001">
            <w:pPr>
              <w:pStyle w:val="6"/>
              <w:spacing w:before="115" w:line="184" w:lineRule="auto"/>
              <w:ind w:left="445"/>
              <w:rPr>
                <w:sz w:val="17"/>
                <w:szCs w:val="17"/>
              </w:rPr>
            </w:pPr>
            <w:r>
              <w:rPr>
                <w:spacing w:val="-1"/>
                <w:sz w:val="17"/>
                <w:szCs w:val="17"/>
              </w:rPr>
              <w:t>0.001497</w:t>
            </w:r>
          </w:p>
        </w:tc>
        <w:tc>
          <w:tcPr>
            <w:tcW w:w="1570" w:type="dxa"/>
            <w:tcBorders>
              <w:left w:val="single" w:color="000000" w:sz="4" w:space="0"/>
              <w:right w:val="single" w:color="000000" w:sz="4" w:space="0"/>
            </w:tcBorders>
            <w:vAlign w:val="top"/>
          </w:tcPr>
          <w:p w14:paraId="7EF11FCE">
            <w:pPr>
              <w:pStyle w:val="6"/>
              <w:spacing w:before="116" w:line="183" w:lineRule="auto"/>
              <w:ind w:left="525"/>
              <w:rPr>
                <w:sz w:val="17"/>
                <w:szCs w:val="17"/>
              </w:rPr>
            </w:pPr>
            <w:r>
              <w:rPr>
                <w:spacing w:val="-2"/>
                <w:sz w:val="17"/>
                <w:szCs w:val="17"/>
              </w:rPr>
              <w:t>2524.9</w:t>
            </w:r>
          </w:p>
        </w:tc>
        <w:tc>
          <w:tcPr>
            <w:tcW w:w="1580" w:type="dxa"/>
            <w:tcBorders>
              <w:left w:val="single" w:color="000000" w:sz="4" w:space="0"/>
              <w:right w:val="single" w:color="000000" w:sz="4" w:space="0"/>
            </w:tcBorders>
            <w:vAlign w:val="top"/>
          </w:tcPr>
          <w:p w14:paraId="02014B4C">
            <w:pPr>
              <w:pStyle w:val="6"/>
              <w:spacing w:before="116" w:line="183" w:lineRule="auto"/>
              <w:ind w:left="655"/>
              <w:rPr>
                <w:sz w:val="17"/>
                <w:szCs w:val="17"/>
              </w:rPr>
            </w:pPr>
            <w:r>
              <w:rPr>
                <w:spacing w:val="-2"/>
                <w:sz w:val="17"/>
                <w:szCs w:val="17"/>
              </w:rPr>
              <w:t>200</w:t>
            </w:r>
          </w:p>
        </w:tc>
        <w:tc>
          <w:tcPr>
            <w:tcW w:w="1570" w:type="dxa"/>
            <w:tcBorders>
              <w:left w:val="single" w:color="000000" w:sz="4" w:space="0"/>
              <w:right w:val="single" w:color="000000" w:sz="4" w:space="0"/>
            </w:tcBorders>
            <w:vAlign w:val="top"/>
          </w:tcPr>
          <w:p w14:paraId="749E2748">
            <w:pPr>
              <w:pStyle w:val="6"/>
              <w:spacing w:before="96" w:line="184" w:lineRule="auto"/>
              <w:ind w:left="565"/>
              <w:rPr>
                <w:sz w:val="17"/>
                <w:szCs w:val="17"/>
              </w:rPr>
            </w:pPr>
            <w:r>
              <w:rPr>
                <w:spacing w:val="-4"/>
                <w:sz w:val="17"/>
                <w:szCs w:val="17"/>
              </w:rPr>
              <w:t>1.555</w:t>
            </w:r>
          </w:p>
        </w:tc>
        <w:tc>
          <w:tcPr>
            <w:tcW w:w="1530" w:type="dxa"/>
            <w:tcBorders>
              <w:left w:val="single" w:color="000000" w:sz="4" w:space="0"/>
            </w:tcBorders>
            <w:vAlign w:val="top"/>
          </w:tcPr>
          <w:p w14:paraId="03E80C31">
            <w:pPr>
              <w:pStyle w:val="6"/>
              <w:spacing w:before="126" w:line="184" w:lineRule="auto"/>
              <w:ind w:left="505"/>
              <w:rPr>
                <w:sz w:val="17"/>
                <w:szCs w:val="17"/>
              </w:rPr>
            </w:pPr>
            <w:r>
              <w:rPr>
                <w:spacing w:val="-2"/>
                <w:sz w:val="17"/>
                <w:szCs w:val="17"/>
              </w:rPr>
              <w:t>2791.4</w:t>
            </w:r>
          </w:p>
        </w:tc>
      </w:tr>
      <w:tr w14:paraId="470C420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20" w:hRule="atLeast"/>
        </w:trPr>
        <w:tc>
          <w:tcPr>
            <w:tcW w:w="1540" w:type="dxa"/>
            <w:tcBorders>
              <w:right w:val="single" w:color="000000" w:sz="4" w:space="0"/>
            </w:tcBorders>
            <w:vAlign w:val="top"/>
          </w:tcPr>
          <w:p w14:paraId="4A027EEB">
            <w:pPr>
              <w:pStyle w:val="6"/>
              <w:spacing w:before="105" w:line="184" w:lineRule="auto"/>
              <w:ind w:left="680"/>
              <w:rPr>
                <w:sz w:val="17"/>
                <w:szCs w:val="17"/>
              </w:rPr>
            </w:pPr>
            <w:r>
              <w:rPr>
                <w:spacing w:val="-5"/>
                <w:sz w:val="17"/>
                <w:szCs w:val="17"/>
              </w:rPr>
              <w:t>14</w:t>
            </w:r>
          </w:p>
        </w:tc>
        <w:tc>
          <w:tcPr>
            <w:tcW w:w="1580" w:type="dxa"/>
            <w:tcBorders>
              <w:left w:val="single" w:color="000000" w:sz="4" w:space="0"/>
              <w:right w:val="single" w:color="000000" w:sz="4" w:space="0"/>
            </w:tcBorders>
            <w:vAlign w:val="top"/>
          </w:tcPr>
          <w:p w14:paraId="1B4734A6">
            <w:pPr>
              <w:pStyle w:val="6"/>
              <w:spacing w:before="115" w:line="184" w:lineRule="auto"/>
              <w:ind w:left="445"/>
              <w:rPr>
                <w:sz w:val="17"/>
                <w:szCs w:val="17"/>
              </w:rPr>
            </w:pPr>
            <w:r>
              <w:rPr>
                <w:spacing w:val="-1"/>
                <w:sz w:val="17"/>
                <w:szCs w:val="17"/>
              </w:rPr>
              <w:t>0.001597</w:t>
            </w:r>
          </w:p>
        </w:tc>
        <w:tc>
          <w:tcPr>
            <w:tcW w:w="1570" w:type="dxa"/>
            <w:tcBorders>
              <w:left w:val="single" w:color="000000" w:sz="4" w:space="0"/>
              <w:right w:val="single" w:color="000000" w:sz="4" w:space="0"/>
            </w:tcBorders>
            <w:vAlign w:val="top"/>
          </w:tcPr>
          <w:p w14:paraId="2208D65E">
            <w:pPr>
              <w:pStyle w:val="6"/>
              <w:spacing w:before="116" w:line="183" w:lineRule="auto"/>
              <w:ind w:left="525"/>
              <w:rPr>
                <w:sz w:val="17"/>
                <w:szCs w:val="17"/>
              </w:rPr>
            </w:pPr>
            <w:r>
              <w:rPr>
                <w:spacing w:val="-2"/>
                <w:sz w:val="17"/>
                <w:szCs w:val="17"/>
              </w:rPr>
              <w:t>2526.7</w:t>
            </w:r>
          </w:p>
        </w:tc>
        <w:tc>
          <w:tcPr>
            <w:tcW w:w="1580" w:type="dxa"/>
            <w:tcBorders>
              <w:left w:val="single" w:color="000000" w:sz="4" w:space="0"/>
              <w:right w:val="single" w:color="000000" w:sz="4" w:space="0"/>
            </w:tcBorders>
            <w:vAlign w:val="top"/>
          </w:tcPr>
          <w:p w14:paraId="6B1E898C">
            <w:pPr>
              <w:pStyle w:val="6"/>
              <w:spacing w:before="105" w:line="184" w:lineRule="auto"/>
              <w:ind w:left="655"/>
              <w:rPr>
                <w:sz w:val="17"/>
                <w:szCs w:val="17"/>
              </w:rPr>
            </w:pPr>
            <w:r>
              <w:rPr>
                <w:spacing w:val="-2"/>
                <w:sz w:val="17"/>
                <w:szCs w:val="17"/>
              </w:rPr>
              <w:t>210</w:t>
            </w:r>
          </w:p>
        </w:tc>
        <w:tc>
          <w:tcPr>
            <w:tcW w:w="1570" w:type="dxa"/>
            <w:tcBorders>
              <w:left w:val="single" w:color="000000" w:sz="4" w:space="0"/>
              <w:right w:val="single" w:color="000000" w:sz="4" w:space="0"/>
            </w:tcBorders>
            <w:vAlign w:val="top"/>
          </w:tcPr>
          <w:p w14:paraId="20997ECB">
            <w:pPr>
              <w:pStyle w:val="6"/>
              <w:spacing w:before="115" w:line="184" w:lineRule="auto"/>
              <w:ind w:left="565"/>
              <w:rPr>
                <w:sz w:val="17"/>
                <w:szCs w:val="17"/>
              </w:rPr>
            </w:pPr>
            <w:r>
              <w:rPr>
                <w:spacing w:val="-4"/>
                <w:sz w:val="17"/>
                <w:szCs w:val="17"/>
              </w:rPr>
              <w:t>1.908</w:t>
            </w:r>
          </w:p>
        </w:tc>
        <w:tc>
          <w:tcPr>
            <w:tcW w:w="1530" w:type="dxa"/>
            <w:tcBorders>
              <w:left w:val="single" w:color="000000" w:sz="4" w:space="0"/>
            </w:tcBorders>
            <w:vAlign w:val="top"/>
          </w:tcPr>
          <w:p w14:paraId="3539BF06">
            <w:pPr>
              <w:pStyle w:val="6"/>
              <w:spacing w:before="116" w:line="183" w:lineRule="auto"/>
              <w:ind w:left="505"/>
              <w:rPr>
                <w:sz w:val="17"/>
                <w:szCs w:val="17"/>
              </w:rPr>
            </w:pPr>
            <w:r>
              <w:rPr>
                <w:spacing w:val="-2"/>
                <w:sz w:val="17"/>
                <w:szCs w:val="17"/>
              </w:rPr>
              <w:t>2796.4</w:t>
            </w:r>
          </w:p>
        </w:tc>
      </w:tr>
      <w:tr w14:paraId="77F09A8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0" w:hRule="atLeast"/>
        </w:trPr>
        <w:tc>
          <w:tcPr>
            <w:tcW w:w="1540" w:type="dxa"/>
            <w:tcBorders>
              <w:right w:val="single" w:color="000000" w:sz="4" w:space="0"/>
            </w:tcBorders>
            <w:vAlign w:val="top"/>
          </w:tcPr>
          <w:p w14:paraId="711AD91E">
            <w:pPr>
              <w:pStyle w:val="6"/>
              <w:spacing w:before="105" w:line="184" w:lineRule="auto"/>
              <w:ind w:left="680"/>
              <w:rPr>
                <w:sz w:val="17"/>
                <w:szCs w:val="17"/>
              </w:rPr>
            </w:pPr>
            <w:r>
              <w:rPr>
                <w:spacing w:val="-5"/>
                <w:sz w:val="17"/>
                <w:szCs w:val="17"/>
              </w:rPr>
              <w:t>15</w:t>
            </w:r>
          </w:p>
        </w:tc>
        <w:tc>
          <w:tcPr>
            <w:tcW w:w="1580" w:type="dxa"/>
            <w:tcBorders>
              <w:left w:val="single" w:color="000000" w:sz="4" w:space="0"/>
              <w:right w:val="single" w:color="000000" w:sz="4" w:space="0"/>
            </w:tcBorders>
            <w:vAlign w:val="top"/>
          </w:tcPr>
          <w:p w14:paraId="44FDDCCC">
            <w:pPr>
              <w:pStyle w:val="6"/>
              <w:spacing w:before="96" w:line="184" w:lineRule="auto"/>
              <w:ind w:left="445"/>
              <w:rPr>
                <w:sz w:val="17"/>
                <w:szCs w:val="17"/>
              </w:rPr>
            </w:pPr>
            <w:r>
              <w:rPr>
                <w:spacing w:val="-1"/>
                <w:sz w:val="17"/>
                <w:szCs w:val="17"/>
              </w:rPr>
              <w:t>0.001704</w:t>
            </w:r>
          </w:p>
        </w:tc>
        <w:tc>
          <w:tcPr>
            <w:tcW w:w="1570" w:type="dxa"/>
            <w:tcBorders>
              <w:left w:val="single" w:color="000000" w:sz="4" w:space="0"/>
              <w:right w:val="single" w:color="000000" w:sz="4" w:space="0"/>
            </w:tcBorders>
            <w:vAlign w:val="top"/>
          </w:tcPr>
          <w:p w14:paraId="6C33661A">
            <w:pPr>
              <w:pStyle w:val="6"/>
              <w:spacing w:before="106" w:line="183" w:lineRule="auto"/>
              <w:ind w:left="525"/>
              <w:rPr>
                <w:sz w:val="17"/>
                <w:szCs w:val="17"/>
              </w:rPr>
            </w:pPr>
            <w:r>
              <w:rPr>
                <w:spacing w:val="-2"/>
                <w:sz w:val="17"/>
                <w:szCs w:val="17"/>
              </w:rPr>
              <w:t>2528.6</w:t>
            </w:r>
          </w:p>
        </w:tc>
        <w:tc>
          <w:tcPr>
            <w:tcW w:w="1580" w:type="dxa"/>
            <w:tcBorders>
              <w:left w:val="single" w:color="000000" w:sz="4" w:space="0"/>
              <w:right w:val="single" w:color="000000" w:sz="4" w:space="0"/>
            </w:tcBorders>
            <w:vAlign w:val="top"/>
          </w:tcPr>
          <w:p w14:paraId="72AE0C5A">
            <w:pPr>
              <w:pStyle w:val="6"/>
              <w:spacing w:before="116" w:line="183" w:lineRule="auto"/>
              <w:ind w:left="655"/>
              <w:rPr>
                <w:sz w:val="17"/>
                <w:szCs w:val="17"/>
              </w:rPr>
            </w:pPr>
            <w:r>
              <w:rPr>
                <w:spacing w:val="-2"/>
                <w:sz w:val="17"/>
                <w:szCs w:val="17"/>
              </w:rPr>
              <w:t>220</w:t>
            </w:r>
          </w:p>
        </w:tc>
        <w:tc>
          <w:tcPr>
            <w:tcW w:w="1570" w:type="dxa"/>
            <w:tcBorders>
              <w:left w:val="single" w:color="000000" w:sz="4" w:space="0"/>
              <w:right w:val="single" w:color="000000" w:sz="4" w:space="0"/>
            </w:tcBorders>
            <w:vAlign w:val="top"/>
          </w:tcPr>
          <w:p w14:paraId="6E869FBE">
            <w:pPr>
              <w:pStyle w:val="6"/>
              <w:spacing w:before="106" w:line="183" w:lineRule="auto"/>
              <w:ind w:left="565"/>
              <w:rPr>
                <w:sz w:val="17"/>
                <w:szCs w:val="17"/>
              </w:rPr>
            </w:pPr>
            <w:r>
              <w:rPr>
                <w:spacing w:val="-2"/>
                <w:sz w:val="17"/>
                <w:szCs w:val="17"/>
              </w:rPr>
              <w:t>2.320</w:t>
            </w:r>
          </w:p>
        </w:tc>
        <w:tc>
          <w:tcPr>
            <w:tcW w:w="1530" w:type="dxa"/>
            <w:tcBorders>
              <w:left w:val="single" w:color="000000" w:sz="4" w:space="0"/>
            </w:tcBorders>
            <w:vAlign w:val="top"/>
          </w:tcPr>
          <w:p w14:paraId="57956DC4">
            <w:pPr>
              <w:pStyle w:val="6"/>
              <w:spacing w:before="116" w:line="183" w:lineRule="auto"/>
              <w:ind w:left="505"/>
              <w:rPr>
                <w:sz w:val="17"/>
                <w:szCs w:val="17"/>
              </w:rPr>
            </w:pPr>
            <w:r>
              <w:rPr>
                <w:spacing w:val="-2"/>
                <w:sz w:val="17"/>
                <w:szCs w:val="17"/>
              </w:rPr>
              <w:t>2799.9</w:t>
            </w:r>
          </w:p>
        </w:tc>
      </w:tr>
      <w:tr w14:paraId="5C8967B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29" w:hRule="atLeast"/>
        </w:trPr>
        <w:tc>
          <w:tcPr>
            <w:tcW w:w="1540" w:type="dxa"/>
            <w:tcBorders>
              <w:right w:val="single" w:color="000000" w:sz="4" w:space="0"/>
            </w:tcBorders>
            <w:vAlign w:val="top"/>
          </w:tcPr>
          <w:p w14:paraId="694C7A9E">
            <w:pPr>
              <w:pStyle w:val="6"/>
              <w:spacing w:before="115" w:line="184" w:lineRule="auto"/>
              <w:ind w:left="680"/>
              <w:rPr>
                <w:sz w:val="17"/>
                <w:szCs w:val="17"/>
              </w:rPr>
            </w:pPr>
            <w:r>
              <w:rPr>
                <w:spacing w:val="-5"/>
                <w:sz w:val="17"/>
                <w:szCs w:val="17"/>
              </w:rPr>
              <w:t>16</w:t>
            </w:r>
          </w:p>
        </w:tc>
        <w:tc>
          <w:tcPr>
            <w:tcW w:w="1580" w:type="dxa"/>
            <w:tcBorders>
              <w:left w:val="single" w:color="000000" w:sz="4" w:space="0"/>
              <w:right w:val="single" w:color="000000" w:sz="4" w:space="0"/>
            </w:tcBorders>
            <w:vAlign w:val="top"/>
          </w:tcPr>
          <w:p w14:paraId="7D3236C5">
            <w:pPr>
              <w:pStyle w:val="6"/>
              <w:spacing w:before="126" w:line="184" w:lineRule="auto"/>
              <w:ind w:left="445"/>
              <w:rPr>
                <w:sz w:val="17"/>
                <w:szCs w:val="17"/>
              </w:rPr>
            </w:pPr>
            <w:r>
              <w:rPr>
                <w:spacing w:val="-1"/>
                <w:sz w:val="17"/>
                <w:szCs w:val="17"/>
              </w:rPr>
              <w:t>0.001817</w:t>
            </w:r>
          </w:p>
        </w:tc>
        <w:tc>
          <w:tcPr>
            <w:tcW w:w="1570" w:type="dxa"/>
            <w:tcBorders>
              <w:left w:val="single" w:color="000000" w:sz="4" w:space="0"/>
              <w:right w:val="single" w:color="000000" w:sz="4" w:space="0"/>
            </w:tcBorders>
            <w:vAlign w:val="top"/>
          </w:tcPr>
          <w:p w14:paraId="0E093F7C">
            <w:pPr>
              <w:pStyle w:val="6"/>
              <w:spacing w:before="106" w:line="183" w:lineRule="auto"/>
              <w:ind w:left="525"/>
              <w:rPr>
                <w:sz w:val="17"/>
                <w:szCs w:val="17"/>
              </w:rPr>
            </w:pPr>
            <w:r>
              <w:rPr>
                <w:spacing w:val="-2"/>
                <w:sz w:val="17"/>
                <w:szCs w:val="17"/>
              </w:rPr>
              <w:t>2530.4</w:t>
            </w:r>
          </w:p>
        </w:tc>
        <w:tc>
          <w:tcPr>
            <w:tcW w:w="1580" w:type="dxa"/>
            <w:tcBorders>
              <w:left w:val="single" w:color="000000" w:sz="4" w:space="0"/>
              <w:right w:val="single" w:color="000000" w:sz="4" w:space="0"/>
            </w:tcBorders>
            <w:vAlign w:val="top"/>
          </w:tcPr>
          <w:p w14:paraId="222DC42A">
            <w:pPr>
              <w:pStyle w:val="6"/>
              <w:spacing w:before="116" w:line="183" w:lineRule="auto"/>
              <w:ind w:left="655"/>
              <w:rPr>
                <w:sz w:val="17"/>
                <w:szCs w:val="17"/>
              </w:rPr>
            </w:pPr>
            <w:r>
              <w:rPr>
                <w:spacing w:val="-2"/>
                <w:sz w:val="17"/>
                <w:szCs w:val="17"/>
              </w:rPr>
              <w:t>230</w:t>
            </w:r>
          </w:p>
        </w:tc>
        <w:tc>
          <w:tcPr>
            <w:tcW w:w="1570" w:type="dxa"/>
            <w:tcBorders>
              <w:left w:val="single" w:color="000000" w:sz="4" w:space="0"/>
              <w:right w:val="single" w:color="000000" w:sz="4" w:space="0"/>
            </w:tcBorders>
            <w:vAlign w:val="top"/>
          </w:tcPr>
          <w:p w14:paraId="4323766B">
            <w:pPr>
              <w:pStyle w:val="6"/>
              <w:spacing w:before="126" w:line="183" w:lineRule="auto"/>
              <w:ind w:left="565"/>
              <w:rPr>
                <w:sz w:val="17"/>
                <w:szCs w:val="17"/>
              </w:rPr>
            </w:pPr>
            <w:r>
              <w:rPr>
                <w:spacing w:val="-2"/>
                <w:sz w:val="17"/>
                <w:szCs w:val="17"/>
              </w:rPr>
              <w:t>2.798</w:t>
            </w:r>
          </w:p>
        </w:tc>
        <w:tc>
          <w:tcPr>
            <w:tcW w:w="1530" w:type="dxa"/>
            <w:tcBorders>
              <w:left w:val="single" w:color="000000" w:sz="4" w:space="0"/>
            </w:tcBorders>
            <w:vAlign w:val="top"/>
          </w:tcPr>
          <w:p w14:paraId="28DADA13">
            <w:pPr>
              <w:pStyle w:val="6"/>
              <w:spacing w:before="115" w:line="184" w:lineRule="auto"/>
              <w:ind w:left="505"/>
              <w:rPr>
                <w:sz w:val="17"/>
                <w:szCs w:val="17"/>
              </w:rPr>
            </w:pPr>
            <w:r>
              <w:rPr>
                <w:spacing w:val="-2"/>
                <w:sz w:val="17"/>
                <w:szCs w:val="17"/>
              </w:rPr>
              <w:t>2801.7</w:t>
            </w:r>
          </w:p>
        </w:tc>
      </w:tr>
      <w:tr w14:paraId="21D67EA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0" w:hRule="atLeast"/>
        </w:trPr>
        <w:tc>
          <w:tcPr>
            <w:tcW w:w="1540" w:type="dxa"/>
            <w:tcBorders>
              <w:right w:val="single" w:color="000000" w:sz="4" w:space="0"/>
            </w:tcBorders>
            <w:vAlign w:val="top"/>
          </w:tcPr>
          <w:p w14:paraId="286E1E47">
            <w:pPr>
              <w:pStyle w:val="6"/>
              <w:spacing w:before="116" w:line="184" w:lineRule="auto"/>
              <w:ind w:left="680"/>
              <w:rPr>
                <w:sz w:val="17"/>
                <w:szCs w:val="17"/>
              </w:rPr>
            </w:pPr>
            <w:r>
              <w:rPr>
                <w:spacing w:val="-5"/>
                <w:sz w:val="17"/>
                <w:szCs w:val="17"/>
              </w:rPr>
              <w:t>17</w:t>
            </w:r>
          </w:p>
        </w:tc>
        <w:tc>
          <w:tcPr>
            <w:tcW w:w="1580" w:type="dxa"/>
            <w:tcBorders>
              <w:left w:val="single" w:color="000000" w:sz="4" w:space="0"/>
              <w:right w:val="single" w:color="000000" w:sz="4" w:space="0"/>
            </w:tcBorders>
            <w:vAlign w:val="top"/>
          </w:tcPr>
          <w:p w14:paraId="1ABEC4A1">
            <w:pPr>
              <w:pStyle w:val="6"/>
              <w:spacing w:before="96" w:line="184" w:lineRule="auto"/>
              <w:ind w:left="445"/>
              <w:rPr>
                <w:sz w:val="17"/>
                <w:szCs w:val="17"/>
              </w:rPr>
            </w:pPr>
            <w:r>
              <w:rPr>
                <w:spacing w:val="-1"/>
                <w:sz w:val="17"/>
                <w:szCs w:val="17"/>
              </w:rPr>
              <w:t>0.001936</w:t>
            </w:r>
          </w:p>
        </w:tc>
        <w:tc>
          <w:tcPr>
            <w:tcW w:w="1570" w:type="dxa"/>
            <w:tcBorders>
              <w:left w:val="single" w:color="000000" w:sz="4" w:space="0"/>
              <w:right w:val="single" w:color="000000" w:sz="4" w:space="0"/>
            </w:tcBorders>
            <w:vAlign w:val="top"/>
          </w:tcPr>
          <w:p w14:paraId="3B291C78">
            <w:pPr>
              <w:pStyle w:val="6"/>
              <w:spacing w:before="97" w:line="183" w:lineRule="auto"/>
              <w:ind w:left="525"/>
              <w:rPr>
                <w:sz w:val="17"/>
                <w:szCs w:val="17"/>
              </w:rPr>
            </w:pPr>
            <w:r>
              <w:rPr>
                <w:spacing w:val="-2"/>
                <w:sz w:val="17"/>
                <w:szCs w:val="17"/>
              </w:rPr>
              <w:t>2532.2</w:t>
            </w:r>
          </w:p>
        </w:tc>
        <w:tc>
          <w:tcPr>
            <w:tcW w:w="1580" w:type="dxa"/>
            <w:tcBorders>
              <w:left w:val="single" w:color="000000" w:sz="4" w:space="0"/>
              <w:right w:val="single" w:color="000000" w:sz="4" w:space="0"/>
            </w:tcBorders>
            <w:vAlign w:val="top"/>
          </w:tcPr>
          <w:p w14:paraId="18D46BE4">
            <w:pPr>
              <w:pStyle w:val="6"/>
              <w:spacing w:before="117" w:line="183" w:lineRule="auto"/>
              <w:ind w:left="655"/>
              <w:rPr>
                <w:sz w:val="17"/>
                <w:szCs w:val="17"/>
              </w:rPr>
            </w:pPr>
            <w:r>
              <w:rPr>
                <w:spacing w:val="-2"/>
                <w:sz w:val="17"/>
                <w:szCs w:val="17"/>
              </w:rPr>
              <w:t>240</w:t>
            </w:r>
          </w:p>
        </w:tc>
        <w:tc>
          <w:tcPr>
            <w:tcW w:w="1570" w:type="dxa"/>
            <w:tcBorders>
              <w:left w:val="single" w:color="000000" w:sz="4" w:space="0"/>
              <w:right w:val="single" w:color="000000" w:sz="4" w:space="0"/>
            </w:tcBorders>
            <w:vAlign w:val="top"/>
          </w:tcPr>
          <w:p w14:paraId="7BA2F702">
            <w:pPr>
              <w:pStyle w:val="6"/>
              <w:spacing w:before="97" w:line="183" w:lineRule="auto"/>
              <w:ind w:left="565"/>
              <w:rPr>
                <w:sz w:val="17"/>
                <w:szCs w:val="17"/>
              </w:rPr>
            </w:pPr>
            <w:r>
              <w:rPr>
                <w:spacing w:val="-2"/>
                <w:sz w:val="17"/>
                <w:szCs w:val="17"/>
              </w:rPr>
              <w:t>3.348</w:t>
            </w:r>
          </w:p>
        </w:tc>
        <w:tc>
          <w:tcPr>
            <w:tcW w:w="1530" w:type="dxa"/>
            <w:tcBorders>
              <w:left w:val="single" w:color="000000" w:sz="4" w:space="0"/>
            </w:tcBorders>
            <w:vAlign w:val="top"/>
          </w:tcPr>
          <w:p w14:paraId="283837C8">
            <w:pPr>
              <w:pStyle w:val="6"/>
              <w:spacing w:before="137" w:line="184" w:lineRule="auto"/>
              <w:ind w:left="505"/>
              <w:rPr>
                <w:sz w:val="17"/>
                <w:szCs w:val="17"/>
              </w:rPr>
            </w:pPr>
            <w:r>
              <w:rPr>
                <w:spacing w:val="-2"/>
                <w:sz w:val="17"/>
                <w:szCs w:val="17"/>
              </w:rPr>
              <w:t>2801.6</w:t>
            </w:r>
          </w:p>
        </w:tc>
      </w:tr>
      <w:tr w14:paraId="194FC27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24" w:hRule="atLeast"/>
        </w:trPr>
        <w:tc>
          <w:tcPr>
            <w:tcW w:w="1540" w:type="dxa"/>
            <w:tcBorders>
              <w:right w:val="single" w:color="000000" w:sz="4" w:space="0"/>
            </w:tcBorders>
            <w:vAlign w:val="top"/>
          </w:tcPr>
          <w:p w14:paraId="138C0620">
            <w:pPr>
              <w:pStyle w:val="6"/>
              <w:spacing w:before="106" w:line="184" w:lineRule="auto"/>
              <w:ind w:left="680"/>
              <w:rPr>
                <w:sz w:val="17"/>
                <w:szCs w:val="17"/>
              </w:rPr>
            </w:pPr>
            <w:r>
              <w:rPr>
                <w:spacing w:val="-5"/>
                <w:sz w:val="17"/>
                <w:szCs w:val="17"/>
              </w:rPr>
              <w:t>18</w:t>
            </w:r>
          </w:p>
        </w:tc>
        <w:tc>
          <w:tcPr>
            <w:tcW w:w="1580" w:type="dxa"/>
            <w:tcBorders>
              <w:left w:val="single" w:color="000000" w:sz="4" w:space="0"/>
              <w:right w:val="single" w:color="000000" w:sz="4" w:space="0"/>
            </w:tcBorders>
            <w:vAlign w:val="top"/>
          </w:tcPr>
          <w:p w14:paraId="1D53C5DD">
            <w:pPr>
              <w:pStyle w:val="6"/>
              <w:spacing w:before="97" w:line="183" w:lineRule="auto"/>
              <w:ind w:left="445"/>
              <w:rPr>
                <w:sz w:val="17"/>
                <w:szCs w:val="17"/>
              </w:rPr>
            </w:pPr>
            <w:r>
              <w:rPr>
                <w:spacing w:val="-1"/>
                <w:sz w:val="17"/>
                <w:szCs w:val="17"/>
              </w:rPr>
              <w:t>0.002063</w:t>
            </w:r>
          </w:p>
        </w:tc>
        <w:tc>
          <w:tcPr>
            <w:tcW w:w="1570" w:type="dxa"/>
            <w:tcBorders>
              <w:left w:val="single" w:color="000000" w:sz="4" w:space="0"/>
              <w:right w:val="single" w:color="000000" w:sz="4" w:space="0"/>
            </w:tcBorders>
            <w:vAlign w:val="top"/>
          </w:tcPr>
          <w:p w14:paraId="30330EE6">
            <w:pPr>
              <w:pStyle w:val="6"/>
              <w:spacing w:before="87" w:line="183" w:lineRule="auto"/>
              <w:ind w:left="525"/>
              <w:rPr>
                <w:sz w:val="17"/>
                <w:szCs w:val="17"/>
              </w:rPr>
            </w:pPr>
            <w:r>
              <w:rPr>
                <w:spacing w:val="-2"/>
                <w:sz w:val="17"/>
                <w:szCs w:val="17"/>
              </w:rPr>
              <w:t>2534.0</w:t>
            </w:r>
          </w:p>
        </w:tc>
        <w:tc>
          <w:tcPr>
            <w:tcW w:w="1580" w:type="dxa"/>
            <w:tcBorders>
              <w:left w:val="single" w:color="000000" w:sz="4" w:space="0"/>
              <w:right w:val="single" w:color="000000" w:sz="4" w:space="0"/>
            </w:tcBorders>
            <w:vAlign w:val="top"/>
          </w:tcPr>
          <w:p w14:paraId="741E6985">
            <w:pPr>
              <w:pStyle w:val="6"/>
              <w:spacing w:before="107" w:line="183" w:lineRule="auto"/>
              <w:ind w:left="655"/>
              <w:rPr>
                <w:sz w:val="17"/>
                <w:szCs w:val="17"/>
              </w:rPr>
            </w:pPr>
            <w:r>
              <w:rPr>
                <w:spacing w:val="-2"/>
                <w:sz w:val="17"/>
                <w:szCs w:val="17"/>
              </w:rPr>
              <w:t>250</w:t>
            </w:r>
          </w:p>
        </w:tc>
        <w:tc>
          <w:tcPr>
            <w:tcW w:w="1570" w:type="dxa"/>
            <w:tcBorders>
              <w:left w:val="single" w:color="000000" w:sz="4" w:space="0"/>
              <w:right w:val="single" w:color="000000" w:sz="4" w:space="0"/>
            </w:tcBorders>
            <w:vAlign w:val="top"/>
          </w:tcPr>
          <w:p w14:paraId="44460B62">
            <w:pPr>
              <w:pStyle w:val="6"/>
              <w:spacing w:before="87" w:line="183" w:lineRule="auto"/>
              <w:ind w:left="565"/>
              <w:rPr>
                <w:sz w:val="17"/>
                <w:szCs w:val="17"/>
              </w:rPr>
            </w:pPr>
            <w:r>
              <w:rPr>
                <w:spacing w:val="-2"/>
                <w:sz w:val="17"/>
                <w:szCs w:val="17"/>
              </w:rPr>
              <w:t>3.978</w:t>
            </w:r>
          </w:p>
        </w:tc>
        <w:tc>
          <w:tcPr>
            <w:tcW w:w="1530" w:type="dxa"/>
            <w:tcBorders>
              <w:left w:val="single" w:color="000000" w:sz="4" w:space="0"/>
            </w:tcBorders>
            <w:vAlign w:val="top"/>
          </w:tcPr>
          <w:p w14:paraId="5EB0346E">
            <w:pPr>
              <w:pStyle w:val="6"/>
              <w:spacing w:before="97" w:line="183" w:lineRule="auto"/>
              <w:ind w:left="505"/>
              <w:rPr>
                <w:sz w:val="17"/>
                <w:szCs w:val="17"/>
              </w:rPr>
            </w:pPr>
            <w:r>
              <w:rPr>
                <w:spacing w:val="-2"/>
                <w:sz w:val="17"/>
                <w:szCs w:val="17"/>
              </w:rPr>
              <w:t>2799.5</w:t>
            </w:r>
          </w:p>
        </w:tc>
      </w:tr>
      <w:tr w14:paraId="145DA8A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40" w:hRule="atLeast"/>
        </w:trPr>
        <w:tc>
          <w:tcPr>
            <w:tcW w:w="1540" w:type="dxa"/>
            <w:tcBorders>
              <w:right w:val="single" w:color="000000" w:sz="4" w:space="0"/>
            </w:tcBorders>
            <w:vAlign w:val="top"/>
          </w:tcPr>
          <w:p w14:paraId="1867C6B7">
            <w:pPr>
              <w:pStyle w:val="6"/>
              <w:spacing w:before="113" w:line="184" w:lineRule="auto"/>
              <w:ind w:left="680"/>
              <w:rPr>
                <w:sz w:val="17"/>
                <w:szCs w:val="17"/>
              </w:rPr>
            </w:pPr>
            <w:r>
              <w:rPr>
                <w:spacing w:val="-5"/>
                <w:sz w:val="17"/>
                <w:szCs w:val="17"/>
              </w:rPr>
              <w:t>19</w:t>
            </w:r>
          </w:p>
        </w:tc>
        <w:tc>
          <w:tcPr>
            <w:tcW w:w="1580" w:type="dxa"/>
            <w:tcBorders>
              <w:left w:val="single" w:color="000000" w:sz="4" w:space="0"/>
              <w:right w:val="single" w:color="000000" w:sz="4" w:space="0"/>
            </w:tcBorders>
            <w:vAlign w:val="top"/>
          </w:tcPr>
          <w:p w14:paraId="047EAF7A">
            <w:pPr>
              <w:pStyle w:val="6"/>
              <w:spacing w:before="113" w:line="184" w:lineRule="auto"/>
              <w:ind w:left="445"/>
              <w:rPr>
                <w:sz w:val="17"/>
                <w:szCs w:val="17"/>
              </w:rPr>
            </w:pPr>
            <w:r>
              <w:rPr>
                <w:spacing w:val="-1"/>
                <w:sz w:val="17"/>
                <w:szCs w:val="17"/>
              </w:rPr>
              <w:t>0.002196</w:t>
            </w:r>
          </w:p>
        </w:tc>
        <w:tc>
          <w:tcPr>
            <w:tcW w:w="1570" w:type="dxa"/>
            <w:tcBorders>
              <w:left w:val="single" w:color="000000" w:sz="4" w:space="0"/>
              <w:right w:val="single" w:color="000000" w:sz="4" w:space="0"/>
            </w:tcBorders>
            <w:vAlign w:val="top"/>
          </w:tcPr>
          <w:p w14:paraId="5C82EDE6">
            <w:pPr>
              <w:pStyle w:val="6"/>
              <w:spacing w:before="143" w:line="183" w:lineRule="auto"/>
              <w:ind w:left="525"/>
              <w:rPr>
                <w:sz w:val="17"/>
                <w:szCs w:val="17"/>
              </w:rPr>
            </w:pPr>
            <w:r>
              <w:rPr>
                <w:spacing w:val="-2"/>
                <w:sz w:val="17"/>
                <w:szCs w:val="17"/>
              </w:rPr>
              <w:t>2535.9</w:t>
            </w:r>
          </w:p>
        </w:tc>
        <w:tc>
          <w:tcPr>
            <w:tcW w:w="1580" w:type="dxa"/>
            <w:tcBorders>
              <w:left w:val="single" w:color="000000" w:sz="4" w:space="0"/>
              <w:right w:val="single" w:color="000000" w:sz="4" w:space="0"/>
            </w:tcBorders>
            <w:vAlign w:val="top"/>
          </w:tcPr>
          <w:p w14:paraId="693F6C94">
            <w:pPr>
              <w:pStyle w:val="6"/>
              <w:spacing w:before="123" w:line="183" w:lineRule="auto"/>
              <w:ind w:left="655"/>
              <w:rPr>
                <w:sz w:val="17"/>
                <w:szCs w:val="17"/>
              </w:rPr>
            </w:pPr>
            <w:r>
              <w:rPr>
                <w:spacing w:val="-2"/>
                <w:sz w:val="17"/>
                <w:szCs w:val="17"/>
              </w:rPr>
              <w:t>260</w:t>
            </w:r>
          </w:p>
        </w:tc>
        <w:tc>
          <w:tcPr>
            <w:tcW w:w="1570" w:type="dxa"/>
            <w:tcBorders>
              <w:left w:val="single" w:color="000000" w:sz="4" w:space="0"/>
              <w:right w:val="single" w:color="000000" w:sz="4" w:space="0"/>
            </w:tcBorders>
            <w:vAlign w:val="top"/>
          </w:tcPr>
          <w:p w14:paraId="21C7CB22">
            <w:pPr>
              <w:pStyle w:val="6"/>
              <w:spacing w:before="143" w:line="183" w:lineRule="auto"/>
              <w:ind w:left="565"/>
              <w:rPr>
                <w:sz w:val="17"/>
                <w:szCs w:val="17"/>
              </w:rPr>
            </w:pPr>
            <w:r>
              <w:rPr>
                <w:spacing w:val="-1"/>
                <w:sz w:val="17"/>
                <w:szCs w:val="17"/>
              </w:rPr>
              <w:t>4.694</w:t>
            </w:r>
          </w:p>
        </w:tc>
        <w:tc>
          <w:tcPr>
            <w:tcW w:w="1530" w:type="dxa"/>
            <w:tcBorders>
              <w:left w:val="single" w:color="000000" w:sz="4" w:space="0"/>
            </w:tcBorders>
            <w:vAlign w:val="top"/>
          </w:tcPr>
          <w:p w14:paraId="3A476154">
            <w:pPr>
              <w:pStyle w:val="6"/>
              <w:spacing w:before="143" w:line="183" w:lineRule="auto"/>
              <w:ind w:left="505"/>
              <w:rPr>
                <w:sz w:val="17"/>
                <w:szCs w:val="17"/>
              </w:rPr>
            </w:pPr>
            <w:r>
              <w:rPr>
                <w:spacing w:val="-2"/>
                <w:sz w:val="17"/>
                <w:szCs w:val="17"/>
              </w:rPr>
              <w:t>2795.2</w:t>
            </w:r>
          </w:p>
        </w:tc>
      </w:tr>
      <w:tr w14:paraId="4513F0C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24" w:hRule="atLeast"/>
        </w:trPr>
        <w:tc>
          <w:tcPr>
            <w:tcW w:w="1540" w:type="dxa"/>
            <w:tcBorders>
              <w:right w:val="single" w:color="000000" w:sz="4" w:space="0"/>
            </w:tcBorders>
            <w:vAlign w:val="top"/>
          </w:tcPr>
          <w:p w14:paraId="644D52F0">
            <w:pPr>
              <w:pStyle w:val="6"/>
              <w:spacing w:before="103" w:line="183" w:lineRule="auto"/>
              <w:ind w:left="680"/>
              <w:rPr>
                <w:sz w:val="17"/>
                <w:szCs w:val="17"/>
              </w:rPr>
            </w:pPr>
            <w:r>
              <w:rPr>
                <w:spacing w:val="-3"/>
                <w:sz w:val="17"/>
                <w:szCs w:val="17"/>
              </w:rPr>
              <w:t>20</w:t>
            </w:r>
          </w:p>
        </w:tc>
        <w:tc>
          <w:tcPr>
            <w:tcW w:w="1580" w:type="dxa"/>
            <w:tcBorders>
              <w:left w:val="single" w:color="000000" w:sz="4" w:space="0"/>
              <w:right w:val="single" w:color="000000" w:sz="4" w:space="0"/>
            </w:tcBorders>
            <w:vAlign w:val="top"/>
          </w:tcPr>
          <w:p w14:paraId="31445EE4">
            <w:pPr>
              <w:pStyle w:val="6"/>
              <w:spacing w:before="93" w:line="183" w:lineRule="auto"/>
              <w:ind w:left="445"/>
              <w:rPr>
                <w:sz w:val="17"/>
                <w:szCs w:val="17"/>
              </w:rPr>
            </w:pPr>
            <w:r>
              <w:rPr>
                <w:spacing w:val="-1"/>
                <w:sz w:val="17"/>
                <w:szCs w:val="17"/>
              </w:rPr>
              <w:t>0.002337</w:t>
            </w:r>
          </w:p>
        </w:tc>
        <w:tc>
          <w:tcPr>
            <w:tcW w:w="1570" w:type="dxa"/>
            <w:tcBorders>
              <w:left w:val="single" w:color="000000" w:sz="4" w:space="0"/>
              <w:right w:val="single" w:color="000000" w:sz="4" w:space="0"/>
            </w:tcBorders>
            <w:vAlign w:val="top"/>
          </w:tcPr>
          <w:p w14:paraId="69FA9192">
            <w:pPr>
              <w:pStyle w:val="6"/>
              <w:spacing w:before="113" w:line="183" w:lineRule="auto"/>
              <w:ind w:left="525"/>
              <w:rPr>
                <w:sz w:val="17"/>
                <w:szCs w:val="17"/>
              </w:rPr>
            </w:pPr>
            <w:r>
              <w:rPr>
                <w:spacing w:val="-2"/>
                <w:sz w:val="17"/>
                <w:szCs w:val="17"/>
              </w:rPr>
              <w:t>2537.7</w:t>
            </w:r>
          </w:p>
        </w:tc>
        <w:tc>
          <w:tcPr>
            <w:tcW w:w="1580" w:type="dxa"/>
            <w:tcBorders>
              <w:left w:val="single" w:color="000000" w:sz="4" w:space="0"/>
              <w:right w:val="single" w:color="000000" w:sz="4" w:space="0"/>
            </w:tcBorders>
            <w:vAlign w:val="top"/>
          </w:tcPr>
          <w:p w14:paraId="1FBCB539">
            <w:pPr>
              <w:pStyle w:val="6"/>
              <w:spacing w:before="103" w:line="183" w:lineRule="auto"/>
              <w:ind w:left="655"/>
              <w:rPr>
                <w:sz w:val="17"/>
                <w:szCs w:val="17"/>
              </w:rPr>
            </w:pPr>
            <w:r>
              <w:rPr>
                <w:spacing w:val="-2"/>
                <w:sz w:val="17"/>
                <w:szCs w:val="17"/>
              </w:rPr>
              <w:t>270</w:t>
            </w:r>
          </w:p>
        </w:tc>
        <w:tc>
          <w:tcPr>
            <w:tcW w:w="1570" w:type="dxa"/>
            <w:tcBorders>
              <w:left w:val="single" w:color="000000" w:sz="4" w:space="0"/>
              <w:right w:val="single" w:color="000000" w:sz="4" w:space="0"/>
            </w:tcBorders>
            <w:vAlign w:val="top"/>
          </w:tcPr>
          <w:p w14:paraId="31A7E915">
            <w:pPr>
              <w:pStyle w:val="6"/>
              <w:spacing w:before="93" w:line="183" w:lineRule="auto"/>
              <w:ind w:left="565"/>
              <w:rPr>
                <w:sz w:val="17"/>
                <w:szCs w:val="17"/>
              </w:rPr>
            </w:pPr>
            <w:r>
              <w:rPr>
                <w:spacing w:val="-2"/>
                <w:sz w:val="17"/>
                <w:szCs w:val="17"/>
              </w:rPr>
              <w:t>5.505</w:t>
            </w:r>
          </w:p>
        </w:tc>
        <w:tc>
          <w:tcPr>
            <w:tcW w:w="1530" w:type="dxa"/>
            <w:tcBorders>
              <w:left w:val="single" w:color="000000" w:sz="4" w:space="0"/>
            </w:tcBorders>
            <w:vAlign w:val="top"/>
          </w:tcPr>
          <w:p w14:paraId="33D25CC7">
            <w:pPr>
              <w:pStyle w:val="6"/>
              <w:spacing w:before="123" w:line="183" w:lineRule="auto"/>
              <w:ind w:left="505"/>
              <w:rPr>
                <w:sz w:val="17"/>
                <w:szCs w:val="17"/>
              </w:rPr>
            </w:pPr>
            <w:r>
              <w:rPr>
                <w:spacing w:val="-2"/>
                <w:sz w:val="17"/>
                <w:szCs w:val="17"/>
              </w:rPr>
              <w:t>2788.3</w:t>
            </w:r>
          </w:p>
        </w:tc>
      </w:tr>
      <w:tr w14:paraId="1A1CC26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0" w:hRule="atLeast"/>
        </w:trPr>
        <w:tc>
          <w:tcPr>
            <w:tcW w:w="1540" w:type="dxa"/>
            <w:tcBorders>
              <w:right w:val="single" w:color="000000" w:sz="4" w:space="0"/>
            </w:tcBorders>
            <w:vAlign w:val="top"/>
          </w:tcPr>
          <w:p w14:paraId="052E4D4F">
            <w:pPr>
              <w:pStyle w:val="6"/>
              <w:spacing w:before="109" w:line="183" w:lineRule="auto"/>
              <w:ind w:left="680"/>
              <w:rPr>
                <w:sz w:val="17"/>
                <w:szCs w:val="17"/>
              </w:rPr>
            </w:pPr>
            <w:r>
              <w:rPr>
                <w:spacing w:val="-3"/>
                <w:sz w:val="17"/>
                <w:szCs w:val="17"/>
              </w:rPr>
              <w:t>22</w:t>
            </w:r>
          </w:p>
        </w:tc>
        <w:tc>
          <w:tcPr>
            <w:tcW w:w="1580" w:type="dxa"/>
            <w:tcBorders>
              <w:left w:val="single" w:color="000000" w:sz="4" w:space="0"/>
              <w:right w:val="single" w:color="000000" w:sz="4" w:space="0"/>
            </w:tcBorders>
            <w:vAlign w:val="top"/>
          </w:tcPr>
          <w:p w14:paraId="03B2DF71">
            <w:pPr>
              <w:pStyle w:val="6"/>
              <w:spacing w:before="119" w:line="183" w:lineRule="auto"/>
              <w:ind w:left="445"/>
              <w:rPr>
                <w:sz w:val="17"/>
                <w:szCs w:val="17"/>
              </w:rPr>
            </w:pPr>
            <w:r>
              <w:rPr>
                <w:spacing w:val="-1"/>
                <w:sz w:val="17"/>
                <w:szCs w:val="17"/>
              </w:rPr>
              <w:t>0.002642</w:t>
            </w:r>
          </w:p>
        </w:tc>
        <w:tc>
          <w:tcPr>
            <w:tcW w:w="1570" w:type="dxa"/>
            <w:tcBorders>
              <w:left w:val="single" w:color="000000" w:sz="4" w:space="0"/>
              <w:right w:val="single" w:color="000000" w:sz="4" w:space="0"/>
            </w:tcBorders>
            <w:vAlign w:val="top"/>
          </w:tcPr>
          <w:p w14:paraId="52226A9C">
            <w:pPr>
              <w:pStyle w:val="6"/>
              <w:spacing w:before="118" w:line="184" w:lineRule="auto"/>
              <w:ind w:left="525"/>
              <w:rPr>
                <w:sz w:val="17"/>
                <w:szCs w:val="17"/>
              </w:rPr>
            </w:pPr>
            <w:r>
              <w:rPr>
                <w:spacing w:val="-2"/>
                <w:sz w:val="17"/>
                <w:szCs w:val="17"/>
              </w:rPr>
              <w:t>2541.4</w:t>
            </w:r>
          </w:p>
        </w:tc>
        <w:tc>
          <w:tcPr>
            <w:tcW w:w="1580" w:type="dxa"/>
            <w:tcBorders>
              <w:left w:val="single" w:color="000000" w:sz="4" w:space="0"/>
              <w:right w:val="single" w:color="000000" w:sz="4" w:space="0"/>
            </w:tcBorders>
            <w:vAlign w:val="top"/>
          </w:tcPr>
          <w:p w14:paraId="7B0B1861">
            <w:pPr>
              <w:pStyle w:val="6"/>
              <w:spacing w:before="119" w:line="183" w:lineRule="auto"/>
              <w:ind w:left="655"/>
              <w:rPr>
                <w:sz w:val="17"/>
                <w:szCs w:val="17"/>
              </w:rPr>
            </w:pPr>
            <w:r>
              <w:rPr>
                <w:spacing w:val="-2"/>
                <w:sz w:val="17"/>
                <w:szCs w:val="17"/>
              </w:rPr>
              <w:t>280</w:t>
            </w:r>
          </w:p>
        </w:tc>
        <w:tc>
          <w:tcPr>
            <w:tcW w:w="1570" w:type="dxa"/>
            <w:tcBorders>
              <w:left w:val="single" w:color="000000" w:sz="4" w:space="0"/>
              <w:right w:val="single" w:color="000000" w:sz="4" w:space="0"/>
            </w:tcBorders>
            <w:vAlign w:val="top"/>
          </w:tcPr>
          <w:p w14:paraId="65CA8511">
            <w:pPr>
              <w:pStyle w:val="6"/>
              <w:spacing w:before="98" w:line="184" w:lineRule="auto"/>
              <w:ind w:left="565"/>
              <w:rPr>
                <w:sz w:val="17"/>
                <w:szCs w:val="17"/>
              </w:rPr>
            </w:pPr>
            <w:r>
              <w:rPr>
                <w:spacing w:val="-2"/>
                <w:sz w:val="17"/>
                <w:szCs w:val="17"/>
              </w:rPr>
              <w:t>6.419</w:t>
            </w:r>
          </w:p>
        </w:tc>
        <w:tc>
          <w:tcPr>
            <w:tcW w:w="1530" w:type="dxa"/>
            <w:tcBorders>
              <w:left w:val="single" w:color="000000" w:sz="4" w:space="0"/>
            </w:tcBorders>
            <w:vAlign w:val="top"/>
          </w:tcPr>
          <w:p w14:paraId="68EEA33C">
            <w:pPr>
              <w:pStyle w:val="6"/>
              <w:spacing w:before="129" w:line="183" w:lineRule="auto"/>
              <w:ind w:left="505"/>
              <w:rPr>
                <w:sz w:val="17"/>
                <w:szCs w:val="17"/>
              </w:rPr>
            </w:pPr>
            <w:r>
              <w:rPr>
                <w:spacing w:val="-2"/>
                <w:sz w:val="17"/>
                <w:szCs w:val="17"/>
              </w:rPr>
              <w:t>2778.6</w:t>
            </w:r>
          </w:p>
        </w:tc>
      </w:tr>
      <w:tr w14:paraId="7684B68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0" w:hRule="atLeast"/>
        </w:trPr>
        <w:tc>
          <w:tcPr>
            <w:tcW w:w="1540" w:type="dxa"/>
            <w:tcBorders>
              <w:right w:val="single" w:color="000000" w:sz="4" w:space="0"/>
            </w:tcBorders>
            <w:vAlign w:val="top"/>
          </w:tcPr>
          <w:p w14:paraId="3FBB81BF">
            <w:pPr>
              <w:pStyle w:val="6"/>
              <w:spacing w:before="109" w:line="183" w:lineRule="auto"/>
              <w:ind w:left="680"/>
              <w:rPr>
                <w:sz w:val="17"/>
                <w:szCs w:val="17"/>
              </w:rPr>
            </w:pPr>
            <w:r>
              <w:rPr>
                <w:spacing w:val="-3"/>
                <w:sz w:val="17"/>
                <w:szCs w:val="17"/>
              </w:rPr>
              <w:t>24</w:t>
            </w:r>
          </w:p>
        </w:tc>
        <w:tc>
          <w:tcPr>
            <w:tcW w:w="1580" w:type="dxa"/>
            <w:tcBorders>
              <w:left w:val="single" w:color="000000" w:sz="4" w:space="0"/>
              <w:right w:val="single" w:color="000000" w:sz="4" w:space="0"/>
            </w:tcBorders>
            <w:vAlign w:val="top"/>
          </w:tcPr>
          <w:p w14:paraId="43839E9D">
            <w:pPr>
              <w:pStyle w:val="6"/>
              <w:spacing w:before="119" w:line="183" w:lineRule="auto"/>
              <w:ind w:left="445"/>
              <w:rPr>
                <w:sz w:val="17"/>
                <w:szCs w:val="17"/>
              </w:rPr>
            </w:pPr>
            <w:r>
              <w:rPr>
                <w:spacing w:val="-1"/>
                <w:sz w:val="17"/>
                <w:szCs w:val="17"/>
              </w:rPr>
              <w:t>0.002982</w:t>
            </w:r>
          </w:p>
        </w:tc>
        <w:tc>
          <w:tcPr>
            <w:tcW w:w="1570" w:type="dxa"/>
            <w:tcBorders>
              <w:left w:val="single" w:color="000000" w:sz="4" w:space="0"/>
              <w:right w:val="single" w:color="000000" w:sz="4" w:space="0"/>
            </w:tcBorders>
            <w:vAlign w:val="top"/>
          </w:tcPr>
          <w:p w14:paraId="183489F5">
            <w:pPr>
              <w:pStyle w:val="6"/>
              <w:spacing w:before="119" w:line="183" w:lineRule="auto"/>
              <w:ind w:left="525"/>
              <w:rPr>
                <w:sz w:val="17"/>
                <w:szCs w:val="17"/>
              </w:rPr>
            </w:pPr>
            <w:r>
              <w:rPr>
                <w:spacing w:val="-2"/>
                <w:sz w:val="17"/>
                <w:szCs w:val="17"/>
              </w:rPr>
              <w:t>2545.0</w:t>
            </w:r>
          </w:p>
        </w:tc>
        <w:tc>
          <w:tcPr>
            <w:tcW w:w="1580" w:type="dxa"/>
            <w:tcBorders>
              <w:left w:val="single" w:color="000000" w:sz="4" w:space="0"/>
              <w:right w:val="single" w:color="000000" w:sz="4" w:space="0"/>
            </w:tcBorders>
            <w:vAlign w:val="top"/>
          </w:tcPr>
          <w:p w14:paraId="12733BE5">
            <w:pPr>
              <w:pStyle w:val="6"/>
              <w:spacing w:before="109" w:line="183" w:lineRule="auto"/>
              <w:ind w:left="655"/>
              <w:rPr>
                <w:sz w:val="17"/>
                <w:szCs w:val="17"/>
              </w:rPr>
            </w:pPr>
            <w:r>
              <w:rPr>
                <w:spacing w:val="-2"/>
                <w:sz w:val="17"/>
                <w:szCs w:val="17"/>
              </w:rPr>
              <w:t>290</w:t>
            </w:r>
          </w:p>
        </w:tc>
        <w:tc>
          <w:tcPr>
            <w:tcW w:w="1570" w:type="dxa"/>
            <w:tcBorders>
              <w:left w:val="single" w:color="000000" w:sz="4" w:space="0"/>
              <w:right w:val="single" w:color="000000" w:sz="4" w:space="0"/>
            </w:tcBorders>
            <w:vAlign w:val="top"/>
          </w:tcPr>
          <w:p w14:paraId="7BE1F513">
            <w:pPr>
              <w:pStyle w:val="6"/>
              <w:spacing w:before="99" w:line="183" w:lineRule="auto"/>
              <w:ind w:left="565"/>
              <w:rPr>
                <w:sz w:val="17"/>
                <w:szCs w:val="17"/>
              </w:rPr>
            </w:pPr>
            <w:r>
              <w:rPr>
                <w:spacing w:val="-2"/>
                <w:sz w:val="17"/>
                <w:szCs w:val="17"/>
              </w:rPr>
              <w:t>7.445</w:t>
            </w:r>
          </w:p>
        </w:tc>
        <w:tc>
          <w:tcPr>
            <w:tcW w:w="1530" w:type="dxa"/>
            <w:tcBorders>
              <w:left w:val="single" w:color="000000" w:sz="4" w:space="0"/>
            </w:tcBorders>
            <w:vAlign w:val="top"/>
          </w:tcPr>
          <w:p w14:paraId="3D01031B">
            <w:pPr>
              <w:pStyle w:val="6"/>
              <w:spacing w:before="129" w:line="183" w:lineRule="auto"/>
              <w:ind w:left="505"/>
              <w:rPr>
                <w:sz w:val="17"/>
                <w:szCs w:val="17"/>
              </w:rPr>
            </w:pPr>
            <w:r>
              <w:rPr>
                <w:spacing w:val="-2"/>
                <w:sz w:val="17"/>
                <w:szCs w:val="17"/>
              </w:rPr>
              <w:t>2765.4</w:t>
            </w:r>
          </w:p>
        </w:tc>
      </w:tr>
      <w:tr w14:paraId="0260DF3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5" w:hRule="atLeast"/>
        </w:trPr>
        <w:tc>
          <w:tcPr>
            <w:tcW w:w="1540" w:type="dxa"/>
            <w:tcBorders>
              <w:right w:val="single" w:color="000000" w:sz="4" w:space="0"/>
            </w:tcBorders>
            <w:vAlign w:val="top"/>
          </w:tcPr>
          <w:p w14:paraId="4F36176F">
            <w:pPr>
              <w:pStyle w:val="6"/>
              <w:spacing w:before="109" w:line="183" w:lineRule="auto"/>
              <w:ind w:left="680"/>
              <w:rPr>
                <w:sz w:val="17"/>
                <w:szCs w:val="17"/>
              </w:rPr>
            </w:pPr>
            <w:r>
              <w:rPr>
                <w:spacing w:val="-3"/>
                <w:sz w:val="17"/>
                <w:szCs w:val="17"/>
              </w:rPr>
              <w:t>26</w:t>
            </w:r>
          </w:p>
        </w:tc>
        <w:tc>
          <w:tcPr>
            <w:tcW w:w="1580" w:type="dxa"/>
            <w:tcBorders>
              <w:left w:val="single" w:color="000000" w:sz="4" w:space="0"/>
              <w:right w:val="single" w:color="000000" w:sz="4" w:space="0"/>
            </w:tcBorders>
            <w:vAlign w:val="top"/>
          </w:tcPr>
          <w:p w14:paraId="16BDED6D">
            <w:pPr>
              <w:pStyle w:val="6"/>
              <w:spacing w:before="119" w:line="183" w:lineRule="auto"/>
              <w:ind w:left="445"/>
              <w:rPr>
                <w:sz w:val="17"/>
                <w:szCs w:val="17"/>
              </w:rPr>
            </w:pPr>
            <w:r>
              <w:rPr>
                <w:spacing w:val="-1"/>
                <w:sz w:val="17"/>
                <w:szCs w:val="17"/>
              </w:rPr>
              <w:t>0.003360</w:t>
            </w:r>
          </w:p>
        </w:tc>
        <w:tc>
          <w:tcPr>
            <w:tcW w:w="1570" w:type="dxa"/>
            <w:tcBorders>
              <w:left w:val="single" w:color="000000" w:sz="4" w:space="0"/>
              <w:right w:val="single" w:color="000000" w:sz="4" w:space="0"/>
            </w:tcBorders>
            <w:vAlign w:val="top"/>
          </w:tcPr>
          <w:p w14:paraId="1F66BDEF">
            <w:pPr>
              <w:pStyle w:val="6"/>
              <w:spacing w:before="119" w:line="183" w:lineRule="auto"/>
              <w:ind w:left="525"/>
              <w:rPr>
                <w:sz w:val="17"/>
                <w:szCs w:val="17"/>
              </w:rPr>
            </w:pPr>
            <w:r>
              <w:rPr>
                <w:spacing w:val="-2"/>
                <w:sz w:val="17"/>
                <w:szCs w:val="17"/>
              </w:rPr>
              <w:t>2543.6</w:t>
            </w:r>
          </w:p>
        </w:tc>
        <w:tc>
          <w:tcPr>
            <w:tcW w:w="1580" w:type="dxa"/>
            <w:tcBorders>
              <w:left w:val="single" w:color="000000" w:sz="4" w:space="0"/>
              <w:right w:val="single" w:color="000000" w:sz="4" w:space="0"/>
            </w:tcBorders>
            <w:vAlign w:val="top"/>
          </w:tcPr>
          <w:p w14:paraId="0626B4A3">
            <w:pPr>
              <w:pStyle w:val="6"/>
              <w:spacing w:before="119" w:line="183" w:lineRule="auto"/>
              <w:ind w:left="655"/>
              <w:rPr>
                <w:sz w:val="17"/>
                <w:szCs w:val="17"/>
              </w:rPr>
            </w:pPr>
            <w:r>
              <w:rPr>
                <w:spacing w:val="-3"/>
                <w:sz w:val="17"/>
                <w:szCs w:val="17"/>
              </w:rPr>
              <w:t>300</w:t>
            </w:r>
          </w:p>
        </w:tc>
        <w:tc>
          <w:tcPr>
            <w:tcW w:w="1570" w:type="dxa"/>
            <w:tcBorders>
              <w:left w:val="single" w:color="000000" w:sz="4" w:space="0"/>
              <w:right w:val="single" w:color="000000" w:sz="4" w:space="0"/>
            </w:tcBorders>
            <w:vAlign w:val="top"/>
          </w:tcPr>
          <w:p w14:paraId="25130003">
            <w:pPr>
              <w:pStyle w:val="6"/>
              <w:spacing w:before="99" w:line="183" w:lineRule="auto"/>
              <w:ind w:left="565"/>
              <w:rPr>
                <w:sz w:val="17"/>
                <w:szCs w:val="17"/>
              </w:rPr>
            </w:pPr>
            <w:r>
              <w:rPr>
                <w:spacing w:val="-2"/>
                <w:sz w:val="17"/>
                <w:szCs w:val="17"/>
              </w:rPr>
              <w:t>8.592</w:t>
            </w:r>
          </w:p>
        </w:tc>
        <w:tc>
          <w:tcPr>
            <w:tcW w:w="1530" w:type="dxa"/>
            <w:tcBorders>
              <w:left w:val="single" w:color="000000" w:sz="4" w:space="0"/>
            </w:tcBorders>
            <w:vAlign w:val="top"/>
          </w:tcPr>
          <w:p w14:paraId="78DA732C">
            <w:pPr>
              <w:pStyle w:val="6"/>
              <w:spacing w:before="129" w:line="183" w:lineRule="auto"/>
              <w:ind w:left="505"/>
              <w:rPr>
                <w:sz w:val="17"/>
                <w:szCs w:val="17"/>
              </w:rPr>
            </w:pPr>
            <w:r>
              <w:rPr>
                <w:spacing w:val="-2"/>
                <w:sz w:val="17"/>
                <w:szCs w:val="17"/>
              </w:rPr>
              <w:t>2748.4</w:t>
            </w:r>
          </w:p>
        </w:tc>
      </w:tr>
      <w:tr w14:paraId="5F27BF6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25" w:hRule="atLeast"/>
        </w:trPr>
        <w:tc>
          <w:tcPr>
            <w:tcW w:w="1540" w:type="dxa"/>
            <w:tcBorders>
              <w:right w:val="single" w:color="000000" w:sz="4" w:space="0"/>
            </w:tcBorders>
            <w:vAlign w:val="top"/>
          </w:tcPr>
          <w:p w14:paraId="1BA93B09">
            <w:pPr>
              <w:pStyle w:val="6"/>
              <w:spacing w:before="114" w:line="183" w:lineRule="auto"/>
              <w:ind w:left="680"/>
              <w:rPr>
                <w:sz w:val="17"/>
                <w:szCs w:val="17"/>
              </w:rPr>
            </w:pPr>
            <w:r>
              <w:rPr>
                <w:spacing w:val="-3"/>
                <w:sz w:val="17"/>
                <w:szCs w:val="17"/>
              </w:rPr>
              <w:t>28</w:t>
            </w:r>
          </w:p>
        </w:tc>
        <w:tc>
          <w:tcPr>
            <w:tcW w:w="1580" w:type="dxa"/>
            <w:tcBorders>
              <w:left w:val="single" w:color="000000" w:sz="4" w:space="0"/>
              <w:right w:val="single" w:color="000000" w:sz="4" w:space="0"/>
            </w:tcBorders>
            <w:vAlign w:val="top"/>
          </w:tcPr>
          <w:p w14:paraId="78549CC4">
            <w:pPr>
              <w:pStyle w:val="6"/>
              <w:spacing w:before="124" w:line="183" w:lineRule="auto"/>
              <w:ind w:left="445"/>
              <w:rPr>
                <w:sz w:val="17"/>
                <w:szCs w:val="17"/>
              </w:rPr>
            </w:pPr>
            <w:r>
              <w:rPr>
                <w:spacing w:val="-1"/>
                <w:sz w:val="17"/>
                <w:szCs w:val="17"/>
              </w:rPr>
              <w:t>0.003779</w:t>
            </w:r>
          </w:p>
        </w:tc>
        <w:tc>
          <w:tcPr>
            <w:tcW w:w="1570" w:type="dxa"/>
            <w:tcBorders>
              <w:left w:val="single" w:color="000000" w:sz="4" w:space="0"/>
              <w:right w:val="single" w:color="000000" w:sz="4" w:space="0"/>
            </w:tcBorders>
            <w:vAlign w:val="top"/>
          </w:tcPr>
          <w:p w14:paraId="6179FF25">
            <w:pPr>
              <w:pStyle w:val="6"/>
              <w:spacing w:before="104" w:line="183" w:lineRule="auto"/>
              <w:ind w:left="525"/>
              <w:rPr>
                <w:sz w:val="17"/>
                <w:szCs w:val="17"/>
              </w:rPr>
            </w:pPr>
            <w:r>
              <w:rPr>
                <w:spacing w:val="-2"/>
                <w:sz w:val="17"/>
                <w:szCs w:val="17"/>
              </w:rPr>
              <w:t>2552.3</w:t>
            </w:r>
          </w:p>
        </w:tc>
        <w:tc>
          <w:tcPr>
            <w:tcW w:w="1580" w:type="dxa"/>
            <w:tcBorders>
              <w:left w:val="single" w:color="000000" w:sz="4" w:space="0"/>
              <w:right w:val="single" w:color="000000" w:sz="4" w:space="0"/>
            </w:tcBorders>
            <w:vAlign w:val="top"/>
          </w:tcPr>
          <w:p w14:paraId="6EEBA297">
            <w:pPr>
              <w:pStyle w:val="6"/>
              <w:spacing w:before="113" w:line="184" w:lineRule="auto"/>
              <w:ind w:left="655"/>
              <w:rPr>
                <w:sz w:val="17"/>
                <w:szCs w:val="17"/>
              </w:rPr>
            </w:pPr>
            <w:r>
              <w:rPr>
                <w:spacing w:val="-3"/>
                <w:sz w:val="17"/>
                <w:szCs w:val="17"/>
              </w:rPr>
              <w:t>310</w:t>
            </w:r>
          </w:p>
        </w:tc>
        <w:tc>
          <w:tcPr>
            <w:tcW w:w="1570" w:type="dxa"/>
            <w:tcBorders>
              <w:left w:val="single" w:color="000000" w:sz="4" w:space="0"/>
              <w:right w:val="single" w:color="000000" w:sz="4" w:space="0"/>
            </w:tcBorders>
            <w:vAlign w:val="top"/>
          </w:tcPr>
          <w:p w14:paraId="186EB717">
            <w:pPr>
              <w:pStyle w:val="6"/>
              <w:spacing w:before="124" w:line="183" w:lineRule="auto"/>
              <w:ind w:left="565"/>
              <w:rPr>
                <w:sz w:val="17"/>
                <w:szCs w:val="17"/>
              </w:rPr>
            </w:pPr>
            <w:r>
              <w:rPr>
                <w:spacing w:val="-2"/>
                <w:sz w:val="17"/>
                <w:szCs w:val="17"/>
              </w:rPr>
              <w:t>9.870</w:t>
            </w:r>
          </w:p>
        </w:tc>
        <w:tc>
          <w:tcPr>
            <w:tcW w:w="1530" w:type="dxa"/>
            <w:tcBorders>
              <w:left w:val="single" w:color="000000" w:sz="4" w:space="0"/>
            </w:tcBorders>
            <w:vAlign w:val="top"/>
          </w:tcPr>
          <w:p w14:paraId="2AE7129D">
            <w:pPr>
              <w:pStyle w:val="6"/>
              <w:spacing w:before="114" w:line="183" w:lineRule="auto"/>
              <w:ind w:left="505"/>
              <w:rPr>
                <w:sz w:val="17"/>
                <w:szCs w:val="17"/>
              </w:rPr>
            </w:pPr>
            <w:r>
              <w:rPr>
                <w:spacing w:val="-2"/>
                <w:sz w:val="17"/>
                <w:szCs w:val="17"/>
              </w:rPr>
              <w:t>2726.8</w:t>
            </w:r>
          </w:p>
        </w:tc>
      </w:tr>
      <w:tr w14:paraId="27D15C1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29" w:hRule="atLeast"/>
        </w:trPr>
        <w:tc>
          <w:tcPr>
            <w:tcW w:w="1540" w:type="dxa"/>
            <w:tcBorders>
              <w:right w:val="single" w:color="000000" w:sz="4" w:space="0"/>
            </w:tcBorders>
            <w:vAlign w:val="top"/>
          </w:tcPr>
          <w:p w14:paraId="7E674650">
            <w:pPr>
              <w:pStyle w:val="6"/>
              <w:spacing w:before="119" w:line="183" w:lineRule="auto"/>
              <w:ind w:left="680"/>
              <w:rPr>
                <w:sz w:val="17"/>
                <w:szCs w:val="17"/>
              </w:rPr>
            </w:pPr>
            <w:r>
              <w:rPr>
                <w:spacing w:val="-3"/>
                <w:sz w:val="17"/>
                <w:szCs w:val="17"/>
              </w:rPr>
              <w:t>30</w:t>
            </w:r>
          </w:p>
        </w:tc>
        <w:tc>
          <w:tcPr>
            <w:tcW w:w="1580" w:type="dxa"/>
            <w:tcBorders>
              <w:left w:val="single" w:color="000000" w:sz="4" w:space="0"/>
              <w:right w:val="single" w:color="000000" w:sz="4" w:space="0"/>
            </w:tcBorders>
            <w:vAlign w:val="top"/>
          </w:tcPr>
          <w:p w14:paraId="3B06CC8D">
            <w:pPr>
              <w:pStyle w:val="6"/>
              <w:spacing w:before="99" w:line="183" w:lineRule="auto"/>
              <w:ind w:left="445"/>
              <w:rPr>
                <w:sz w:val="17"/>
                <w:szCs w:val="17"/>
              </w:rPr>
            </w:pPr>
            <w:r>
              <w:rPr>
                <w:spacing w:val="-1"/>
                <w:sz w:val="17"/>
                <w:szCs w:val="17"/>
              </w:rPr>
              <w:t>0.004247</w:t>
            </w:r>
          </w:p>
        </w:tc>
        <w:tc>
          <w:tcPr>
            <w:tcW w:w="1570" w:type="dxa"/>
            <w:tcBorders>
              <w:left w:val="single" w:color="000000" w:sz="4" w:space="0"/>
              <w:right w:val="single" w:color="000000" w:sz="4" w:space="0"/>
            </w:tcBorders>
            <w:vAlign w:val="top"/>
          </w:tcPr>
          <w:p w14:paraId="3071A178">
            <w:pPr>
              <w:pStyle w:val="6"/>
              <w:spacing w:before="109" w:line="183" w:lineRule="auto"/>
              <w:ind w:left="525"/>
              <w:rPr>
                <w:sz w:val="17"/>
                <w:szCs w:val="17"/>
              </w:rPr>
            </w:pPr>
            <w:r>
              <w:rPr>
                <w:spacing w:val="-2"/>
                <w:sz w:val="17"/>
                <w:szCs w:val="17"/>
              </w:rPr>
              <w:t>2555.9</w:t>
            </w:r>
          </w:p>
        </w:tc>
        <w:tc>
          <w:tcPr>
            <w:tcW w:w="1580" w:type="dxa"/>
            <w:tcBorders>
              <w:left w:val="single" w:color="000000" w:sz="4" w:space="0"/>
              <w:right w:val="single" w:color="000000" w:sz="4" w:space="0"/>
            </w:tcBorders>
            <w:vAlign w:val="top"/>
          </w:tcPr>
          <w:p w14:paraId="413C245A">
            <w:pPr>
              <w:pStyle w:val="6"/>
              <w:spacing w:before="119" w:line="183" w:lineRule="auto"/>
              <w:ind w:left="655"/>
              <w:rPr>
                <w:sz w:val="17"/>
                <w:szCs w:val="17"/>
              </w:rPr>
            </w:pPr>
            <w:r>
              <w:rPr>
                <w:spacing w:val="-3"/>
                <w:sz w:val="17"/>
                <w:szCs w:val="17"/>
              </w:rPr>
              <w:t>320</w:t>
            </w:r>
          </w:p>
        </w:tc>
        <w:tc>
          <w:tcPr>
            <w:tcW w:w="1570" w:type="dxa"/>
            <w:tcBorders>
              <w:left w:val="single" w:color="000000" w:sz="4" w:space="0"/>
              <w:right w:val="single" w:color="000000" w:sz="4" w:space="0"/>
            </w:tcBorders>
            <w:vAlign w:val="top"/>
          </w:tcPr>
          <w:p w14:paraId="47D2CA59">
            <w:pPr>
              <w:pStyle w:val="6"/>
              <w:spacing w:before="108" w:line="184" w:lineRule="auto"/>
              <w:ind w:left="525"/>
              <w:rPr>
                <w:sz w:val="17"/>
                <w:szCs w:val="17"/>
              </w:rPr>
            </w:pPr>
            <w:r>
              <w:rPr>
                <w:spacing w:val="-3"/>
                <w:sz w:val="17"/>
                <w:szCs w:val="17"/>
              </w:rPr>
              <w:t>11.290</w:t>
            </w:r>
          </w:p>
        </w:tc>
        <w:tc>
          <w:tcPr>
            <w:tcW w:w="1530" w:type="dxa"/>
            <w:tcBorders>
              <w:left w:val="single" w:color="000000" w:sz="4" w:space="0"/>
            </w:tcBorders>
            <w:vAlign w:val="top"/>
          </w:tcPr>
          <w:p w14:paraId="05EC5ADD">
            <w:pPr>
              <w:pStyle w:val="6"/>
              <w:spacing w:before="119" w:line="183" w:lineRule="auto"/>
              <w:ind w:left="505"/>
              <w:rPr>
                <w:sz w:val="17"/>
                <w:szCs w:val="17"/>
              </w:rPr>
            </w:pPr>
            <w:r>
              <w:rPr>
                <w:spacing w:val="-2"/>
                <w:sz w:val="17"/>
                <w:szCs w:val="17"/>
              </w:rPr>
              <w:t>2699.6</w:t>
            </w:r>
          </w:p>
        </w:tc>
      </w:tr>
      <w:tr w14:paraId="218C1E2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0" w:hRule="atLeast"/>
        </w:trPr>
        <w:tc>
          <w:tcPr>
            <w:tcW w:w="1540" w:type="dxa"/>
            <w:tcBorders>
              <w:right w:val="single" w:color="000000" w:sz="4" w:space="0"/>
            </w:tcBorders>
            <w:vAlign w:val="top"/>
          </w:tcPr>
          <w:p w14:paraId="56CCCEBF">
            <w:pPr>
              <w:pStyle w:val="6"/>
              <w:spacing w:before="110" w:line="183" w:lineRule="auto"/>
              <w:ind w:left="680"/>
              <w:rPr>
                <w:sz w:val="17"/>
                <w:szCs w:val="17"/>
              </w:rPr>
            </w:pPr>
            <w:r>
              <w:rPr>
                <w:spacing w:val="-3"/>
                <w:sz w:val="17"/>
                <w:szCs w:val="17"/>
              </w:rPr>
              <w:t>35</w:t>
            </w:r>
          </w:p>
        </w:tc>
        <w:tc>
          <w:tcPr>
            <w:tcW w:w="1580" w:type="dxa"/>
            <w:tcBorders>
              <w:left w:val="single" w:color="000000" w:sz="4" w:space="0"/>
              <w:right w:val="single" w:color="000000" w:sz="4" w:space="0"/>
            </w:tcBorders>
            <w:vAlign w:val="top"/>
          </w:tcPr>
          <w:p w14:paraId="2F1E764A">
            <w:pPr>
              <w:pStyle w:val="6"/>
              <w:spacing w:before="130" w:line="183" w:lineRule="auto"/>
              <w:ind w:left="445"/>
              <w:rPr>
                <w:sz w:val="17"/>
                <w:szCs w:val="17"/>
              </w:rPr>
            </w:pPr>
            <w:r>
              <w:rPr>
                <w:spacing w:val="-1"/>
                <w:sz w:val="17"/>
                <w:szCs w:val="17"/>
              </w:rPr>
              <w:t>0.005622</w:t>
            </w:r>
          </w:p>
        </w:tc>
        <w:tc>
          <w:tcPr>
            <w:tcW w:w="1570" w:type="dxa"/>
            <w:tcBorders>
              <w:left w:val="single" w:color="000000" w:sz="4" w:space="0"/>
              <w:right w:val="single" w:color="000000" w:sz="4" w:space="0"/>
            </w:tcBorders>
            <w:vAlign w:val="top"/>
          </w:tcPr>
          <w:p w14:paraId="2FCE164A">
            <w:pPr>
              <w:pStyle w:val="6"/>
              <w:spacing w:before="110" w:line="183" w:lineRule="auto"/>
              <w:ind w:left="525"/>
              <w:rPr>
                <w:sz w:val="17"/>
                <w:szCs w:val="17"/>
              </w:rPr>
            </w:pPr>
            <w:r>
              <w:rPr>
                <w:spacing w:val="-2"/>
                <w:sz w:val="17"/>
                <w:szCs w:val="17"/>
              </w:rPr>
              <w:t>2565.0</w:t>
            </w:r>
          </w:p>
        </w:tc>
        <w:tc>
          <w:tcPr>
            <w:tcW w:w="1580" w:type="dxa"/>
            <w:tcBorders>
              <w:left w:val="single" w:color="000000" w:sz="4" w:space="0"/>
              <w:right w:val="single" w:color="000000" w:sz="4" w:space="0"/>
            </w:tcBorders>
            <w:vAlign w:val="top"/>
          </w:tcPr>
          <w:p w14:paraId="78BB8250">
            <w:pPr>
              <w:pStyle w:val="6"/>
              <w:spacing w:before="120" w:line="183" w:lineRule="auto"/>
              <w:ind w:left="655"/>
              <w:rPr>
                <w:sz w:val="17"/>
                <w:szCs w:val="17"/>
              </w:rPr>
            </w:pPr>
            <w:r>
              <w:rPr>
                <w:spacing w:val="-3"/>
                <w:sz w:val="17"/>
                <w:szCs w:val="17"/>
              </w:rPr>
              <w:t>330</w:t>
            </w:r>
          </w:p>
        </w:tc>
        <w:tc>
          <w:tcPr>
            <w:tcW w:w="1570" w:type="dxa"/>
            <w:tcBorders>
              <w:left w:val="single" w:color="000000" w:sz="4" w:space="0"/>
              <w:right w:val="single" w:color="000000" w:sz="4" w:space="0"/>
            </w:tcBorders>
            <w:vAlign w:val="top"/>
          </w:tcPr>
          <w:p w14:paraId="46992E9A">
            <w:pPr>
              <w:pStyle w:val="6"/>
              <w:spacing w:before="109" w:line="184" w:lineRule="auto"/>
              <w:ind w:left="525"/>
              <w:rPr>
                <w:sz w:val="17"/>
                <w:szCs w:val="17"/>
              </w:rPr>
            </w:pPr>
            <w:r>
              <w:rPr>
                <w:spacing w:val="-3"/>
                <w:sz w:val="17"/>
                <w:szCs w:val="17"/>
              </w:rPr>
              <w:t>12.865</w:t>
            </w:r>
          </w:p>
        </w:tc>
        <w:tc>
          <w:tcPr>
            <w:tcW w:w="1530" w:type="dxa"/>
            <w:tcBorders>
              <w:left w:val="single" w:color="000000" w:sz="4" w:space="0"/>
            </w:tcBorders>
            <w:vAlign w:val="top"/>
          </w:tcPr>
          <w:p w14:paraId="68C22395">
            <w:pPr>
              <w:pStyle w:val="6"/>
              <w:spacing w:before="120" w:line="183" w:lineRule="auto"/>
              <w:ind w:left="505"/>
              <w:rPr>
                <w:sz w:val="17"/>
                <w:szCs w:val="17"/>
              </w:rPr>
            </w:pPr>
            <w:r>
              <w:rPr>
                <w:spacing w:val="-2"/>
                <w:sz w:val="17"/>
                <w:szCs w:val="17"/>
              </w:rPr>
              <w:t>2665.5</w:t>
            </w:r>
          </w:p>
        </w:tc>
      </w:tr>
      <w:tr w14:paraId="5DBD8F7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0" w:hRule="atLeast"/>
        </w:trPr>
        <w:tc>
          <w:tcPr>
            <w:tcW w:w="1540" w:type="dxa"/>
            <w:tcBorders>
              <w:right w:val="single" w:color="000000" w:sz="4" w:space="0"/>
            </w:tcBorders>
            <w:vAlign w:val="top"/>
          </w:tcPr>
          <w:p w14:paraId="3D1CBBD3">
            <w:pPr>
              <w:pStyle w:val="6"/>
              <w:spacing w:before="120" w:line="183" w:lineRule="auto"/>
              <w:ind w:left="680"/>
              <w:rPr>
                <w:sz w:val="17"/>
                <w:szCs w:val="17"/>
              </w:rPr>
            </w:pPr>
            <w:r>
              <w:rPr>
                <w:spacing w:val="-2"/>
                <w:sz w:val="17"/>
                <w:szCs w:val="17"/>
              </w:rPr>
              <w:t>40</w:t>
            </w:r>
          </w:p>
        </w:tc>
        <w:tc>
          <w:tcPr>
            <w:tcW w:w="1580" w:type="dxa"/>
            <w:tcBorders>
              <w:left w:val="single" w:color="000000" w:sz="4" w:space="0"/>
              <w:right w:val="single" w:color="000000" w:sz="4" w:space="0"/>
            </w:tcBorders>
            <w:vAlign w:val="top"/>
          </w:tcPr>
          <w:p w14:paraId="57E564A0">
            <w:pPr>
              <w:pStyle w:val="6"/>
              <w:spacing w:before="140" w:line="183" w:lineRule="auto"/>
              <w:ind w:left="445"/>
              <w:rPr>
                <w:sz w:val="17"/>
                <w:szCs w:val="17"/>
              </w:rPr>
            </w:pPr>
            <w:r>
              <w:rPr>
                <w:spacing w:val="-1"/>
                <w:sz w:val="17"/>
                <w:szCs w:val="17"/>
              </w:rPr>
              <w:t>0.007375</w:t>
            </w:r>
          </w:p>
        </w:tc>
        <w:tc>
          <w:tcPr>
            <w:tcW w:w="1570" w:type="dxa"/>
            <w:tcBorders>
              <w:left w:val="single" w:color="000000" w:sz="4" w:space="0"/>
              <w:right w:val="single" w:color="000000" w:sz="4" w:space="0"/>
            </w:tcBorders>
            <w:vAlign w:val="top"/>
          </w:tcPr>
          <w:p w14:paraId="72B01831">
            <w:pPr>
              <w:pStyle w:val="6"/>
              <w:spacing w:before="140" w:line="183" w:lineRule="auto"/>
              <w:ind w:left="525"/>
              <w:rPr>
                <w:sz w:val="17"/>
                <w:szCs w:val="17"/>
              </w:rPr>
            </w:pPr>
            <w:r>
              <w:rPr>
                <w:spacing w:val="-2"/>
                <w:sz w:val="17"/>
                <w:szCs w:val="17"/>
              </w:rPr>
              <w:t>2574.0</w:t>
            </w:r>
          </w:p>
        </w:tc>
        <w:tc>
          <w:tcPr>
            <w:tcW w:w="1580" w:type="dxa"/>
            <w:tcBorders>
              <w:left w:val="single" w:color="000000" w:sz="4" w:space="0"/>
              <w:right w:val="single" w:color="000000" w:sz="4" w:space="0"/>
            </w:tcBorders>
            <w:vAlign w:val="top"/>
          </w:tcPr>
          <w:p w14:paraId="232FA17E">
            <w:pPr>
              <w:pStyle w:val="6"/>
              <w:spacing w:before="120" w:line="183" w:lineRule="auto"/>
              <w:ind w:left="655"/>
              <w:rPr>
                <w:sz w:val="17"/>
                <w:szCs w:val="17"/>
              </w:rPr>
            </w:pPr>
            <w:r>
              <w:rPr>
                <w:spacing w:val="-3"/>
                <w:sz w:val="17"/>
                <w:szCs w:val="17"/>
              </w:rPr>
              <w:t>340</w:t>
            </w:r>
          </w:p>
        </w:tc>
        <w:tc>
          <w:tcPr>
            <w:tcW w:w="1570" w:type="dxa"/>
            <w:tcBorders>
              <w:left w:val="single" w:color="000000" w:sz="4" w:space="0"/>
              <w:right w:val="single" w:color="000000" w:sz="4" w:space="0"/>
            </w:tcBorders>
            <w:vAlign w:val="top"/>
          </w:tcPr>
          <w:p w14:paraId="29D292A5">
            <w:pPr>
              <w:pStyle w:val="6"/>
              <w:spacing w:before="99" w:line="184" w:lineRule="auto"/>
              <w:ind w:left="525"/>
              <w:rPr>
                <w:sz w:val="17"/>
                <w:szCs w:val="17"/>
              </w:rPr>
            </w:pPr>
            <w:r>
              <w:rPr>
                <w:spacing w:val="-3"/>
                <w:sz w:val="17"/>
                <w:szCs w:val="17"/>
              </w:rPr>
              <w:t>14.608</w:t>
            </w:r>
          </w:p>
        </w:tc>
        <w:tc>
          <w:tcPr>
            <w:tcW w:w="1530" w:type="dxa"/>
            <w:tcBorders>
              <w:left w:val="single" w:color="000000" w:sz="4" w:space="0"/>
            </w:tcBorders>
            <w:vAlign w:val="top"/>
          </w:tcPr>
          <w:p w14:paraId="18B8094D">
            <w:pPr>
              <w:pStyle w:val="6"/>
              <w:spacing w:before="100" w:line="183" w:lineRule="auto"/>
              <w:ind w:left="505"/>
              <w:rPr>
                <w:sz w:val="17"/>
                <w:szCs w:val="17"/>
              </w:rPr>
            </w:pPr>
            <w:r>
              <w:rPr>
                <w:spacing w:val="-2"/>
                <w:sz w:val="17"/>
                <w:szCs w:val="17"/>
              </w:rPr>
              <w:t>2622.3</w:t>
            </w:r>
          </w:p>
        </w:tc>
      </w:tr>
      <w:tr w14:paraId="2879798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29" w:hRule="atLeast"/>
        </w:trPr>
        <w:tc>
          <w:tcPr>
            <w:tcW w:w="1540" w:type="dxa"/>
            <w:tcBorders>
              <w:right w:val="single" w:color="000000" w:sz="4" w:space="0"/>
            </w:tcBorders>
            <w:vAlign w:val="top"/>
          </w:tcPr>
          <w:p w14:paraId="1415F507">
            <w:pPr>
              <w:pStyle w:val="6"/>
              <w:spacing w:before="110" w:line="183" w:lineRule="auto"/>
              <w:ind w:left="680"/>
              <w:rPr>
                <w:sz w:val="17"/>
                <w:szCs w:val="17"/>
              </w:rPr>
            </w:pPr>
            <w:r>
              <w:rPr>
                <w:spacing w:val="-2"/>
                <w:sz w:val="17"/>
                <w:szCs w:val="17"/>
              </w:rPr>
              <w:t>45</w:t>
            </w:r>
          </w:p>
        </w:tc>
        <w:tc>
          <w:tcPr>
            <w:tcW w:w="1580" w:type="dxa"/>
            <w:tcBorders>
              <w:left w:val="single" w:color="000000" w:sz="4" w:space="0"/>
              <w:right w:val="single" w:color="000000" w:sz="4" w:space="0"/>
            </w:tcBorders>
            <w:vAlign w:val="top"/>
          </w:tcPr>
          <w:p w14:paraId="39BEDFDA">
            <w:pPr>
              <w:pStyle w:val="6"/>
              <w:spacing w:before="100" w:line="183" w:lineRule="auto"/>
              <w:ind w:left="445"/>
              <w:rPr>
                <w:sz w:val="17"/>
                <w:szCs w:val="17"/>
              </w:rPr>
            </w:pPr>
            <w:r>
              <w:rPr>
                <w:spacing w:val="-1"/>
                <w:sz w:val="17"/>
                <w:szCs w:val="17"/>
              </w:rPr>
              <w:t>0.009582</w:t>
            </w:r>
          </w:p>
        </w:tc>
        <w:tc>
          <w:tcPr>
            <w:tcW w:w="1570" w:type="dxa"/>
            <w:tcBorders>
              <w:left w:val="single" w:color="000000" w:sz="4" w:space="0"/>
              <w:right w:val="single" w:color="000000" w:sz="4" w:space="0"/>
            </w:tcBorders>
            <w:vAlign w:val="top"/>
          </w:tcPr>
          <w:p w14:paraId="445855C0">
            <w:pPr>
              <w:pStyle w:val="6"/>
              <w:spacing w:before="90" w:line="183" w:lineRule="auto"/>
              <w:ind w:left="525"/>
              <w:rPr>
                <w:sz w:val="17"/>
                <w:szCs w:val="17"/>
              </w:rPr>
            </w:pPr>
            <w:r>
              <w:rPr>
                <w:spacing w:val="-2"/>
                <w:sz w:val="17"/>
                <w:szCs w:val="17"/>
              </w:rPr>
              <w:t>2582.9</w:t>
            </w:r>
          </w:p>
        </w:tc>
        <w:tc>
          <w:tcPr>
            <w:tcW w:w="1580" w:type="dxa"/>
            <w:tcBorders>
              <w:left w:val="single" w:color="000000" w:sz="4" w:space="0"/>
              <w:right w:val="single" w:color="000000" w:sz="4" w:space="0"/>
            </w:tcBorders>
            <w:vAlign w:val="top"/>
          </w:tcPr>
          <w:p w14:paraId="0E9487BA">
            <w:pPr>
              <w:pStyle w:val="6"/>
              <w:spacing w:before="130" w:line="183" w:lineRule="auto"/>
              <w:ind w:left="655"/>
              <w:rPr>
                <w:sz w:val="17"/>
                <w:szCs w:val="17"/>
              </w:rPr>
            </w:pPr>
            <w:r>
              <w:rPr>
                <w:spacing w:val="-3"/>
                <w:sz w:val="17"/>
                <w:szCs w:val="17"/>
              </w:rPr>
              <w:t>350</w:t>
            </w:r>
          </w:p>
        </w:tc>
        <w:tc>
          <w:tcPr>
            <w:tcW w:w="1570" w:type="dxa"/>
            <w:tcBorders>
              <w:left w:val="single" w:color="000000" w:sz="4" w:space="0"/>
              <w:right w:val="single" w:color="000000" w:sz="4" w:space="0"/>
            </w:tcBorders>
            <w:vAlign w:val="top"/>
          </w:tcPr>
          <w:p w14:paraId="7DD7335D">
            <w:pPr>
              <w:pStyle w:val="6"/>
              <w:spacing w:before="89" w:line="184" w:lineRule="auto"/>
              <w:ind w:left="525"/>
              <w:rPr>
                <w:sz w:val="17"/>
                <w:szCs w:val="17"/>
              </w:rPr>
            </w:pPr>
            <w:r>
              <w:rPr>
                <w:spacing w:val="-3"/>
                <w:sz w:val="17"/>
                <w:szCs w:val="17"/>
              </w:rPr>
              <w:t>16.537</w:t>
            </w:r>
          </w:p>
        </w:tc>
        <w:tc>
          <w:tcPr>
            <w:tcW w:w="1530" w:type="dxa"/>
            <w:tcBorders>
              <w:left w:val="single" w:color="000000" w:sz="4" w:space="0"/>
            </w:tcBorders>
            <w:vAlign w:val="top"/>
          </w:tcPr>
          <w:p w14:paraId="0E665931">
            <w:pPr>
              <w:pStyle w:val="6"/>
              <w:spacing w:before="99" w:line="184" w:lineRule="auto"/>
              <w:ind w:left="505"/>
              <w:rPr>
                <w:sz w:val="17"/>
                <w:szCs w:val="17"/>
              </w:rPr>
            </w:pPr>
            <w:r>
              <w:rPr>
                <w:spacing w:val="-2"/>
                <w:sz w:val="17"/>
                <w:szCs w:val="17"/>
              </w:rPr>
              <w:t>2566.1</w:t>
            </w:r>
          </w:p>
        </w:tc>
      </w:tr>
      <w:tr w14:paraId="718D1C1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5" w:hRule="atLeast"/>
        </w:trPr>
        <w:tc>
          <w:tcPr>
            <w:tcW w:w="1540" w:type="dxa"/>
            <w:tcBorders>
              <w:right w:val="single" w:color="000000" w:sz="4" w:space="0"/>
            </w:tcBorders>
            <w:vAlign w:val="top"/>
          </w:tcPr>
          <w:p w14:paraId="54DC45D3">
            <w:pPr>
              <w:pStyle w:val="6"/>
              <w:spacing w:before="111" w:line="183" w:lineRule="auto"/>
              <w:ind w:left="680"/>
              <w:rPr>
                <w:sz w:val="17"/>
                <w:szCs w:val="17"/>
              </w:rPr>
            </w:pPr>
            <w:r>
              <w:rPr>
                <w:spacing w:val="-3"/>
                <w:sz w:val="17"/>
                <w:szCs w:val="17"/>
              </w:rPr>
              <w:t>50</w:t>
            </w:r>
          </w:p>
        </w:tc>
        <w:tc>
          <w:tcPr>
            <w:tcW w:w="1580" w:type="dxa"/>
            <w:tcBorders>
              <w:left w:val="single" w:color="000000" w:sz="4" w:space="0"/>
              <w:right w:val="single" w:color="000000" w:sz="4" w:space="0"/>
            </w:tcBorders>
            <w:vAlign w:val="top"/>
          </w:tcPr>
          <w:p w14:paraId="15098245">
            <w:pPr>
              <w:pStyle w:val="6"/>
              <w:spacing w:before="100" w:line="184" w:lineRule="auto"/>
              <w:ind w:left="445"/>
              <w:rPr>
                <w:sz w:val="17"/>
                <w:szCs w:val="17"/>
              </w:rPr>
            </w:pPr>
            <w:r>
              <w:rPr>
                <w:spacing w:val="-1"/>
                <w:sz w:val="17"/>
                <w:szCs w:val="17"/>
              </w:rPr>
              <w:t>0.012335</w:t>
            </w:r>
          </w:p>
        </w:tc>
        <w:tc>
          <w:tcPr>
            <w:tcW w:w="1570" w:type="dxa"/>
            <w:tcBorders>
              <w:left w:val="single" w:color="000000" w:sz="4" w:space="0"/>
              <w:right w:val="single" w:color="000000" w:sz="4" w:space="0"/>
            </w:tcBorders>
            <w:vAlign w:val="top"/>
          </w:tcPr>
          <w:p w14:paraId="68A367E0">
            <w:pPr>
              <w:pStyle w:val="6"/>
              <w:spacing w:before="140" w:line="184" w:lineRule="auto"/>
              <w:ind w:left="525"/>
              <w:rPr>
                <w:sz w:val="17"/>
                <w:szCs w:val="17"/>
              </w:rPr>
            </w:pPr>
            <w:r>
              <w:rPr>
                <w:spacing w:val="-2"/>
                <w:sz w:val="17"/>
                <w:szCs w:val="17"/>
              </w:rPr>
              <w:t>2591.8</w:t>
            </w:r>
          </w:p>
        </w:tc>
        <w:tc>
          <w:tcPr>
            <w:tcW w:w="1580" w:type="dxa"/>
            <w:tcBorders>
              <w:left w:val="single" w:color="000000" w:sz="4" w:space="0"/>
              <w:right w:val="single" w:color="000000" w:sz="4" w:space="0"/>
            </w:tcBorders>
            <w:vAlign w:val="top"/>
          </w:tcPr>
          <w:p w14:paraId="02EA57EE">
            <w:pPr>
              <w:pStyle w:val="6"/>
              <w:spacing w:before="121" w:line="183" w:lineRule="auto"/>
              <w:ind w:left="655"/>
              <w:rPr>
                <w:sz w:val="17"/>
                <w:szCs w:val="17"/>
              </w:rPr>
            </w:pPr>
            <w:r>
              <w:rPr>
                <w:spacing w:val="-3"/>
                <w:sz w:val="17"/>
                <w:szCs w:val="17"/>
              </w:rPr>
              <w:t>360</w:t>
            </w:r>
          </w:p>
        </w:tc>
        <w:tc>
          <w:tcPr>
            <w:tcW w:w="1570" w:type="dxa"/>
            <w:tcBorders>
              <w:left w:val="single" w:color="000000" w:sz="4" w:space="0"/>
              <w:right w:val="single" w:color="000000" w:sz="4" w:space="0"/>
            </w:tcBorders>
            <w:vAlign w:val="top"/>
          </w:tcPr>
          <w:p w14:paraId="5C785E7A">
            <w:pPr>
              <w:pStyle w:val="6"/>
              <w:spacing w:before="100" w:line="184" w:lineRule="auto"/>
              <w:ind w:left="525"/>
              <w:rPr>
                <w:sz w:val="17"/>
                <w:szCs w:val="17"/>
              </w:rPr>
            </w:pPr>
            <w:r>
              <w:rPr>
                <w:spacing w:val="-3"/>
                <w:sz w:val="17"/>
                <w:szCs w:val="17"/>
              </w:rPr>
              <w:t>18.674</w:t>
            </w:r>
          </w:p>
        </w:tc>
        <w:tc>
          <w:tcPr>
            <w:tcW w:w="1530" w:type="dxa"/>
            <w:tcBorders>
              <w:left w:val="single" w:color="000000" w:sz="4" w:space="0"/>
            </w:tcBorders>
            <w:vAlign w:val="top"/>
          </w:tcPr>
          <w:p w14:paraId="34A3AAFB">
            <w:pPr>
              <w:pStyle w:val="6"/>
              <w:spacing w:before="111" w:line="183" w:lineRule="auto"/>
              <w:ind w:left="505"/>
              <w:rPr>
                <w:sz w:val="17"/>
                <w:szCs w:val="17"/>
              </w:rPr>
            </w:pPr>
            <w:r>
              <w:rPr>
                <w:spacing w:val="-2"/>
                <w:sz w:val="17"/>
                <w:szCs w:val="17"/>
              </w:rPr>
              <w:t>2485.7</w:t>
            </w:r>
          </w:p>
        </w:tc>
      </w:tr>
      <w:tr w14:paraId="42ECD5D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20" w:hRule="atLeast"/>
        </w:trPr>
        <w:tc>
          <w:tcPr>
            <w:tcW w:w="1540" w:type="dxa"/>
            <w:tcBorders>
              <w:right w:val="single" w:color="000000" w:sz="4" w:space="0"/>
            </w:tcBorders>
            <w:vAlign w:val="top"/>
          </w:tcPr>
          <w:p w14:paraId="08037C0C">
            <w:pPr>
              <w:pStyle w:val="6"/>
              <w:spacing w:before="107" w:line="182" w:lineRule="auto"/>
              <w:ind w:left="680"/>
              <w:rPr>
                <w:sz w:val="17"/>
                <w:szCs w:val="17"/>
              </w:rPr>
            </w:pPr>
            <w:r>
              <w:rPr>
                <w:spacing w:val="-3"/>
                <w:sz w:val="17"/>
                <w:szCs w:val="17"/>
              </w:rPr>
              <w:t>55</w:t>
            </w:r>
          </w:p>
        </w:tc>
        <w:tc>
          <w:tcPr>
            <w:tcW w:w="1580" w:type="dxa"/>
            <w:tcBorders>
              <w:left w:val="single" w:color="000000" w:sz="4" w:space="0"/>
              <w:right w:val="single" w:color="000000" w:sz="4" w:space="0"/>
            </w:tcBorders>
            <w:vAlign w:val="top"/>
          </w:tcPr>
          <w:p w14:paraId="320B2D5F">
            <w:pPr>
              <w:pStyle w:val="6"/>
              <w:spacing w:before="105" w:line="184" w:lineRule="auto"/>
              <w:ind w:left="445"/>
              <w:rPr>
                <w:sz w:val="17"/>
                <w:szCs w:val="17"/>
              </w:rPr>
            </w:pPr>
            <w:r>
              <w:rPr>
                <w:spacing w:val="-1"/>
                <w:sz w:val="17"/>
                <w:szCs w:val="17"/>
              </w:rPr>
              <w:t>0.015740</w:t>
            </w:r>
          </w:p>
        </w:tc>
        <w:tc>
          <w:tcPr>
            <w:tcW w:w="1570" w:type="dxa"/>
            <w:tcBorders>
              <w:left w:val="single" w:color="000000" w:sz="4" w:space="0"/>
              <w:right w:val="single" w:color="000000" w:sz="4" w:space="0"/>
            </w:tcBorders>
            <w:vAlign w:val="top"/>
          </w:tcPr>
          <w:p w14:paraId="78C5CAC4">
            <w:pPr>
              <w:pStyle w:val="6"/>
              <w:spacing w:before="96" w:line="183" w:lineRule="auto"/>
              <w:ind w:left="525"/>
              <w:rPr>
                <w:sz w:val="17"/>
                <w:szCs w:val="17"/>
              </w:rPr>
            </w:pPr>
            <w:r>
              <w:rPr>
                <w:spacing w:val="-2"/>
                <w:sz w:val="17"/>
                <w:szCs w:val="17"/>
              </w:rPr>
              <w:t>2600.7</w:t>
            </w:r>
          </w:p>
        </w:tc>
        <w:tc>
          <w:tcPr>
            <w:tcW w:w="1580" w:type="dxa"/>
            <w:tcBorders>
              <w:left w:val="single" w:color="000000" w:sz="4" w:space="0"/>
              <w:right w:val="single" w:color="000000" w:sz="4" w:space="0"/>
            </w:tcBorders>
            <w:vAlign w:val="top"/>
          </w:tcPr>
          <w:p w14:paraId="7905E002">
            <w:pPr>
              <w:pStyle w:val="6"/>
              <w:spacing w:before="106" w:line="183" w:lineRule="auto"/>
              <w:ind w:left="655"/>
              <w:rPr>
                <w:sz w:val="17"/>
                <w:szCs w:val="17"/>
              </w:rPr>
            </w:pPr>
            <w:r>
              <w:rPr>
                <w:spacing w:val="-3"/>
                <w:sz w:val="17"/>
                <w:szCs w:val="17"/>
              </w:rPr>
              <w:t>370</w:t>
            </w:r>
          </w:p>
        </w:tc>
        <w:tc>
          <w:tcPr>
            <w:tcW w:w="1570" w:type="dxa"/>
            <w:tcBorders>
              <w:left w:val="single" w:color="000000" w:sz="4" w:space="0"/>
              <w:right w:val="single" w:color="000000" w:sz="4" w:space="0"/>
            </w:tcBorders>
            <w:vAlign w:val="top"/>
          </w:tcPr>
          <w:p w14:paraId="331E67D4">
            <w:pPr>
              <w:pStyle w:val="6"/>
              <w:spacing w:before="95" w:line="184" w:lineRule="auto"/>
              <w:ind w:left="525"/>
              <w:rPr>
                <w:sz w:val="17"/>
                <w:szCs w:val="17"/>
              </w:rPr>
            </w:pPr>
            <w:r>
              <w:rPr>
                <w:spacing w:val="-2"/>
                <w:sz w:val="17"/>
                <w:szCs w:val="17"/>
              </w:rPr>
              <w:t>21.053</w:t>
            </w:r>
          </w:p>
        </w:tc>
        <w:tc>
          <w:tcPr>
            <w:tcW w:w="1530" w:type="dxa"/>
            <w:tcBorders>
              <w:left w:val="single" w:color="000000" w:sz="4" w:space="0"/>
            </w:tcBorders>
            <w:vAlign w:val="top"/>
          </w:tcPr>
          <w:p w14:paraId="5182CCE2">
            <w:pPr>
              <w:pStyle w:val="6"/>
              <w:spacing w:before="106" w:line="183" w:lineRule="auto"/>
              <w:ind w:left="505"/>
              <w:rPr>
                <w:sz w:val="17"/>
                <w:szCs w:val="17"/>
              </w:rPr>
            </w:pPr>
            <w:r>
              <w:rPr>
                <w:spacing w:val="-2"/>
                <w:sz w:val="17"/>
                <w:szCs w:val="17"/>
              </w:rPr>
              <w:t>2335.7</w:t>
            </w:r>
          </w:p>
        </w:tc>
      </w:tr>
      <w:tr w14:paraId="49A0B09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0" w:hRule="atLeast"/>
        </w:trPr>
        <w:tc>
          <w:tcPr>
            <w:tcW w:w="1540" w:type="dxa"/>
            <w:tcBorders>
              <w:right w:val="single" w:color="000000" w:sz="4" w:space="0"/>
            </w:tcBorders>
            <w:vAlign w:val="top"/>
          </w:tcPr>
          <w:p w14:paraId="3D609A5E">
            <w:pPr>
              <w:pStyle w:val="6"/>
              <w:spacing w:before="116" w:line="183" w:lineRule="auto"/>
              <w:ind w:left="680"/>
              <w:rPr>
                <w:sz w:val="17"/>
                <w:szCs w:val="17"/>
              </w:rPr>
            </w:pPr>
            <w:r>
              <w:rPr>
                <w:spacing w:val="-2"/>
                <w:sz w:val="17"/>
                <w:szCs w:val="17"/>
              </w:rPr>
              <w:t>60</w:t>
            </w:r>
          </w:p>
        </w:tc>
        <w:tc>
          <w:tcPr>
            <w:tcW w:w="1580" w:type="dxa"/>
            <w:tcBorders>
              <w:left w:val="single" w:color="000000" w:sz="4" w:space="0"/>
              <w:right w:val="single" w:color="000000" w:sz="4" w:space="0"/>
            </w:tcBorders>
            <w:vAlign w:val="top"/>
          </w:tcPr>
          <w:p w14:paraId="5F1FF431">
            <w:pPr>
              <w:pStyle w:val="6"/>
              <w:spacing w:before="115" w:line="184" w:lineRule="auto"/>
              <w:ind w:left="445"/>
              <w:rPr>
                <w:sz w:val="17"/>
                <w:szCs w:val="17"/>
              </w:rPr>
            </w:pPr>
            <w:r>
              <w:rPr>
                <w:spacing w:val="-1"/>
                <w:sz w:val="17"/>
                <w:szCs w:val="17"/>
              </w:rPr>
              <w:t>0.019919</w:t>
            </w:r>
          </w:p>
        </w:tc>
        <w:tc>
          <w:tcPr>
            <w:tcW w:w="1570" w:type="dxa"/>
            <w:tcBorders>
              <w:left w:val="single" w:color="000000" w:sz="4" w:space="0"/>
              <w:right w:val="single" w:color="000000" w:sz="4" w:space="0"/>
            </w:tcBorders>
            <w:vAlign w:val="top"/>
          </w:tcPr>
          <w:p w14:paraId="6F203408">
            <w:pPr>
              <w:pStyle w:val="6"/>
              <w:spacing w:before="126" w:line="183" w:lineRule="auto"/>
              <w:ind w:left="525"/>
              <w:rPr>
                <w:sz w:val="17"/>
                <w:szCs w:val="17"/>
              </w:rPr>
            </w:pPr>
            <w:r>
              <w:rPr>
                <w:spacing w:val="-2"/>
                <w:sz w:val="17"/>
                <w:szCs w:val="17"/>
              </w:rPr>
              <w:t>2609.5</w:t>
            </w:r>
          </w:p>
        </w:tc>
        <w:tc>
          <w:tcPr>
            <w:tcW w:w="1580" w:type="dxa"/>
            <w:tcBorders>
              <w:left w:val="single" w:color="000000" w:sz="4" w:space="0"/>
              <w:right w:val="single" w:color="000000" w:sz="4" w:space="0"/>
            </w:tcBorders>
            <w:vAlign w:val="top"/>
          </w:tcPr>
          <w:p w14:paraId="1BB20FEA">
            <w:pPr>
              <w:pStyle w:val="6"/>
              <w:spacing w:before="125" w:line="184" w:lineRule="auto"/>
              <w:ind w:left="655"/>
              <w:rPr>
                <w:sz w:val="17"/>
                <w:szCs w:val="17"/>
              </w:rPr>
            </w:pPr>
            <w:r>
              <w:rPr>
                <w:spacing w:val="-3"/>
                <w:sz w:val="17"/>
                <w:szCs w:val="17"/>
              </w:rPr>
              <w:t>371</w:t>
            </w:r>
          </w:p>
        </w:tc>
        <w:tc>
          <w:tcPr>
            <w:tcW w:w="1570" w:type="dxa"/>
            <w:tcBorders>
              <w:left w:val="single" w:color="000000" w:sz="4" w:space="0"/>
              <w:right w:val="single" w:color="000000" w:sz="4" w:space="0"/>
            </w:tcBorders>
            <w:vAlign w:val="top"/>
          </w:tcPr>
          <w:p w14:paraId="66EC6394">
            <w:pPr>
              <w:pStyle w:val="6"/>
              <w:spacing w:before="125" w:line="184" w:lineRule="auto"/>
              <w:ind w:left="525"/>
              <w:rPr>
                <w:sz w:val="17"/>
                <w:szCs w:val="17"/>
              </w:rPr>
            </w:pPr>
            <w:r>
              <w:rPr>
                <w:spacing w:val="-2"/>
                <w:sz w:val="17"/>
                <w:szCs w:val="17"/>
              </w:rPr>
              <w:t>21.306</w:t>
            </w:r>
          </w:p>
        </w:tc>
        <w:tc>
          <w:tcPr>
            <w:tcW w:w="1530" w:type="dxa"/>
            <w:tcBorders>
              <w:left w:val="single" w:color="000000" w:sz="4" w:space="0"/>
            </w:tcBorders>
            <w:vAlign w:val="top"/>
          </w:tcPr>
          <w:p w14:paraId="1081ACC2">
            <w:pPr>
              <w:pStyle w:val="6"/>
              <w:spacing w:before="115" w:line="184" w:lineRule="auto"/>
              <w:ind w:left="505"/>
              <w:rPr>
                <w:sz w:val="17"/>
                <w:szCs w:val="17"/>
              </w:rPr>
            </w:pPr>
            <w:r>
              <w:rPr>
                <w:spacing w:val="-2"/>
                <w:sz w:val="17"/>
                <w:szCs w:val="17"/>
              </w:rPr>
              <w:t>2310.7</w:t>
            </w:r>
          </w:p>
        </w:tc>
      </w:tr>
      <w:tr w14:paraId="7F85543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40" w:hRule="atLeast"/>
        </w:trPr>
        <w:tc>
          <w:tcPr>
            <w:tcW w:w="1540" w:type="dxa"/>
            <w:tcBorders>
              <w:right w:val="single" w:color="000000" w:sz="4" w:space="0"/>
            </w:tcBorders>
            <w:vAlign w:val="top"/>
          </w:tcPr>
          <w:p w14:paraId="702111B9">
            <w:pPr>
              <w:pStyle w:val="6"/>
              <w:spacing w:before="116" w:line="183" w:lineRule="auto"/>
              <w:ind w:left="680"/>
              <w:rPr>
                <w:sz w:val="17"/>
                <w:szCs w:val="17"/>
              </w:rPr>
            </w:pPr>
            <w:r>
              <w:rPr>
                <w:spacing w:val="-2"/>
                <w:sz w:val="17"/>
                <w:szCs w:val="17"/>
              </w:rPr>
              <w:t>65</w:t>
            </w:r>
          </w:p>
        </w:tc>
        <w:tc>
          <w:tcPr>
            <w:tcW w:w="1580" w:type="dxa"/>
            <w:tcBorders>
              <w:left w:val="single" w:color="000000" w:sz="4" w:space="0"/>
              <w:right w:val="single" w:color="000000" w:sz="4" w:space="0"/>
            </w:tcBorders>
            <w:vAlign w:val="top"/>
          </w:tcPr>
          <w:p w14:paraId="463A130C">
            <w:pPr>
              <w:pStyle w:val="6"/>
              <w:spacing w:before="116" w:line="183" w:lineRule="auto"/>
              <w:ind w:left="445"/>
              <w:rPr>
                <w:sz w:val="17"/>
                <w:szCs w:val="17"/>
              </w:rPr>
            </w:pPr>
            <w:r>
              <w:rPr>
                <w:spacing w:val="-1"/>
                <w:sz w:val="17"/>
                <w:szCs w:val="17"/>
              </w:rPr>
              <w:t>0.025008</w:t>
            </w:r>
          </w:p>
        </w:tc>
        <w:tc>
          <w:tcPr>
            <w:tcW w:w="1570" w:type="dxa"/>
            <w:tcBorders>
              <w:left w:val="single" w:color="000000" w:sz="4" w:space="0"/>
              <w:right w:val="single" w:color="000000" w:sz="4" w:space="0"/>
            </w:tcBorders>
            <w:vAlign w:val="top"/>
          </w:tcPr>
          <w:p w14:paraId="4BCF07D2">
            <w:pPr>
              <w:pStyle w:val="6"/>
              <w:spacing w:before="125" w:line="184" w:lineRule="auto"/>
              <w:ind w:left="525"/>
              <w:rPr>
                <w:sz w:val="17"/>
                <w:szCs w:val="17"/>
              </w:rPr>
            </w:pPr>
            <w:r>
              <w:rPr>
                <w:spacing w:val="-2"/>
                <w:sz w:val="17"/>
                <w:szCs w:val="17"/>
              </w:rPr>
              <w:t>2618.2</w:t>
            </w:r>
          </w:p>
        </w:tc>
        <w:tc>
          <w:tcPr>
            <w:tcW w:w="1580" w:type="dxa"/>
            <w:tcBorders>
              <w:left w:val="single" w:color="000000" w:sz="4" w:space="0"/>
              <w:right w:val="single" w:color="000000" w:sz="4" w:space="0"/>
            </w:tcBorders>
            <w:vAlign w:val="top"/>
          </w:tcPr>
          <w:p w14:paraId="2638D715">
            <w:pPr>
              <w:pStyle w:val="6"/>
              <w:spacing w:before="116" w:line="183" w:lineRule="auto"/>
              <w:ind w:left="655"/>
              <w:rPr>
                <w:sz w:val="17"/>
                <w:szCs w:val="17"/>
              </w:rPr>
            </w:pPr>
            <w:r>
              <w:rPr>
                <w:spacing w:val="-3"/>
                <w:sz w:val="17"/>
                <w:szCs w:val="17"/>
              </w:rPr>
              <w:t>372</w:t>
            </w:r>
          </w:p>
        </w:tc>
        <w:tc>
          <w:tcPr>
            <w:tcW w:w="1570" w:type="dxa"/>
            <w:tcBorders>
              <w:left w:val="single" w:color="000000" w:sz="4" w:space="0"/>
              <w:right w:val="single" w:color="000000" w:sz="4" w:space="0"/>
            </w:tcBorders>
            <w:vAlign w:val="top"/>
          </w:tcPr>
          <w:p w14:paraId="79FF5266">
            <w:pPr>
              <w:pStyle w:val="6"/>
              <w:spacing w:before="105" w:line="184" w:lineRule="auto"/>
              <w:ind w:left="525"/>
              <w:rPr>
                <w:sz w:val="17"/>
                <w:szCs w:val="17"/>
              </w:rPr>
            </w:pPr>
            <w:r>
              <w:rPr>
                <w:spacing w:val="-2"/>
                <w:sz w:val="17"/>
                <w:szCs w:val="17"/>
              </w:rPr>
              <w:t>21.562</w:t>
            </w:r>
          </w:p>
        </w:tc>
        <w:tc>
          <w:tcPr>
            <w:tcW w:w="1530" w:type="dxa"/>
            <w:tcBorders>
              <w:left w:val="single" w:color="000000" w:sz="4" w:space="0"/>
            </w:tcBorders>
            <w:vAlign w:val="top"/>
          </w:tcPr>
          <w:p w14:paraId="5C1EA147">
            <w:pPr>
              <w:pStyle w:val="6"/>
              <w:spacing w:before="135" w:line="184" w:lineRule="auto"/>
              <w:ind w:left="505"/>
              <w:rPr>
                <w:sz w:val="17"/>
                <w:szCs w:val="17"/>
              </w:rPr>
            </w:pPr>
            <w:r>
              <w:rPr>
                <w:spacing w:val="-2"/>
                <w:sz w:val="17"/>
                <w:szCs w:val="17"/>
              </w:rPr>
              <w:t>2280.1</w:t>
            </w:r>
          </w:p>
        </w:tc>
      </w:tr>
      <w:tr w14:paraId="1A3BEAB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20" w:hRule="atLeast"/>
        </w:trPr>
        <w:tc>
          <w:tcPr>
            <w:tcW w:w="1540" w:type="dxa"/>
            <w:tcBorders>
              <w:right w:val="single" w:color="000000" w:sz="4" w:space="0"/>
            </w:tcBorders>
            <w:vAlign w:val="top"/>
          </w:tcPr>
          <w:p w14:paraId="1FFC205C">
            <w:pPr>
              <w:pStyle w:val="6"/>
              <w:spacing w:before="106" w:line="183" w:lineRule="auto"/>
              <w:ind w:left="680"/>
              <w:rPr>
                <w:sz w:val="17"/>
                <w:szCs w:val="17"/>
              </w:rPr>
            </w:pPr>
            <w:r>
              <w:rPr>
                <w:spacing w:val="-3"/>
                <w:sz w:val="17"/>
                <w:szCs w:val="17"/>
              </w:rPr>
              <w:t>70</w:t>
            </w:r>
          </w:p>
        </w:tc>
        <w:tc>
          <w:tcPr>
            <w:tcW w:w="1580" w:type="dxa"/>
            <w:tcBorders>
              <w:left w:val="single" w:color="000000" w:sz="4" w:space="0"/>
              <w:right w:val="single" w:color="000000" w:sz="4" w:space="0"/>
            </w:tcBorders>
            <w:vAlign w:val="top"/>
          </w:tcPr>
          <w:p w14:paraId="445D8923">
            <w:pPr>
              <w:pStyle w:val="6"/>
              <w:spacing w:before="116" w:line="184" w:lineRule="auto"/>
              <w:ind w:left="445"/>
              <w:rPr>
                <w:sz w:val="17"/>
                <w:szCs w:val="17"/>
              </w:rPr>
            </w:pPr>
            <w:r>
              <w:rPr>
                <w:spacing w:val="-1"/>
                <w:sz w:val="17"/>
                <w:szCs w:val="17"/>
              </w:rPr>
              <w:t>0.031161</w:t>
            </w:r>
          </w:p>
        </w:tc>
        <w:tc>
          <w:tcPr>
            <w:tcW w:w="1570" w:type="dxa"/>
            <w:tcBorders>
              <w:left w:val="single" w:color="000000" w:sz="4" w:space="0"/>
              <w:right w:val="single" w:color="000000" w:sz="4" w:space="0"/>
            </w:tcBorders>
            <w:vAlign w:val="top"/>
          </w:tcPr>
          <w:p w14:paraId="16795311">
            <w:pPr>
              <w:pStyle w:val="6"/>
              <w:spacing w:before="116" w:line="183" w:lineRule="auto"/>
              <w:ind w:left="525"/>
              <w:rPr>
                <w:sz w:val="17"/>
                <w:szCs w:val="17"/>
              </w:rPr>
            </w:pPr>
            <w:r>
              <w:rPr>
                <w:spacing w:val="-2"/>
                <w:sz w:val="17"/>
                <w:szCs w:val="17"/>
              </w:rPr>
              <w:t>2626.8</w:t>
            </w:r>
          </w:p>
        </w:tc>
        <w:tc>
          <w:tcPr>
            <w:tcW w:w="1580" w:type="dxa"/>
            <w:tcBorders>
              <w:left w:val="single" w:color="000000" w:sz="4" w:space="0"/>
              <w:right w:val="single" w:color="000000" w:sz="4" w:space="0"/>
            </w:tcBorders>
            <w:vAlign w:val="top"/>
          </w:tcPr>
          <w:p w14:paraId="43F95AD1">
            <w:pPr>
              <w:pStyle w:val="6"/>
              <w:spacing w:before="116" w:line="183" w:lineRule="auto"/>
              <w:ind w:left="655"/>
              <w:rPr>
                <w:sz w:val="17"/>
                <w:szCs w:val="17"/>
              </w:rPr>
            </w:pPr>
            <w:r>
              <w:rPr>
                <w:spacing w:val="-3"/>
                <w:sz w:val="17"/>
                <w:szCs w:val="17"/>
              </w:rPr>
              <w:t>373</w:t>
            </w:r>
          </w:p>
        </w:tc>
        <w:tc>
          <w:tcPr>
            <w:tcW w:w="1570" w:type="dxa"/>
            <w:tcBorders>
              <w:left w:val="single" w:color="000000" w:sz="4" w:space="0"/>
              <w:right w:val="single" w:color="000000" w:sz="4" w:space="0"/>
            </w:tcBorders>
            <w:vAlign w:val="top"/>
          </w:tcPr>
          <w:p w14:paraId="2C3297A9">
            <w:pPr>
              <w:pStyle w:val="6"/>
              <w:spacing w:before="116" w:line="184" w:lineRule="auto"/>
              <w:ind w:left="525"/>
              <w:rPr>
                <w:sz w:val="17"/>
                <w:szCs w:val="17"/>
              </w:rPr>
            </w:pPr>
            <w:r>
              <w:rPr>
                <w:spacing w:val="-2"/>
                <w:sz w:val="17"/>
                <w:szCs w:val="17"/>
              </w:rPr>
              <w:t>21.821</w:t>
            </w:r>
          </w:p>
        </w:tc>
        <w:tc>
          <w:tcPr>
            <w:tcW w:w="1530" w:type="dxa"/>
            <w:tcBorders>
              <w:left w:val="single" w:color="000000" w:sz="4" w:space="0"/>
            </w:tcBorders>
            <w:vAlign w:val="top"/>
          </w:tcPr>
          <w:p w14:paraId="5F82684B">
            <w:pPr>
              <w:pStyle w:val="6"/>
              <w:spacing w:before="126" w:line="183" w:lineRule="auto"/>
              <w:ind w:left="505"/>
              <w:rPr>
                <w:sz w:val="17"/>
                <w:szCs w:val="17"/>
              </w:rPr>
            </w:pPr>
            <w:r>
              <w:rPr>
                <w:spacing w:val="-2"/>
                <w:sz w:val="17"/>
                <w:szCs w:val="17"/>
              </w:rPr>
              <w:t>2238.3</w:t>
            </w:r>
          </w:p>
        </w:tc>
      </w:tr>
      <w:tr w14:paraId="6002F97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90" w:hRule="atLeast"/>
        </w:trPr>
        <w:tc>
          <w:tcPr>
            <w:tcW w:w="1540" w:type="dxa"/>
            <w:tcBorders>
              <w:bottom w:val="single" w:color="000000" w:sz="4" w:space="0"/>
              <w:right w:val="single" w:color="000000" w:sz="4" w:space="0"/>
            </w:tcBorders>
            <w:vAlign w:val="top"/>
          </w:tcPr>
          <w:p w14:paraId="51E744A4">
            <w:pPr>
              <w:pStyle w:val="6"/>
              <w:spacing w:before="117" w:line="176" w:lineRule="auto"/>
              <w:ind w:left="680"/>
              <w:rPr>
                <w:sz w:val="17"/>
                <w:szCs w:val="17"/>
              </w:rPr>
            </w:pPr>
            <w:r>
              <w:rPr>
                <w:spacing w:val="-3"/>
                <w:sz w:val="17"/>
                <w:szCs w:val="17"/>
              </w:rPr>
              <w:t>75</w:t>
            </w:r>
          </w:p>
        </w:tc>
        <w:tc>
          <w:tcPr>
            <w:tcW w:w="1580" w:type="dxa"/>
            <w:tcBorders>
              <w:left w:val="single" w:color="000000" w:sz="4" w:space="0"/>
              <w:bottom w:val="single" w:color="000000" w:sz="4" w:space="0"/>
              <w:right w:val="single" w:color="000000" w:sz="4" w:space="0"/>
            </w:tcBorders>
            <w:vAlign w:val="top"/>
          </w:tcPr>
          <w:p w14:paraId="61F7AB73">
            <w:pPr>
              <w:pStyle w:val="6"/>
              <w:spacing w:before="117" w:line="177" w:lineRule="auto"/>
              <w:ind w:left="445"/>
              <w:rPr>
                <w:sz w:val="17"/>
                <w:szCs w:val="17"/>
              </w:rPr>
            </w:pPr>
            <w:r>
              <w:rPr>
                <w:spacing w:val="-1"/>
                <w:sz w:val="17"/>
                <w:szCs w:val="17"/>
              </w:rPr>
              <w:t>0.038548</w:t>
            </w:r>
          </w:p>
        </w:tc>
        <w:tc>
          <w:tcPr>
            <w:tcW w:w="1570" w:type="dxa"/>
            <w:tcBorders>
              <w:left w:val="single" w:color="000000" w:sz="4" w:space="0"/>
              <w:bottom w:val="single" w:color="000000" w:sz="4" w:space="0"/>
              <w:right w:val="single" w:color="000000" w:sz="4" w:space="0"/>
            </w:tcBorders>
            <w:vAlign w:val="top"/>
          </w:tcPr>
          <w:p w14:paraId="78749E81">
            <w:pPr>
              <w:pStyle w:val="6"/>
              <w:spacing w:before="96" w:line="183" w:lineRule="auto"/>
              <w:ind w:left="525"/>
              <w:rPr>
                <w:sz w:val="17"/>
                <w:szCs w:val="17"/>
              </w:rPr>
            </w:pPr>
            <w:r>
              <w:rPr>
                <w:spacing w:val="-2"/>
                <w:sz w:val="17"/>
                <w:szCs w:val="17"/>
              </w:rPr>
              <w:t>2635.3</w:t>
            </w:r>
          </w:p>
        </w:tc>
        <w:tc>
          <w:tcPr>
            <w:tcW w:w="1580" w:type="dxa"/>
            <w:tcBorders>
              <w:left w:val="single" w:color="000000" w:sz="4" w:space="0"/>
              <w:bottom w:val="single" w:color="000000" w:sz="4" w:space="0"/>
              <w:right w:val="single" w:color="000000" w:sz="4" w:space="0"/>
            </w:tcBorders>
            <w:vAlign w:val="top"/>
          </w:tcPr>
          <w:p w14:paraId="1621E65D">
            <w:pPr>
              <w:pStyle w:val="6"/>
              <w:spacing w:before="117" w:line="177" w:lineRule="auto"/>
              <w:ind w:left="655"/>
              <w:rPr>
                <w:sz w:val="17"/>
                <w:szCs w:val="17"/>
              </w:rPr>
            </w:pPr>
            <w:r>
              <w:rPr>
                <w:spacing w:val="-3"/>
                <w:sz w:val="17"/>
                <w:szCs w:val="17"/>
              </w:rPr>
              <w:t>374</w:t>
            </w:r>
          </w:p>
        </w:tc>
        <w:tc>
          <w:tcPr>
            <w:tcW w:w="1570" w:type="dxa"/>
            <w:tcBorders>
              <w:left w:val="single" w:color="000000" w:sz="4" w:space="0"/>
              <w:bottom w:val="single" w:color="000000" w:sz="4" w:space="0"/>
              <w:right w:val="single" w:color="000000" w:sz="4" w:space="0"/>
            </w:tcBorders>
            <w:vAlign w:val="top"/>
          </w:tcPr>
          <w:p w14:paraId="5D049DF8">
            <w:pPr>
              <w:pStyle w:val="6"/>
              <w:spacing w:before="106" w:line="183" w:lineRule="auto"/>
              <w:ind w:left="525"/>
              <w:rPr>
                <w:sz w:val="17"/>
                <w:szCs w:val="17"/>
              </w:rPr>
            </w:pPr>
            <w:r>
              <w:rPr>
                <w:spacing w:val="-2"/>
                <w:sz w:val="17"/>
                <w:szCs w:val="17"/>
              </w:rPr>
              <w:t>22.084</w:t>
            </w:r>
          </w:p>
        </w:tc>
        <w:tc>
          <w:tcPr>
            <w:tcW w:w="1530" w:type="dxa"/>
            <w:tcBorders>
              <w:left w:val="single" w:color="000000" w:sz="4" w:space="0"/>
              <w:bottom w:val="single" w:color="000000" w:sz="4" w:space="0"/>
            </w:tcBorders>
            <w:vAlign w:val="top"/>
          </w:tcPr>
          <w:p w14:paraId="381E1B64">
            <w:pPr>
              <w:pStyle w:val="6"/>
              <w:spacing w:before="116" w:line="178" w:lineRule="auto"/>
              <w:ind w:left="505"/>
              <w:rPr>
                <w:sz w:val="17"/>
                <w:szCs w:val="17"/>
              </w:rPr>
            </w:pPr>
            <w:r>
              <w:rPr>
                <w:spacing w:val="-2"/>
                <w:sz w:val="17"/>
                <w:szCs w:val="17"/>
              </w:rPr>
              <w:t>2150.7</w:t>
            </w:r>
          </w:p>
        </w:tc>
      </w:tr>
    </w:tbl>
    <w:p w14:paraId="611EFD56">
      <w:pPr>
        <w:pStyle w:val="2"/>
      </w:pPr>
    </w:p>
    <w:p w14:paraId="54791930">
      <w:pPr>
        <w:sectPr>
          <w:headerReference r:id="rId79" w:type="default"/>
          <w:pgSz w:w="11910" w:h="16840"/>
          <w:pgMar w:top="1109" w:right="1249" w:bottom="400" w:left="1239" w:header="867" w:footer="0" w:gutter="0"/>
          <w:cols w:space="720" w:num="1"/>
        </w:sectPr>
      </w:pPr>
    </w:p>
    <w:p w14:paraId="21670ADA">
      <w:pPr>
        <w:pStyle w:val="2"/>
        <w:spacing w:line="412" w:lineRule="auto"/>
      </w:pPr>
    </w:p>
    <w:p w14:paraId="4E10749C">
      <w:pPr>
        <w:spacing w:before="61" w:line="212" w:lineRule="auto"/>
        <w:ind w:left="3630"/>
        <w:rPr>
          <w:rFonts w:ascii="宋体" w:hAnsi="宋体" w:eastAsia="宋体" w:cs="宋体"/>
          <w:sz w:val="19"/>
          <w:szCs w:val="19"/>
        </w:rPr>
      </w:pPr>
      <w:r>
        <w:drawing>
          <wp:anchor distT="0" distB="0" distL="0" distR="0" simplePos="0" relativeHeight="251758592" behindDoc="0" locked="0" layoutInCell="1" allowOverlap="1">
            <wp:simplePos x="0" y="0"/>
            <wp:positionH relativeFrom="column">
              <wp:posOffset>0</wp:posOffset>
            </wp:positionH>
            <wp:positionV relativeFrom="paragraph">
              <wp:posOffset>141605</wp:posOffset>
            </wp:positionV>
            <wp:extent cx="5965825" cy="17780"/>
            <wp:effectExtent l="0" t="0" r="0" b="0"/>
            <wp:wrapNone/>
            <wp:docPr id="132" name="IM 132"/>
            <wp:cNvGraphicFramePr/>
            <a:graphic xmlns:a="http://schemas.openxmlformats.org/drawingml/2006/main">
              <a:graphicData uri="http://schemas.openxmlformats.org/drawingml/2006/picture">
                <pic:pic xmlns:pic="http://schemas.openxmlformats.org/drawingml/2006/picture">
                  <pic:nvPicPr>
                    <pic:cNvPr id="132" name="IM 132"/>
                    <pic:cNvPicPr/>
                  </pic:nvPicPr>
                  <pic:blipFill>
                    <a:blip r:embed="rId100"/>
                    <a:stretch>
                      <a:fillRect/>
                    </a:stretch>
                  </pic:blipFill>
                  <pic:spPr>
                    <a:xfrm>
                      <a:off x="0" y="0"/>
                      <a:ext cx="5965958" cy="18078"/>
                    </a:xfrm>
                    <a:prstGeom prst="rect">
                      <a:avLst/>
                    </a:prstGeom>
                  </pic:spPr>
                </pic:pic>
              </a:graphicData>
            </a:graphic>
          </wp:anchor>
        </w:drawing>
      </w:r>
      <w:bookmarkStart w:id="25" w:name="bookmark34"/>
      <w:bookmarkEnd w:id="25"/>
      <w:r>
        <w:rPr>
          <w:rFonts w:ascii="宋体" w:hAnsi="宋体" w:eastAsia="宋体" w:cs="宋体"/>
          <w:spacing w:val="-5"/>
          <w:sz w:val="17"/>
          <w:szCs w:val="17"/>
        </w:rPr>
        <w:t>福 建</w:t>
      </w:r>
      <w:r>
        <w:rPr>
          <w:rFonts w:ascii="宋体" w:hAnsi="宋体" w:eastAsia="宋体" w:cs="宋体"/>
          <w:spacing w:val="19"/>
          <w:sz w:val="17"/>
          <w:szCs w:val="17"/>
        </w:rPr>
        <w:t xml:space="preserve"> </w:t>
      </w:r>
      <w:r>
        <w:rPr>
          <w:rFonts w:ascii="宋体" w:hAnsi="宋体" w:eastAsia="宋体" w:cs="宋体"/>
          <w:spacing w:val="-5"/>
          <w:sz w:val="17"/>
          <w:szCs w:val="17"/>
        </w:rPr>
        <w:t>省</w:t>
      </w:r>
      <w:r>
        <w:rPr>
          <w:rFonts w:ascii="宋体" w:hAnsi="宋体" w:eastAsia="宋体" w:cs="宋体"/>
          <w:spacing w:val="16"/>
          <w:sz w:val="17"/>
          <w:szCs w:val="17"/>
        </w:rPr>
        <w:t xml:space="preserve"> </w:t>
      </w:r>
      <w:r>
        <w:rPr>
          <w:rFonts w:ascii="宋体" w:hAnsi="宋体" w:eastAsia="宋体" w:cs="宋体"/>
          <w:spacing w:val="-5"/>
          <w:sz w:val="17"/>
          <w:szCs w:val="17"/>
        </w:rPr>
        <w:t>能</w:t>
      </w:r>
      <w:r>
        <w:rPr>
          <w:rFonts w:ascii="宋体" w:hAnsi="宋体" w:eastAsia="宋体" w:cs="宋体"/>
          <w:spacing w:val="9"/>
          <w:sz w:val="17"/>
          <w:szCs w:val="17"/>
        </w:rPr>
        <w:t xml:space="preserve"> </w:t>
      </w:r>
      <w:r>
        <w:rPr>
          <w:rFonts w:ascii="宋体" w:hAnsi="宋体" w:eastAsia="宋体" w:cs="宋体"/>
          <w:spacing w:val="-5"/>
          <w:sz w:val="17"/>
          <w:szCs w:val="17"/>
        </w:rPr>
        <w:t>源</w:t>
      </w:r>
      <w:r>
        <w:rPr>
          <w:rFonts w:ascii="宋体" w:hAnsi="宋体" w:eastAsia="宋体" w:cs="宋体"/>
          <w:spacing w:val="10"/>
          <w:sz w:val="17"/>
          <w:szCs w:val="17"/>
        </w:rPr>
        <w:t xml:space="preserve"> </w:t>
      </w:r>
      <w:r>
        <w:rPr>
          <w:rFonts w:ascii="宋体" w:hAnsi="宋体" w:eastAsia="宋体" w:cs="宋体"/>
          <w:spacing w:val="-5"/>
          <w:sz w:val="17"/>
          <w:szCs w:val="17"/>
        </w:rPr>
        <w:t>制</w:t>
      </w:r>
      <w:r>
        <w:rPr>
          <w:rFonts w:ascii="宋体" w:hAnsi="宋体" w:eastAsia="宋体" w:cs="宋体"/>
          <w:spacing w:val="8"/>
          <w:sz w:val="17"/>
          <w:szCs w:val="17"/>
        </w:rPr>
        <w:t xml:space="preserve"> </w:t>
      </w:r>
      <w:r>
        <w:rPr>
          <w:rFonts w:ascii="宋体" w:hAnsi="宋体" w:eastAsia="宋体" w:cs="宋体"/>
          <w:spacing w:val="-5"/>
          <w:sz w:val="17"/>
          <w:szCs w:val="17"/>
        </w:rPr>
        <w:t>度</w:t>
      </w:r>
      <w:r>
        <w:rPr>
          <w:rFonts w:ascii="宋体" w:hAnsi="宋体" w:eastAsia="宋体" w:cs="宋体"/>
          <w:sz w:val="17"/>
          <w:szCs w:val="17"/>
        </w:rPr>
        <w:t xml:space="preserve">                                         </w:t>
      </w:r>
      <w:r>
        <w:rPr>
          <w:rFonts w:ascii="宋体" w:hAnsi="宋体" w:eastAsia="宋体" w:cs="宋体"/>
          <w:spacing w:val="-5"/>
          <w:position w:val="-1"/>
          <w:sz w:val="19"/>
          <w:szCs w:val="19"/>
        </w:rPr>
        <w:t>—75—</w:t>
      </w:r>
    </w:p>
    <w:p w14:paraId="61C46322">
      <w:pPr>
        <w:pStyle w:val="2"/>
        <w:spacing w:line="263" w:lineRule="auto"/>
      </w:pPr>
    </w:p>
    <w:p w14:paraId="501F0D04">
      <w:pPr>
        <w:pStyle w:val="2"/>
        <w:spacing w:line="264" w:lineRule="auto"/>
      </w:pPr>
    </w:p>
    <w:p w14:paraId="734835FE">
      <w:pPr>
        <w:spacing w:before="62" w:line="218" w:lineRule="auto"/>
        <w:ind w:left="20"/>
        <w:rPr>
          <w:rFonts w:ascii="宋体" w:hAnsi="宋体" w:eastAsia="宋体" w:cs="宋体"/>
          <w:sz w:val="19"/>
          <w:szCs w:val="19"/>
        </w:rPr>
      </w:pPr>
      <w:r>
        <w:rPr>
          <w:rFonts w:ascii="宋体" w:hAnsi="宋体" w:eastAsia="宋体" w:cs="宋体"/>
          <w:spacing w:val="-13"/>
          <w:sz w:val="19"/>
          <w:szCs w:val="19"/>
        </w:rPr>
        <w:t>3.过热蒸汽温度、压力—焓表(一)</w:t>
      </w:r>
    </w:p>
    <w:p w14:paraId="2D77E489">
      <w:pPr>
        <w:spacing w:line="187" w:lineRule="auto"/>
        <w:jc w:val="right"/>
        <w:rPr>
          <w:rFonts w:ascii="宋体" w:hAnsi="宋体" w:eastAsia="宋体" w:cs="宋体"/>
          <w:sz w:val="21"/>
          <w:szCs w:val="21"/>
        </w:rPr>
      </w:pPr>
      <w:r>
        <w:rPr>
          <w:rFonts w:ascii="宋体" w:hAnsi="宋体" w:eastAsia="宋体" w:cs="宋体"/>
          <w:spacing w:val="10"/>
          <w:sz w:val="21"/>
          <w:szCs w:val="21"/>
        </w:rPr>
        <w:t>焓(</w:t>
      </w:r>
      <w:r>
        <w:rPr>
          <w:rFonts w:ascii="宋体" w:hAnsi="宋体" w:eastAsia="宋体" w:cs="宋体"/>
          <w:sz w:val="21"/>
          <w:szCs w:val="21"/>
        </w:rPr>
        <w:t>KJ</w:t>
      </w:r>
      <w:r>
        <w:rPr>
          <w:rFonts w:ascii="宋体" w:hAnsi="宋体" w:eastAsia="宋体" w:cs="宋体"/>
          <w:spacing w:val="10"/>
          <w:sz w:val="21"/>
          <w:szCs w:val="21"/>
        </w:rPr>
        <w:t>/</w:t>
      </w:r>
      <w:r>
        <w:rPr>
          <w:rFonts w:ascii="宋体" w:hAnsi="宋体" w:eastAsia="宋体" w:cs="宋体"/>
          <w:sz w:val="21"/>
          <w:szCs w:val="21"/>
        </w:rPr>
        <w:t>kg</w:t>
      </w:r>
      <w:r>
        <w:rPr>
          <w:rFonts w:ascii="宋体" w:hAnsi="宋体" w:eastAsia="宋体" w:cs="宋体"/>
          <w:spacing w:val="10"/>
          <w:sz w:val="21"/>
          <w:szCs w:val="21"/>
        </w:rPr>
        <w:t>)</w:t>
      </w:r>
    </w:p>
    <w:tbl>
      <w:tblPr>
        <w:tblStyle w:val="5"/>
        <w:tblW w:w="9420" w:type="dxa"/>
        <w:tblInd w:w="1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150"/>
        <w:gridCol w:w="1380"/>
        <w:gridCol w:w="1380"/>
        <w:gridCol w:w="1380"/>
        <w:gridCol w:w="1360"/>
        <w:gridCol w:w="1380"/>
        <w:gridCol w:w="1390"/>
      </w:tblGrid>
      <w:tr w14:paraId="1339ECC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85" w:hRule="atLeast"/>
        </w:trPr>
        <w:tc>
          <w:tcPr>
            <w:tcW w:w="1150" w:type="dxa"/>
            <w:vMerge w:val="restart"/>
            <w:tcBorders>
              <w:top w:val="single" w:color="000000" w:sz="4" w:space="0"/>
              <w:bottom w:val="nil"/>
              <w:right w:val="single" w:color="000000" w:sz="4" w:space="0"/>
            </w:tcBorders>
            <w:vAlign w:val="top"/>
          </w:tcPr>
          <w:p w14:paraId="2F396F72">
            <w:pPr>
              <w:spacing w:line="337" w:lineRule="auto"/>
              <w:rPr>
                <w:rFonts w:ascii="Arial"/>
                <w:sz w:val="21"/>
              </w:rPr>
            </w:pPr>
          </w:p>
          <w:p w14:paraId="45CDC93B">
            <w:pPr>
              <w:pStyle w:val="6"/>
              <w:spacing w:before="55" w:line="222" w:lineRule="auto"/>
              <w:ind w:left="360"/>
              <w:rPr>
                <w:sz w:val="17"/>
                <w:szCs w:val="17"/>
              </w:rPr>
            </w:pPr>
            <w:r>
              <w:rPr>
                <w:spacing w:val="-1"/>
                <w:sz w:val="17"/>
                <w:szCs w:val="17"/>
              </w:rPr>
              <w:t>T(℃)</w:t>
            </w:r>
          </w:p>
        </w:tc>
        <w:tc>
          <w:tcPr>
            <w:tcW w:w="8270" w:type="dxa"/>
            <w:gridSpan w:val="6"/>
            <w:tcBorders>
              <w:top w:val="single" w:color="000000" w:sz="4" w:space="0"/>
              <w:left w:val="single" w:color="000000" w:sz="4" w:space="0"/>
              <w:bottom w:val="single" w:color="000000" w:sz="4" w:space="0"/>
            </w:tcBorders>
            <w:vAlign w:val="top"/>
          </w:tcPr>
          <w:p w14:paraId="247E582F">
            <w:pPr>
              <w:pStyle w:val="6"/>
              <w:spacing w:before="106" w:line="182" w:lineRule="auto"/>
              <w:ind w:left="3974"/>
              <w:rPr>
                <w:sz w:val="17"/>
                <w:szCs w:val="17"/>
              </w:rPr>
            </w:pPr>
            <w:r>
              <w:rPr>
                <w:spacing w:val="-1"/>
                <w:sz w:val="17"/>
                <w:szCs w:val="17"/>
              </w:rPr>
              <w:t>MPa</w:t>
            </w:r>
          </w:p>
        </w:tc>
      </w:tr>
      <w:tr w14:paraId="3D33738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49" w:hRule="atLeast"/>
        </w:trPr>
        <w:tc>
          <w:tcPr>
            <w:tcW w:w="1150" w:type="dxa"/>
            <w:vMerge w:val="continue"/>
            <w:tcBorders>
              <w:top w:val="nil"/>
              <w:bottom w:val="single" w:color="000000" w:sz="4" w:space="0"/>
              <w:right w:val="single" w:color="000000" w:sz="4" w:space="0"/>
            </w:tcBorders>
            <w:vAlign w:val="top"/>
          </w:tcPr>
          <w:p w14:paraId="31EC19B5">
            <w:pPr>
              <w:rPr>
                <w:rFonts w:ascii="Arial"/>
                <w:sz w:val="21"/>
              </w:rPr>
            </w:pPr>
          </w:p>
        </w:tc>
        <w:tc>
          <w:tcPr>
            <w:tcW w:w="1380" w:type="dxa"/>
            <w:tcBorders>
              <w:top w:val="single" w:color="000000" w:sz="4" w:space="0"/>
              <w:left w:val="single" w:color="000000" w:sz="4" w:space="0"/>
              <w:bottom w:val="single" w:color="000000" w:sz="4" w:space="0"/>
              <w:right w:val="single" w:color="000000" w:sz="4" w:space="0"/>
            </w:tcBorders>
            <w:vAlign w:val="top"/>
          </w:tcPr>
          <w:p w14:paraId="218045E5">
            <w:pPr>
              <w:pStyle w:val="6"/>
              <w:spacing w:before="279" w:line="184" w:lineRule="auto"/>
              <w:ind w:left="515"/>
              <w:rPr>
                <w:sz w:val="17"/>
                <w:szCs w:val="17"/>
              </w:rPr>
            </w:pPr>
            <w:r>
              <w:rPr>
                <w:spacing w:val="-2"/>
                <w:sz w:val="17"/>
                <w:szCs w:val="17"/>
              </w:rPr>
              <w:t>0.01</w:t>
            </w:r>
          </w:p>
        </w:tc>
        <w:tc>
          <w:tcPr>
            <w:tcW w:w="1380" w:type="dxa"/>
            <w:tcBorders>
              <w:top w:val="single" w:color="000000" w:sz="4" w:space="0"/>
              <w:left w:val="single" w:color="000000" w:sz="4" w:space="0"/>
              <w:bottom w:val="single" w:color="000000" w:sz="4" w:space="0"/>
              <w:right w:val="single" w:color="000000" w:sz="4" w:space="0"/>
            </w:tcBorders>
            <w:vAlign w:val="top"/>
          </w:tcPr>
          <w:p w14:paraId="2DC7A4F3">
            <w:pPr>
              <w:pStyle w:val="6"/>
              <w:spacing w:before="279" w:line="184" w:lineRule="auto"/>
              <w:ind w:left="555"/>
              <w:rPr>
                <w:sz w:val="17"/>
                <w:szCs w:val="17"/>
              </w:rPr>
            </w:pPr>
            <w:r>
              <w:rPr>
                <w:spacing w:val="-2"/>
                <w:sz w:val="17"/>
                <w:szCs w:val="17"/>
              </w:rPr>
              <w:t>0.1</w:t>
            </w:r>
          </w:p>
        </w:tc>
        <w:tc>
          <w:tcPr>
            <w:tcW w:w="1380" w:type="dxa"/>
            <w:tcBorders>
              <w:top w:val="single" w:color="000000" w:sz="4" w:space="0"/>
              <w:left w:val="single" w:color="000000" w:sz="4" w:space="0"/>
              <w:bottom w:val="single" w:color="000000" w:sz="4" w:space="0"/>
              <w:right w:val="single" w:color="000000" w:sz="4" w:space="0"/>
            </w:tcBorders>
            <w:vAlign w:val="top"/>
          </w:tcPr>
          <w:p w14:paraId="7D7317D5">
            <w:pPr>
              <w:pStyle w:val="6"/>
              <w:spacing w:before="280" w:line="183" w:lineRule="auto"/>
              <w:ind w:left="555"/>
              <w:rPr>
                <w:sz w:val="17"/>
                <w:szCs w:val="17"/>
              </w:rPr>
            </w:pPr>
            <w:r>
              <w:rPr>
                <w:spacing w:val="-2"/>
                <w:sz w:val="17"/>
                <w:szCs w:val="17"/>
              </w:rPr>
              <w:t>0.5</w:t>
            </w:r>
          </w:p>
        </w:tc>
        <w:tc>
          <w:tcPr>
            <w:tcW w:w="1360" w:type="dxa"/>
            <w:tcBorders>
              <w:top w:val="single" w:color="000000" w:sz="4" w:space="0"/>
              <w:left w:val="single" w:color="000000" w:sz="4" w:space="0"/>
              <w:bottom w:val="single" w:color="000000" w:sz="4" w:space="0"/>
              <w:right w:val="single" w:color="000000" w:sz="4" w:space="0"/>
            </w:tcBorders>
            <w:vAlign w:val="top"/>
          </w:tcPr>
          <w:p w14:paraId="32632419">
            <w:pPr>
              <w:rPr>
                <w:rFonts w:ascii="Arial"/>
                <w:sz w:val="21"/>
              </w:rPr>
            </w:pPr>
          </w:p>
        </w:tc>
        <w:tc>
          <w:tcPr>
            <w:tcW w:w="1380" w:type="dxa"/>
            <w:tcBorders>
              <w:top w:val="single" w:color="000000" w:sz="4" w:space="0"/>
              <w:left w:val="single" w:color="000000" w:sz="4" w:space="0"/>
              <w:bottom w:val="single" w:color="000000" w:sz="4" w:space="0"/>
              <w:right w:val="single" w:color="000000" w:sz="4" w:space="0"/>
            </w:tcBorders>
            <w:vAlign w:val="top"/>
          </w:tcPr>
          <w:p w14:paraId="699F83ED">
            <w:pPr>
              <w:pStyle w:val="6"/>
              <w:spacing w:before="280" w:line="183" w:lineRule="auto"/>
              <w:ind w:left="634"/>
              <w:rPr>
                <w:sz w:val="17"/>
                <w:szCs w:val="17"/>
              </w:rPr>
            </w:pPr>
            <w:r>
              <w:rPr>
                <w:sz w:val="17"/>
                <w:szCs w:val="17"/>
              </w:rPr>
              <w:t>3</w:t>
            </w:r>
          </w:p>
        </w:tc>
        <w:tc>
          <w:tcPr>
            <w:tcW w:w="1390" w:type="dxa"/>
            <w:tcBorders>
              <w:top w:val="single" w:color="000000" w:sz="4" w:space="0"/>
              <w:left w:val="single" w:color="000000" w:sz="4" w:space="0"/>
              <w:bottom w:val="single" w:color="000000" w:sz="4" w:space="0"/>
            </w:tcBorders>
            <w:vAlign w:val="top"/>
          </w:tcPr>
          <w:p w14:paraId="319D334A">
            <w:pPr>
              <w:pStyle w:val="6"/>
              <w:spacing w:before="281" w:line="182" w:lineRule="auto"/>
              <w:ind w:left="645"/>
              <w:rPr>
                <w:sz w:val="17"/>
                <w:szCs w:val="17"/>
              </w:rPr>
            </w:pPr>
            <w:r>
              <w:rPr>
                <w:sz w:val="17"/>
                <w:szCs w:val="17"/>
              </w:rPr>
              <w:t>5</w:t>
            </w:r>
          </w:p>
        </w:tc>
      </w:tr>
      <w:tr w14:paraId="2719B69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44" w:hRule="atLeast"/>
        </w:trPr>
        <w:tc>
          <w:tcPr>
            <w:tcW w:w="1150" w:type="dxa"/>
            <w:tcBorders>
              <w:top w:val="single" w:color="000000" w:sz="4" w:space="0"/>
              <w:right w:val="single" w:color="000000" w:sz="4" w:space="0"/>
            </w:tcBorders>
            <w:vAlign w:val="top"/>
          </w:tcPr>
          <w:p w14:paraId="6F433185">
            <w:pPr>
              <w:pStyle w:val="6"/>
              <w:spacing w:before="201" w:line="183" w:lineRule="auto"/>
              <w:ind w:left="529"/>
              <w:rPr>
                <w:sz w:val="17"/>
                <w:szCs w:val="17"/>
              </w:rPr>
            </w:pPr>
            <w:r>
              <w:rPr>
                <w:sz w:val="17"/>
                <w:szCs w:val="17"/>
              </w:rPr>
              <w:t>0</w:t>
            </w:r>
          </w:p>
        </w:tc>
        <w:tc>
          <w:tcPr>
            <w:tcW w:w="1380" w:type="dxa"/>
            <w:tcBorders>
              <w:top w:val="single" w:color="000000" w:sz="4" w:space="0"/>
              <w:left w:val="single" w:color="000000" w:sz="4" w:space="0"/>
              <w:right w:val="single" w:color="000000" w:sz="4" w:space="0"/>
            </w:tcBorders>
            <w:vAlign w:val="top"/>
          </w:tcPr>
          <w:p w14:paraId="145189A1">
            <w:pPr>
              <w:pStyle w:val="6"/>
              <w:spacing w:before="181" w:line="183" w:lineRule="auto"/>
              <w:ind w:left="635"/>
              <w:rPr>
                <w:sz w:val="17"/>
                <w:szCs w:val="17"/>
              </w:rPr>
            </w:pPr>
            <w:r>
              <w:rPr>
                <w:sz w:val="17"/>
                <w:szCs w:val="17"/>
              </w:rPr>
              <w:t>0</w:t>
            </w:r>
          </w:p>
        </w:tc>
        <w:tc>
          <w:tcPr>
            <w:tcW w:w="1380" w:type="dxa"/>
            <w:tcBorders>
              <w:top w:val="single" w:color="000000" w:sz="4" w:space="0"/>
              <w:left w:val="single" w:color="000000" w:sz="4" w:space="0"/>
              <w:right w:val="single" w:color="000000" w:sz="4" w:space="0"/>
            </w:tcBorders>
            <w:vAlign w:val="top"/>
          </w:tcPr>
          <w:p w14:paraId="69C66436">
            <w:pPr>
              <w:pStyle w:val="6"/>
              <w:spacing w:before="181" w:line="184" w:lineRule="auto"/>
              <w:ind w:left="694"/>
              <w:rPr>
                <w:sz w:val="17"/>
                <w:szCs w:val="17"/>
              </w:rPr>
            </w:pPr>
            <w:r>
              <w:rPr>
                <w:spacing w:val="-2"/>
                <w:sz w:val="17"/>
                <w:szCs w:val="17"/>
              </w:rPr>
              <w:t>0.1</w:t>
            </w:r>
          </w:p>
        </w:tc>
        <w:tc>
          <w:tcPr>
            <w:tcW w:w="1380" w:type="dxa"/>
            <w:tcBorders>
              <w:top w:val="single" w:color="000000" w:sz="4" w:space="0"/>
              <w:left w:val="single" w:color="000000" w:sz="4" w:space="0"/>
              <w:right w:val="single" w:color="000000" w:sz="4" w:space="0"/>
            </w:tcBorders>
            <w:vAlign w:val="top"/>
          </w:tcPr>
          <w:p w14:paraId="58EEE43A">
            <w:pPr>
              <w:pStyle w:val="6"/>
              <w:spacing w:before="182" w:line="183" w:lineRule="auto"/>
              <w:ind w:left="705"/>
              <w:rPr>
                <w:sz w:val="17"/>
                <w:szCs w:val="17"/>
              </w:rPr>
            </w:pPr>
            <w:r>
              <w:rPr>
                <w:spacing w:val="-2"/>
                <w:sz w:val="17"/>
                <w:szCs w:val="17"/>
              </w:rPr>
              <w:t>0.5</w:t>
            </w:r>
          </w:p>
        </w:tc>
        <w:tc>
          <w:tcPr>
            <w:tcW w:w="1360" w:type="dxa"/>
            <w:tcBorders>
              <w:top w:val="single" w:color="000000" w:sz="4" w:space="0"/>
              <w:left w:val="single" w:color="000000" w:sz="4" w:space="0"/>
              <w:right w:val="single" w:color="000000" w:sz="4" w:space="0"/>
            </w:tcBorders>
            <w:vAlign w:val="top"/>
          </w:tcPr>
          <w:p w14:paraId="1758A8F3">
            <w:pPr>
              <w:pStyle w:val="6"/>
              <w:spacing w:before="181" w:line="184" w:lineRule="auto"/>
              <w:ind w:left="715"/>
              <w:rPr>
                <w:sz w:val="17"/>
                <w:szCs w:val="17"/>
              </w:rPr>
            </w:pPr>
            <w:r>
              <w:rPr>
                <w:spacing w:val="-5"/>
                <w:sz w:val="17"/>
                <w:szCs w:val="17"/>
              </w:rPr>
              <w:t>1.0</w:t>
            </w:r>
          </w:p>
        </w:tc>
        <w:tc>
          <w:tcPr>
            <w:tcW w:w="1380" w:type="dxa"/>
            <w:tcBorders>
              <w:top w:val="single" w:color="000000" w:sz="4" w:space="0"/>
              <w:left w:val="single" w:color="000000" w:sz="4" w:space="0"/>
              <w:right w:val="single" w:color="000000" w:sz="4" w:space="0"/>
            </w:tcBorders>
            <w:vAlign w:val="top"/>
          </w:tcPr>
          <w:p w14:paraId="15525EE5">
            <w:pPr>
              <w:pStyle w:val="6"/>
              <w:spacing w:before="182" w:line="183" w:lineRule="auto"/>
              <w:ind w:left="715"/>
              <w:rPr>
                <w:sz w:val="17"/>
                <w:szCs w:val="17"/>
              </w:rPr>
            </w:pPr>
            <w:r>
              <w:rPr>
                <w:spacing w:val="-3"/>
                <w:sz w:val="17"/>
                <w:szCs w:val="17"/>
              </w:rPr>
              <w:t>3.0</w:t>
            </w:r>
          </w:p>
        </w:tc>
        <w:tc>
          <w:tcPr>
            <w:tcW w:w="1390" w:type="dxa"/>
            <w:tcBorders>
              <w:top w:val="single" w:color="000000" w:sz="4" w:space="0"/>
              <w:left w:val="single" w:color="000000" w:sz="4" w:space="0"/>
            </w:tcBorders>
            <w:vAlign w:val="top"/>
          </w:tcPr>
          <w:p w14:paraId="7AAB27CF">
            <w:pPr>
              <w:pStyle w:val="6"/>
              <w:spacing w:before="191" w:line="183" w:lineRule="auto"/>
              <w:ind w:left="705"/>
              <w:rPr>
                <w:sz w:val="17"/>
                <w:szCs w:val="17"/>
              </w:rPr>
            </w:pPr>
            <w:r>
              <w:rPr>
                <w:spacing w:val="-3"/>
                <w:sz w:val="17"/>
                <w:szCs w:val="17"/>
              </w:rPr>
              <w:t>5.0</w:t>
            </w:r>
          </w:p>
        </w:tc>
      </w:tr>
      <w:tr w14:paraId="2E3C181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75" w:hRule="atLeast"/>
        </w:trPr>
        <w:tc>
          <w:tcPr>
            <w:tcW w:w="1150" w:type="dxa"/>
            <w:tcBorders>
              <w:right w:val="single" w:color="000000" w:sz="4" w:space="0"/>
            </w:tcBorders>
            <w:vAlign w:val="top"/>
          </w:tcPr>
          <w:p w14:paraId="7EF11CF5">
            <w:pPr>
              <w:pStyle w:val="6"/>
              <w:spacing w:before="137" w:line="184" w:lineRule="auto"/>
              <w:ind w:left="490"/>
              <w:rPr>
                <w:sz w:val="17"/>
                <w:szCs w:val="17"/>
              </w:rPr>
            </w:pPr>
            <w:r>
              <w:rPr>
                <w:spacing w:val="-5"/>
                <w:sz w:val="17"/>
                <w:szCs w:val="17"/>
              </w:rPr>
              <w:t>10</w:t>
            </w:r>
          </w:p>
        </w:tc>
        <w:tc>
          <w:tcPr>
            <w:tcW w:w="1380" w:type="dxa"/>
            <w:tcBorders>
              <w:left w:val="single" w:color="000000" w:sz="4" w:space="0"/>
              <w:right w:val="single" w:color="000000" w:sz="4" w:space="0"/>
            </w:tcBorders>
            <w:vAlign w:val="top"/>
          </w:tcPr>
          <w:p w14:paraId="4482F948">
            <w:pPr>
              <w:pStyle w:val="6"/>
              <w:spacing w:before="128" w:line="183" w:lineRule="auto"/>
              <w:ind w:left="635"/>
              <w:rPr>
                <w:sz w:val="17"/>
                <w:szCs w:val="17"/>
              </w:rPr>
            </w:pPr>
            <w:r>
              <w:rPr>
                <w:spacing w:val="-2"/>
                <w:sz w:val="17"/>
                <w:szCs w:val="17"/>
              </w:rPr>
              <w:t>42.0</w:t>
            </w:r>
          </w:p>
        </w:tc>
        <w:tc>
          <w:tcPr>
            <w:tcW w:w="1380" w:type="dxa"/>
            <w:tcBorders>
              <w:left w:val="single" w:color="000000" w:sz="4" w:space="0"/>
              <w:right w:val="single" w:color="000000" w:sz="4" w:space="0"/>
            </w:tcBorders>
            <w:vAlign w:val="top"/>
          </w:tcPr>
          <w:p w14:paraId="2762B1E7">
            <w:pPr>
              <w:pStyle w:val="6"/>
              <w:spacing w:before="127" w:line="184" w:lineRule="auto"/>
              <w:ind w:left="605"/>
              <w:rPr>
                <w:sz w:val="17"/>
                <w:szCs w:val="17"/>
              </w:rPr>
            </w:pPr>
            <w:r>
              <w:rPr>
                <w:spacing w:val="-2"/>
                <w:sz w:val="17"/>
                <w:szCs w:val="17"/>
              </w:rPr>
              <w:t>42.1</w:t>
            </w:r>
          </w:p>
        </w:tc>
        <w:tc>
          <w:tcPr>
            <w:tcW w:w="1380" w:type="dxa"/>
            <w:tcBorders>
              <w:left w:val="single" w:color="000000" w:sz="4" w:space="0"/>
              <w:right w:val="single" w:color="000000" w:sz="4" w:space="0"/>
            </w:tcBorders>
            <w:vAlign w:val="top"/>
          </w:tcPr>
          <w:p w14:paraId="5FB58390">
            <w:pPr>
              <w:pStyle w:val="6"/>
              <w:spacing w:before="128" w:line="183" w:lineRule="auto"/>
              <w:ind w:left="615"/>
              <w:rPr>
                <w:sz w:val="17"/>
                <w:szCs w:val="17"/>
              </w:rPr>
            </w:pPr>
            <w:r>
              <w:rPr>
                <w:spacing w:val="-2"/>
                <w:sz w:val="17"/>
                <w:szCs w:val="17"/>
              </w:rPr>
              <w:t>42.5</w:t>
            </w:r>
          </w:p>
        </w:tc>
        <w:tc>
          <w:tcPr>
            <w:tcW w:w="1360" w:type="dxa"/>
            <w:tcBorders>
              <w:left w:val="single" w:color="000000" w:sz="4" w:space="0"/>
              <w:right w:val="single" w:color="000000" w:sz="4" w:space="0"/>
            </w:tcBorders>
            <w:vAlign w:val="top"/>
          </w:tcPr>
          <w:p w14:paraId="33EFC674">
            <w:pPr>
              <w:pStyle w:val="6"/>
              <w:spacing w:before="128" w:line="183" w:lineRule="auto"/>
              <w:ind w:left="615"/>
              <w:rPr>
                <w:sz w:val="17"/>
                <w:szCs w:val="17"/>
              </w:rPr>
            </w:pPr>
            <w:r>
              <w:rPr>
                <w:spacing w:val="-2"/>
                <w:sz w:val="17"/>
                <w:szCs w:val="17"/>
              </w:rPr>
              <w:t>43.0</w:t>
            </w:r>
          </w:p>
        </w:tc>
        <w:tc>
          <w:tcPr>
            <w:tcW w:w="1380" w:type="dxa"/>
            <w:tcBorders>
              <w:left w:val="single" w:color="000000" w:sz="4" w:space="0"/>
              <w:right w:val="single" w:color="000000" w:sz="4" w:space="0"/>
            </w:tcBorders>
            <w:vAlign w:val="top"/>
          </w:tcPr>
          <w:p w14:paraId="251DF2F2">
            <w:pPr>
              <w:pStyle w:val="6"/>
              <w:spacing w:before="128" w:line="183" w:lineRule="auto"/>
              <w:ind w:left="634"/>
              <w:rPr>
                <w:sz w:val="17"/>
                <w:szCs w:val="17"/>
              </w:rPr>
            </w:pPr>
            <w:r>
              <w:rPr>
                <w:spacing w:val="-2"/>
                <w:sz w:val="17"/>
                <w:szCs w:val="17"/>
              </w:rPr>
              <w:t>44.9</w:t>
            </w:r>
          </w:p>
        </w:tc>
        <w:tc>
          <w:tcPr>
            <w:tcW w:w="1390" w:type="dxa"/>
            <w:tcBorders>
              <w:left w:val="single" w:color="000000" w:sz="4" w:space="0"/>
            </w:tcBorders>
            <w:vAlign w:val="top"/>
          </w:tcPr>
          <w:p w14:paraId="2721541E">
            <w:pPr>
              <w:pStyle w:val="6"/>
              <w:spacing w:before="137" w:line="183" w:lineRule="auto"/>
              <w:ind w:left="624"/>
              <w:rPr>
                <w:sz w:val="17"/>
                <w:szCs w:val="17"/>
              </w:rPr>
            </w:pPr>
            <w:r>
              <w:rPr>
                <w:spacing w:val="-2"/>
                <w:sz w:val="17"/>
                <w:szCs w:val="17"/>
              </w:rPr>
              <w:t>46.9</w:t>
            </w:r>
          </w:p>
        </w:tc>
      </w:tr>
      <w:tr w14:paraId="2B03240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09" w:hRule="atLeast"/>
        </w:trPr>
        <w:tc>
          <w:tcPr>
            <w:tcW w:w="1150" w:type="dxa"/>
            <w:tcBorders>
              <w:right w:val="single" w:color="000000" w:sz="4" w:space="0"/>
            </w:tcBorders>
            <w:vAlign w:val="top"/>
          </w:tcPr>
          <w:p w14:paraId="00445CFD">
            <w:pPr>
              <w:pStyle w:val="6"/>
              <w:spacing w:before="152" w:line="183" w:lineRule="auto"/>
              <w:ind w:left="490"/>
              <w:rPr>
                <w:sz w:val="17"/>
                <w:szCs w:val="17"/>
              </w:rPr>
            </w:pPr>
            <w:r>
              <w:rPr>
                <w:spacing w:val="-3"/>
                <w:sz w:val="17"/>
                <w:szCs w:val="17"/>
              </w:rPr>
              <w:t>20</w:t>
            </w:r>
          </w:p>
        </w:tc>
        <w:tc>
          <w:tcPr>
            <w:tcW w:w="1380" w:type="dxa"/>
            <w:tcBorders>
              <w:left w:val="single" w:color="000000" w:sz="4" w:space="0"/>
              <w:right w:val="single" w:color="000000" w:sz="4" w:space="0"/>
            </w:tcBorders>
            <w:vAlign w:val="top"/>
          </w:tcPr>
          <w:p w14:paraId="2339B97F">
            <w:pPr>
              <w:pStyle w:val="6"/>
              <w:spacing w:before="123" w:line="183" w:lineRule="auto"/>
              <w:ind w:left="615"/>
              <w:rPr>
                <w:sz w:val="17"/>
                <w:szCs w:val="17"/>
              </w:rPr>
            </w:pPr>
            <w:r>
              <w:rPr>
                <w:spacing w:val="-2"/>
                <w:sz w:val="17"/>
                <w:szCs w:val="17"/>
              </w:rPr>
              <w:t>83.9</w:t>
            </w:r>
          </w:p>
        </w:tc>
        <w:tc>
          <w:tcPr>
            <w:tcW w:w="1380" w:type="dxa"/>
            <w:tcBorders>
              <w:left w:val="single" w:color="000000" w:sz="4" w:space="0"/>
              <w:right w:val="single" w:color="000000" w:sz="4" w:space="0"/>
            </w:tcBorders>
            <w:vAlign w:val="top"/>
          </w:tcPr>
          <w:p w14:paraId="666113C0">
            <w:pPr>
              <w:pStyle w:val="6"/>
              <w:spacing w:before="152" w:line="183" w:lineRule="auto"/>
              <w:ind w:left="625"/>
              <w:rPr>
                <w:sz w:val="17"/>
                <w:szCs w:val="17"/>
              </w:rPr>
            </w:pPr>
            <w:r>
              <w:rPr>
                <w:spacing w:val="-2"/>
                <w:sz w:val="17"/>
                <w:szCs w:val="17"/>
              </w:rPr>
              <w:t>84.0</w:t>
            </w:r>
          </w:p>
        </w:tc>
        <w:tc>
          <w:tcPr>
            <w:tcW w:w="1380" w:type="dxa"/>
            <w:tcBorders>
              <w:left w:val="single" w:color="000000" w:sz="4" w:space="0"/>
              <w:right w:val="single" w:color="000000" w:sz="4" w:space="0"/>
            </w:tcBorders>
            <w:vAlign w:val="top"/>
          </w:tcPr>
          <w:p w14:paraId="2CC83544">
            <w:pPr>
              <w:pStyle w:val="6"/>
              <w:spacing w:before="142" w:line="183" w:lineRule="auto"/>
              <w:ind w:left="615"/>
              <w:rPr>
                <w:sz w:val="17"/>
                <w:szCs w:val="17"/>
              </w:rPr>
            </w:pPr>
            <w:r>
              <w:rPr>
                <w:spacing w:val="-2"/>
                <w:sz w:val="17"/>
                <w:szCs w:val="17"/>
              </w:rPr>
              <w:t>84.3</w:t>
            </w:r>
          </w:p>
        </w:tc>
        <w:tc>
          <w:tcPr>
            <w:tcW w:w="1360" w:type="dxa"/>
            <w:tcBorders>
              <w:left w:val="single" w:color="000000" w:sz="4" w:space="0"/>
              <w:right w:val="single" w:color="000000" w:sz="4" w:space="0"/>
            </w:tcBorders>
            <w:vAlign w:val="top"/>
          </w:tcPr>
          <w:p w14:paraId="3DE230E9">
            <w:pPr>
              <w:pStyle w:val="6"/>
              <w:spacing w:before="152" w:line="183" w:lineRule="auto"/>
              <w:ind w:left="615"/>
              <w:rPr>
                <w:sz w:val="17"/>
                <w:szCs w:val="17"/>
              </w:rPr>
            </w:pPr>
            <w:r>
              <w:rPr>
                <w:spacing w:val="-2"/>
                <w:sz w:val="17"/>
                <w:szCs w:val="17"/>
              </w:rPr>
              <w:t>84.8</w:t>
            </w:r>
          </w:p>
        </w:tc>
        <w:tc>
          <w:tcPr>
            <w:tcW w:w="1380" w:type="dxa"/>
            <w:tcBorders>
              <w:left w:val="single" w:color="000000" w:sz="4" w:space="0"/>
              <w:right w:val="single" w:color="000000" w:sz="4" w:space="0"/>
            </w:tcBorders>
            <w:vAlign w:val="top"/>
          </w:tcPr>
          <w:p w14:paraId="471D19BC">
            <w:pPr>
              <w:pStyle w:val="6"/>
              <w:spacing w:before="123" w:line="183" w:lineRule="auto"/>
              <w:ind w:left="615"/>
              <w:rPr>
                <w:sz w:val="17"/>
                <w:szCs w:val="17"/>
              </w:rPr>
            </w:pPr>
            <w:r>
              <w:rPr>
                <w:spacing w:val="-2"/>
                <w:sz w:val="17"/>
                <w:szCs w:val="17"/>
              </w:rPr>
              <w:t>86.7</w:t>
            </w:r>
          </w:p>
        </w:tc>
        <w:tc>
          <w:tcPr>
            <w:tcW w:w="1390" w:type="dxa"/>
            <w:tcBorders>
              <w:left w:val="single" w:color="000000" w:sz="4" w:space="0"/>
            </w:tcBorders>
            <w:vAlign w:val="top"/>
          </w:tcPr>
          <w:p w14:paraId="2A698F1C">
            <w:pPr>
              <w:pStyle w:val="6"/>
              <w:spacing w:before="162" w:line="183" w:lineRule="auto"/>
              <w:ind w:left="624"/>
              <w:rPr>
                <w:sz w:val="17"/>
                <w:szCs w:val="17"/>
              </w:rPr>
            </w:pPr>
            <w:r>
              <w:rPr>
                <w:spacing w:val="-2"/>
                <w:sz w:val="17"/>
                <w:szCs w:val="17"/>
              </w:rPr>
              <w:t>88.6</w:t>
            </w:r>
          </w:p>
        </w:tc>
      </w:tr>
      <w:tr w14:paraId="049D0F6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80" w:hRule="atLeast"/>
        </w:trPr>
        <w:tc>
          <w:tcPr>
            <w:tcW w:w="1150" w:type="dxa"/>
            <w:tcBorders>
              <w:right w:val="single" w:color="000000" w:sz="4" w:space="0"/>
            </w:tcBorders>
            <w:vAlign w:val="top"/>
          </w:tcPr>
          <w:p w14:paraId="3F580DDF">
            <w:pPr>
              <w:pStyle w:val="6"/>
              <w:spacing w:before="133" w:line="183" w:lineRule="auto"/>
              <w:ind w:left="490"/>
              <w:rPr>
                <w:sz w:val="17"/>
                <w:szCs w:val="17"/>
              </w:rPr>
            </w:pPr>
            <w:r>
              <w:rPr>
                <w:spacing w:val="-2"/>
                <w:sz w:val="17"/>
                <w:szCs w:val="17"/>
              </w:rPr>
              <w:t>40</w:t>
            </w:r>
          </w:p>
        </w:tc>
        <w:tc>
          <w:tcPr>
            <w:tcW w:w="1380" w:type="dxa"/>
            <w:tcBorders>
              <w:left w:val="single" w:color="000000" w:sz="4" w:space="0"/>
              <w:right w:val="single" w:color="000000" w:sz="4" w:space="0"/>
            </w:tcBorders>
            <w:vAlign w:val="top"/>
          </w:tcPr>
          <w:p w14:paraId="3E3A8A0D">
            <w:pPr>
              <w:pStyle w:val="6"/>
              <w:spacing w:before="133" w:line="184" w:lineRule="auto"/>
              <w:ind w:left="464"/>
              <w:rPr>
                <w:sz w:val="17"/>
                <w:szCs w:val="17"/>
              </w:rPr>
            </w:pPr>
            <w:r>
              <w:rPr>
                <w:spacing w:val="-4"/>
                <w:sz w:val="17"/>
                <w:szCs w:val="17"/>
              </w:rPr>
              <w:t>167.4</w:t>
            </w:r>
          </w:p>
        </w:tc>
        <w:tc>
          <w:tcPr>
            <w:tcW w:w="1380" w:type="dxa"/>
            <w:tcBorders>
              <w:left w:val="single" w:color="000000" w:sz="4" w:space="0"/>
              <w:right w:val="single" w:color="000000" w:sz="4" w:space="0"/>
            </w:tcBorders>
            <w:vAlign w:val="top"/>
          </w:tcPr>
          <w:p w14:paraId="1935C7E5">
            <w:pPr>
              <w:pStyle w:val="6"/>
              <w:spacing w:before="133" w:line="184" w:lineRule="auto"/>
              <w:ind w:left="465"/>
              <w:rPr>
                <w:sz w:val="17"/>
                <w:szCs w:val="17"/>
              </w:rPr>
            </w:pPr>
            <w:r>
              <w:rPr>
                <w:spacing w:val="-4"/>
                <w:sz w:val="17"/>
                <w:szCs w:val="17"/>
              </w:rPr>
              <w:t>167.5</w:t>
            </w:r>
          </w:p>
        </w:tc>
        <w:tc>
          <w:tcPr>
            <w:tcW w:w="1380" w:type="dxa"/>
            <w:tcBorders>
              <w:left w:val="single" w:color="000000" w:sz="4" w:space="0"/>
              <w:right w:val="single" w:color="000000" w:sz="4" w:space="0"/>
            </w:tcBorders>
            <w:vAlign w:val="top"/>
          </w:tcPr>
          <w:p w14:paraId="087D0982">
            <w:pPr>
              <w:pStyle w:val="6"/>
              <w:spacing w:before="133" w:line="184" w:lineRule="auto"/>
              <w:ind w:left="465"/>
              <w:rPr>
                <w:sz w:val="17"/>
                <w:szCs w:val="17"/>
              </w:rPr>
            </w:pPr>
            <w:r>
              <w:rPr>
                <w:spacing w:val="-4"/>
                <w:sz w:val="17"/>
                <w:szCs w:val="17"/>
              </w:rPr>
              <w:t>167.9</w:t>
            </w:r>
          </w:p>
        </w:tc>
        <w:tc>
          <w:tcPr>
            <w:tcW w:w="1360" w:type="dxa"/>
            <w:tcBorders>
              <w:left w:val="single" w:color="000000" w:sz="4" w:space="0"/>
              <w:right w:val="single" w:color="000000" w:sz="4" w:space="0"/>
            </w:tcBorders>
            <w:vAlign w:val="top"/>
          </w:tcPr>
          <w:p w14:paraId="47251145">
            <w:pPr>
              <w:pStyle w:val="6"/>
              <w:spacing w:before="133" w:line="184" w:lineRule="auto"/>
              <w:ind w:left="455"/>
              <w:rPr>
                <w:sz w:val="17"/>
                <w:szCs w:val="17"/>
              </w:rPr>
            </w:pPr>
            <w:r>
              <w:rPr>
                <w:spacing w:val="-4"/>
                <w:sz w:val="17"/>
                <w:szCs w:val="17"/>
              </w:rPr>
              <w:t>168.3</w:t>
            </w:r>
          </w:p>
        </w:tc>
        <w:tc>
          <w:tcPr>
            <w:tcW w:w="1380" w:type="dxa"/>
            <w:tcBorders>
              <w:left w:val="single" w:color="000000" w:sz="4" w:space="0"/>
              <w:right w:val="single" w:color="000000" w:sz="4" w:space="0"/>
            </w:tcBorders>
            <w:vAlign w:val="top"/>
          </w:tcPr>
          <w:p w14:paraId="2F945604">
            <w:pPr>
              <w:pStyle w:val="6"/>
              <w:spacing w:before="133" w:line="184" w:lineRule="auto"/>
              <w:ind w:left="465"/>
              <w:rPr>
                <w:sz w:val="17"/>
                <w:szCs w:val="17"/>
              </w:rPr>
            </w:pPr>
            <w:r>
              <w:rPr>
                <w:spacing w:val="-4"/>
                <w:sz w:val="17"/>
                <w:szCs w:val="17"/>
              </w:rPr>
              <w:t>170.1</w:t>
            </w:r>
          </w:p>
        </w:tc>
        <w:tc>
          <w:tcPr>
            <w:tcW w:w="1390" w:type="dxa"/>
            <w:tcBorders>
              <w:left w:val="single" w:color="000000" w:sz="4" w:space="0"/>
            </w:tcBorders>
            <w:vAlign w:val="top"/>
          </w:tcPr>
          <w:p w14:paraId="01FB819C">
            <w:pPr>
              <w:pStyle w:val="6"/>
              <w:spacing w:before="143" w:line="184" w:lineRule="auto"/>
              <w:ind w:left="475"/>
              <w:rPr>
                <w:sz w:val="17"/>
                <w:szCs w:val="17"/>
              </w:rPr>
            </w:pPr>
            <w:r>
              <w:rPr>
                <w:spacing w:val="-4"/>
                <w:sz w:val="17"/>
                <w:szCs w:val="17"/>
              </w:rPr>
              <w:t>171.9</w:t>
            </w:r>
          </w:p>
        </w:tc>
      </w:tr>
      <w:tr w14:paraId="67CFA8E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0" w:hRule="atLeast"/>
        </w:trPr>
        <w:tc>
          <w:tcPr>
            <w:tcW w:w="1150" w:type="dxa"/>
            <w:tcBorders>
              <w:right w:val="single" w:color="000000" w:sz="4" w:space="0"/>
            </w:tcBorders>
            <w:vAlign w:val="top"/>
          </w:tcPr>
          <w:p w14:paraId="5F4E5AAA">
            <w:pPr>
              <w:pStyle w:val="6"/>
              <w:spacing w:before="153" w:line="183" w:lineRule="auto"/>
              <w:ind w:left="490"/>
              <w:rPr>
                <w:sz w:val="17"/>
                <w:szCs w:val="17"/>
              </w:rPr>
            </w:pPr>
            <w:r>
              <w:rPr>
                <w:spacing w:val="-2"/>
                <w:sz w:val="17"/>
                <w:szCs w:val="17"/>
              </w:rPr>
              <w:t>60</w:t>
            </w:r>
          </w:p>
        </w:tc>
        <w:tc>
          <w:tcPr>
            <w:tcW w:w="1380" w:type="dxa"/>
            <w:tcBorders>
              <w:left w:val="single" w:color="000000" w:sz="4" w:space="0"/>
              <w:right w:val="single" w:color="000000" w:sz="4" w:space="0"/>
            </w:tcBorders>
            <w:vAlign w:val="top"/>
          </w:tcPr>
          <w:p w14:paraId="4212B97F">
            <w:pPr>
              <w:pStyle w:val="6"/>
              <w:spacing w:before="123" w:line="184" w:lineRule="auto"/>
              <w:ind w:left="425"/>
              <w:rPr>
                <w:sz w:val="17"/>
                <w:szCs w:val="17"/>
              </w:rPr>
            </w:pPr>
            <w:r>
              <w:rPr>
                <w:spacing w:val="-2"/>
                <w:sz w:val="17"/>
                <w:szCs w:val="17"/>
              </w:rPr>
              <w:t>2611.3</w:t>
            </w:r>
          </w:p>
        </w:tc>
        <w:tc>
          <w:tcPr>
            <w:tcW w:w="1380" w:type="dxa"/>
            <w:tcBorders>
              <w:left w:val="single" w:color="000000" w:sz="4" w:space="0"/>
              <w:right w:val="single" w:color="000000" w:sz="4" w:space="0"/>
            </w:tcBorders>
            <w:vAlign w:val="top"/>
          </w:tcPr>
          <w:p w14:paraId="35CBC8C2">
            <w:pPr>
              <w:pStyle w:val="6"/>
              <w:spacing w:before="143" w:line="184" w:lineRule="auto"/>
              <w:ind w:left="465"/>
              <w:rPr>
                <w:sz w:val="17"/>
                <w:szCs w:val="17"/>
              </w:rPr>
            </w:pPr>
            <w:r>
              <w:rPr>
                <w:spacing w:val="-2"/>
                <w:sz w:val="17"/>
                <w:szCs w:val="17"/>
              </w:rPr>
              <w:t>251.2</w:t>
            </w:r>
          </w:p>
        </w:tc>
        <w:tc>
          <w:tcPr>
            <w:tcW w:w="1380" w:type="dxa"/>
            <w:tcBorders>
              <w:left w:val="single" w:color="000000" w:sz="4" w:space="0"/>
              <w:right w:val="single" w:color="000000" w:sz="4" w:space="0"/>
            </w:tcBorders>
            <w:vAlign w:val="top"/>
          </w:tcPr>
          <w:p w14:paraId="7819F491">
            <w:pPr>
              <w:pStyle w:val="6"/>
              <w:spacing w:before="123" w:line="184" w:lineRule="auto"/>
              <w:ind w:left="465"/>
              <w:rPr>
                <w:sz w:val="17"/>
                <w:szCs w:val="17"/>
              </w:rPr>
            </w:pPr>
            <w:r>
              <w:rPr>
                <w:spacing w:val="-2"/>
                <w:sz w:val="17"/>
                <w:szCs w:val="17"/>
              </w:rPr>
              <w:t>251.2</w:t>
            </w:r>
          </w:p>
        </w:tc>
        <w:tc>
          <w:tcPr>
            <w:tcW w:w="1360" w:type="dxa"/>
            <w:tcBorders>
              <w:left w:val="single" w:color="000000" w:sz="4" w:space="0"/>
              <w:right w:val="single" w:color="000000" w:sz="4" w:space="0"/>
            </w:tcBorders>
            <w:vAlign w:val="top"/>
          </w:tcPr>
          <w:p w14:paraId="5655CB2F">
            <w:pPr>
              <w:pStyle w:val="6"/>
              <w:spacing w:before="143" w:line="184" w:lineRule="auto"/>
              <w:ind w:left="455"/>
              <w:rPr>
                <w:sz w:val="17"/>
                <w:szCs w:val="17"/>
              </w:rPr>
            </w:pPr>
            <w:r>
              <w:rPr>
                <w:spacing w:val="-2"/>
                <w:sz w:val="17"/>
                <w:szCs w:val="17"/>
              </w:rPr>
              <w:t>251.9</w:t>
            </w:r>
          </w:p>
        </w:tc>
        <w:tc>
          <w:tcPr>
            <w:tcW w:w="1380" w:type="dxa"/>
            <w:tcBorders>
              <w:left w:val="single" w:color="000000" w:sz="4" w:space="0"/>
              <w:right w:val="single" w:color="000000" w:sz="4" w:space="0"/>
            </w:tcBorders>
            <w:vAlign w:val="top"/>
          </w:tcPr>
          <w:p w14:paraId="422ED1D1">
            <w:pPr>
              <w:pStyle w:val="6"/>
              <w:spacing w:before="144" w:line="183" w:lineRule="auto"/>
              <w:ind w:left="465"/>
              <w:rPr>
                <w:sz w:val="17"/>
                <w:szCs w:val="17"/>
              </w:rPr>
            </w:pPr>
            <w:r>
              <w:rPr>
                <w:spacing w:val="-2"/>
                <w:sz w:val="17"/>
                <w:szCs w:val="17"/>
              </w:rPr>
              <w:t>253.6</w:t>
            </w:r>
          </w:p>
        </w:tc>
        <w:tc>
          <w:tcPr>
            <w:tcW w:w="1390" w:type="dxa"/>
            <w:tcBorders>
              <w:left w:val="single" w:color="000000" w:sz="4" w:space="0"/>
            </w:tcBorders>
            <w:vAlign w:val="top"/>
          </w:tcPr>
          <w:p w14:paraId="7D318286">
            <w:pPr>
              <w:pStyle w:val="6"/>
              <w:spacing w:before="153" w:line="183" w:lineRule="auto"/>
              <w:ind w:left="475"/>
              <w:rPr>
                <w:sz w:val="17"/>
                <w:szCs w:val="17"/>
              </w:rPr>
            </w:pPr>
            <w:r>
              <w:rPr>
                <w:spacing w:val="-2"/>
                <w:sz w:val="17"/>
                <w:szCs w:val="17"/>
              </w:rPr>
              <w:t>255.3</w:t>
            </w:r>
          </w:p>
        </w:tc>
      </w:tr>
      <w:tr w14:paraId="519FB83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85" w:hRule="atLeast"/>
        </w:trPr>
        <w:tc>
          <w:tcPr>
            <w:tcW w:w="1150" w:type="dxa"/>
            <w:tcBorders>
              <w:right w:val="single" w:color="000000" w:sz="4" w:space="0"/>
            </w:tcBorders>
            <w:vAlign w:val="top"/>
          </w:tcPr>
          <w:p w14:paraId="4BB6D573">
            <w:pPr>
              <w:pStyle w:val="6"/>
              <w:spacing w:before="144" w:line="183" w:lineRule="auto"/>
              <w:ind w:left="490"/>
              <w:rPr>
                <w:sz w:val="17"/>
                <w:szCs w:val="17"/>
              </w:rPr>
            </w:pPr>
            <w:r>
              <w:rPr>
                <w:spacing w:val="-2"/>
                <w:sz w:val="17"/>
                <w:szCs w:val="17"/>
              </w:rPr>
              <w:t>80</w:t>
            </w:r>
          </w:p>
        </w:tc>
        <w:tc>
          <w:tcPr>
            <w:tcW w:w="1380" w:type="dxa"/>
            <w:tcBorders>
              <w:left w:val="single" w:color="000000" w:sz="4" w:space="0"/>
              <w:right w:val="single" w:color="000000" w:sz="4" w:space="0"/>
            </w:tcBorders>
            <w:vAlign w:val="top"/>
          </w:tcPr>
          <w:p w14:paraId="3CDE1666">
            <w:pPr>
              <w:pStyle w:val="6"/>
              <w:spacing w:before="123" w:line="183" w:lineRule="auto"/>
              <w:ind w:left="425"/>
              <w:rPr>
                <w:sz w:val="17"/>
                <w:szCs w:val="17"/>
              </w:rPr>
            </w:pPr>
            <w:r>
              <w:rPr>
                <w:spacing w:val="-2"/>
                <w:sz w:val="17"/>
                <w:szCs w:val="17"/>
              </w:rPr>
              <w:t>2649.3</w:t>
            </w:r>
          </w:p>
        </w:tc>
        <w:tc>
          <w:tcPr>
            <w:tcW w:w="1380" w:type="dxa"/>
            <w:tcBorders>
              <w:left w:val="single" w:color="000000" w:sz="4" w:space="0"/>
              <w:right w:val="single" w:color="000000" w:sz="4" w:space="0"/>
            </w:tcBorders>
            <w:vAlign w:val="top"/>
          </w:tcPr>
          <w:p w14:paraId="12AB67FA">
            <w:pPr>
              <w:pStyle w:val="6"/>
              <w:spacing w:before="133" w:line="183" w:lineRule="auto"/>
              <w:ind w:left="465"/>
              <w:rPr>
                <w:sz w:val="17"/>
                <w:szCs w:val="17"/>
              </w:rPr>
            </w:pPr>
            <w:r>
              <w:rPr>
                <w:spacing w:val="-2"/>
                <w:sz w:val="17"/>
                <w:szCs w:val="17"/>
              </w:rPr>
              <w:t>335.0</w:t>
            </w:r>
          </w:p>
        </w:tc>
        <w:tc>
          <w:tcPr>
            <w:tcW w:w="1380" w:type="dxa"/>
            <w:tcBorders>
              <w:left w:val="single" w:color="000000" w:sz="4" w:space="0"/>
              <w:right w:val="single" w:color="000000" w:sz="4" w:space="0"/>
            </w:tcBorders>
            <w:vAlign w:val="top"/>
          </w:tcPr>
          <w:p w14:paraId="46F5A54F">
            <w:pPr>
              <w:pStyle w:val="6"/>
              <w:spacing w:before="133" w:line="183" w:lineRule="auto"/>
              <w:ind w:left="465"/>
              <w:rPr>
                <w:sz w:val="17"/>
                <w:szCs w:val="17"/>
              </w:rPr>
            </w:pPr>
            <w:r>
              <w:rPr>
                <w:spacing w:val="-2"/>
                <w:sz w:val="17"/>
                <w:szCs w:val="17"/>
              </w:rPr>
              <w:t>335.3</w:t>
            </w:r>
          </w:p>
        </w:tc>
        <w:tc>
          <w:tcPr>
            <w:tcW w:w="1360" w:type="dxa"/>
            <w:tcBorders>
              <w:left w:val="single" w:color="000000" w:sz="4" w:space="0"/>
              <w:right w:val="single" w:color="000000" w:sz="4" w:space="0"/>
            </w:tcBorders>
            <w:vAlign w:val="top"/>
          </w:tcPr>
          <w:p w14:paraId="23DE0041">
            <w:pPr>
              <w:pStyle w:val="6"/>
              <w:spacing w:before="133" w:line="183" w:lineRule="auto"/>
              <w:ind w:left="455"/>
              <w:rPr>
                <w:sz w:val="17"/>
                <w:szCs w:val="17"/>
              </w:rPr>
            </w:pPr>
            <w:r>
              <w:rPr>
                <w:spacing w:val="-2"/>
                <w:sz w:val="17"/>
                <w:szCs w:val="17"/>
              </w:rPr>
              <w:t>335.7</w:t>
            </w:r>
          </w:p>
        </w:tc>
        <w:tc>
          <w:tcPr>
            <w:tcW w:w="1380" w:type="dxa"/>
            <w:tcBorders>
              <w:left w:val="single" w:color="000000" w:sz="4" w:space="0"/>
              <w:right w:val="single" w:color="000000" w:sz="4" w:space="0"/>
            </w:tcBorders>
            <w:vAlign w:val="top"/>
          </w:tcPr>
          <w:p w14:paraId="5CA78E5B">
            <w:pPr>
              <w:pStyle w:val="6"/>
              <w:spacing w:before="133" w:line="183" w:lineRule="auto"/>
              <w:ind w:left="465"/>
              <w:rPr>
                <w:sz w:val="17"/>
                <w:szCs w:val="17"/>
              </w:rPr>
            </w:pPr>
            <w:r>
              <w:rPr>
                <w:spacing w:val="-2"/>
                <w:sz w:val="17"/>
                <w:szCs w:val="17"/>
              </w:rPr>
              <w:t>337.3</w:t>
            </w:r>
          </w:p>
        </w:tc>
        <w:tc>
          <w:tcPr>
            <w:tcW w:w="1390" w:type="dxa"/>
            <w:tcBorders>
              <w:left w:val="single" w:color="000000" w:sz="4" w:space="0"/>
            </w:tcBorders>
            <w:vAlign w:val="top"/>
          </w:tcPr>
          <w:p w14:paraId="3E2E776D">
            <w:pPr>
              <w:pStyle w:val="6"/>
              <w:spacing w:before="144" w:line="183" w:lineRule="auto"/>
              <w:ind w:left="475"/>
              <w:rPr>
                <w:sz w:val="17"/>
                <w:szCs w:val="17"/>
              </w:rPr>
            </w:pPr>
            <w:r>
              <w:rPr>
                <w:spacing w:val="-2"/>
                <w:sz w:val="17"/>
                <w:szCs w:val="17"/>
              </w:rPr>
              <w:t>338.8</w:t>
            </w:r>
          </w:p>
        </w:tc>
      </w:tr>
      <w:tr w14:paraId="3527DA6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0" w:hRule="atLeast"/>
        </w:trPr>
        <w:tc>
          <w:tcPr>
            <w:tcW w:w="1150" w:type="dxa"/>
            <w:tcBorders>
              <w:right w:val="single" w:color="000000" w:sz="4" w:space="0"/>
            </w:tcBorders>
            <w:vAlign w:val="top"/>
          </w:tcPr>
          <w:p w14:paraId="43A1F36C">
            <w:pPr>
              <w:pStyle w:val="6"/>
              <w:spacing w:before="148" w:line="184" w:lineRule="auto"/>
              <w:ind w:left="440"/>
              <w:rPr>
                <w:sz w:val="17"/>
                <w:szCs w:val="17"/>
              </w:rPr>
            </w:pPr>
            <w:r>
              <w:rPr>
                <w:spacing w:val="-5"/>
                <w:sz w:val="17"/>
                <w:szCs w:val="17"/>
              </w:rPr>
              <w:t>100</w:t>
            </w:r>
          </w:p>
        </w:tc>
        <w:tc>
          <w:tcPr>
            <w:tcW w:w="1380" w:type="dxa"/>
            <w:tcBorders>
              <w:left w:val="single" w:color="000000" w:sz="4" w:space="0"/>
              <w:right w:val="single" w:color="000000" w:sz="4" w:space="0"/>
            </w:tcBorders>
            <w:vAlign w:val="top"/>
          </w:tcPr>
          <w:p w14:paraId="0D770A2D">
            <w:pPr>
              <w:pStyle w:val="6"/>
              <w:spacing w:before="128" w:line="183" w:lineRule="auto"/>
              <w:ind w:left="425"/>
              <w:rPr>
                <w:sz w:val="17"/>
                <w:szCs w:val="17"/>
              </w:rPr>
            </w:pPr>
            <w:r>
              <w:rPr>
                <w:spacing w:val="-2"/>
                <w:sz w:val="17"/>
                <w:szCs w:val="17"/>
              </w:rPr>
              <w:t>2687.3</w:t>
            </w:r>
          </w:p>
        </w:tc>
        <w:tc>
          <w:tcPr>
            <w:tcW w:w="1380" w:type="dxa"/>
            <w:tcBorders>
              <w:left w:val="single" w:color="000000" w:sz="4" w:space="0"/>
              <w:right w:val="single" w:color="000000" w:sz="4" w:space="0"/>
            </w:tcBorders>
            <w:vAlign w:val="top"/>
          </w:tcPr>
          <w:p w14:paraId="4AB36E46">
            <w:pPr>
              <w:pStyle w:val="6"/>
              <w:spacing w:before="128" w:line="183" w:lineRule="auto"/>
              <w:ind w:left="424"/>
              <w:rPr>
                <w:sz w:val="17"/>
                <w:szCs w:val="17"/>
              </w:rPr>
            </w:pPr>
            <w:r>
              <w:rPr>
                <w:spacing w:val="-2"/>
                <w:sz w:val="17"/>
                <w:szCs w:val="17"/>
              </w:rPr>
              <w:t>2676.5</w:t>
            </w:r>
          </w:p>
        </w:tc>
        <w:tc>
          <w:tcPr>
            <w:tcW w:w="1380" w:type="dxa"/>
            <w:tcBorders>
              <w:left w:val="single" w:color="000000" w:sz="4" w:space="0"/>
              <w:right w:val="single" w:color="000000" w:sz="4" w:space="0"/>
            </w:tcBorders>
            <w:vAlign w:val="top"/>
          </w:tcPr>
          <w:p w14:paraId="5678C36D">
            <w:pPr>
              <w:pStyle w:val="6"/>
              <w:spacing w:before="138" w:line="184" w:lineRule="auto"/>
              <w:ind w:left="465"/>
              <w:rPr>
                <w:sz w:val="17"/>
                <w:szCs w:val="17"/>
              </w:rPr>
            </w:pPr>
            <w:r>
              <w:rPr>
                <w:spacing w:val="-1"/>
                <w:sz w:val="17"/>
                <w:szCs w:val="17"/>
              </w:rPr>
              <w:t>419.4</w:t>
            </w:r>
          </w:p>
        </w:tc>
        <w:tc>
          <w:tcPr>
            <w:tcW w:w="1360" w:type="dxa"/>
            <w:tcBorders>
              <w:left w:val="single" w:color="000000" w:sz="4" w:space="0"/>
              <w:right w:val="single" w:color="000000" w:sz="4" w:space="0"/>
            </w:tcBorders>
            <w:vAlign w:val="top"/>
          </w:tcPr>
          <w:p w14:paraId="0D562270">
            <w:pPr>
              <w:pStyle w:val="6"/>
              <w:spacing w:before="138" w:line="184" w:lineRule="auto"/>
              <w:ind w:left="455"/>
              <w:rPr>
                <w:sz w:val="17"/>
                <w:szCs w:val="17"/>
              </w:rPr>
            </w:pPr>
            <w:r>
              <w:rPr>
                <w:spacing w:val="-1"/>
                <w:sz w:val="17"/>
                <w:szCs w:val="17"/>
              </w:rPr>
              <w:t>419.7</w:t>
            </w:r>
          </w:p>
        </w:tc>
        <w:tc>
          <w:tcPr>
            <w:tcW w:w="1380" w:type="dxa"/>
            <w:tcBorders>
              <w:left w:val="single" w:color="000000" w:sz="4" w:space="0"/>
              <w:right w:val="single" w:color="000000" w:sz="4" w:space="0"/>
            </w:tcBorders>
            <w:vAlign w:val="top"/>
          </w:tcPr>
          <w:p w14:paraId="33F9D39B">
            <w:pPr>
              <w:pStyle w:val="6"/>
              <w:spacing w:before="138" w:line="184" w:lineRule="auto"/>
              <w:ind w:left="465"/>
              <w:rPr>
                <w:sz w:val="17"/>
                <w:szCs w:val="17"/>
              </w:rPr>
            </w:pPr>
            <w:r>
              <w:rPr>
                <w:spacing w:val="-1"/>
                <w:sz w:val="17"/>
                <w:szCs w:val="17"/>
              </w:rPr>
              <w:t>421.2</w:t>
            </w:r>
          </w:p>
        </w:tc>
        <w:tc>
          <w:tcPr>
            <w:tcW w:w="1390" w:type="dxa"/>
            <w:tcBorders>
              <w:left w:val="single" w:color="000000" w:sz="4" w:space="0"/>
            </w:tcBorders>
            <w:vAlign w:val="top"/>
          </w:tcPr>
          <w:p w14:paraId="7E3CD621">
            <w:pPr>
              <w:pStyle w:val="6"/>
              <w:spacing w:before="149" w:line="183" w:lineRule="auto"/>
              <w:ind w:left="475"/>
              <w:rPr>
                <w:sz w:val="17"/>
                <w:szCs w:val="17"/>
              </w:rPr>
            </w:pPr>
            <w:r>
              <w:rPr>
                <w:spacing w:val="-1"/>
                <w:sz w:val="17"/>
                <w:szCs w:val="17"/>
              </w:rPr>
              <w:t>422.7</w:t>
            </w:r>
          </w:p>
        </w:tc>
      </w:tr>
      <w:tr w14:paraId="7D913CF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9" w:hRule="atLeast"/>
        </w:trPr>
        <w:tc>
          <w:tcPr>
            <w:tcW w:w="1150" w:type="dxa"/>
            <w:tcBorders>
              <w:right w:val="single" w:color="000000" w:sz="4" w:space="0"/>
            </w:tcBorders>
            <w:vAlign w:val="top"/>
          </w:tcPr>
          <w:p w14:paraId="40C34C09">
            <w:pPr>
              <w:pStyle w:val="6"/>
              <w:spacing w:before="158" w:line="184" w:lineRule="auto"/>
              <w:ind w:left="440"/>
              <w:rPr>
                <w:sz w:val="17"/>
                <w:szCs w:val="17"/>
              </w:rPr>
            </w:pPr>
            <w:r>
              <w:rPr>
                <w:spacing w:val="-5"/>
                <w:sz w:val="17"/>
                <w:szCs w:val="17"/>
              </w:rPr>
              <w:t>120</w:t>
            </w:r>
          </w:p>
        </w:tc>
        <w:tc>
          <w:tcPr>
            <w:tcW w:w="1380" w:type="dxa"/>
            <w:tcBorders>
              <w:left w:val="single" w:color="000000" w:sz="4" w:space="0"/>
              <w:right w:val="single" w:color="000000" w:sz="4" w:space="0"/>
            </w:tcBorders>
            <w:vAlign w:val="top"/>
          </w:tcPr>
          <w:p w14:paraId="48B46B20">
            <w:pPr>
              <w:pStyle w:val="6"/>
              <w:spacing w:before="129" w:line="183" w:lineRule="auto"/>
              <w:ind w:left="425"/>
              <w:rPr>
                <w:sz w:val="17"/>
                <w:szCs w:val="17"/>
              </w:rPr>
            </w:pPr>
            <w:r>
              <w:rPr>
                <w:spacing w:val="-2"/>
                <w:sz w:val="17"/>
                <w:szCs w:val="17"/>
              </w:rPr>
              <w:t>2725.4</w:t>
            </w:r>
          </w:p>
        </w:tc>
        <w:tc>
          <w:tcPr>
            <w:tcW w:w="1380" w:type="dxa"/>
            <w:tcBorders>
              <w:left w:val="single" w:color="000000" w:sz="4" w:space="0"/>
              <w:right w:val="single" w:color="000000" w:sz="4" w:space="0"/>
            </w:tcBorders>
            <w:vAlign w:val="top"/>
          </w:tcPr>
          <w:p w14:paraId="64BBFFB5">
            <w:pPr>
              <w:pStyle w:val="6"/>
              <w:spacing w:before="147" w:line="184" w:lineRule="auto"/>
              <w:ind w:left="424"/>
              <w:rPr>
                <w:sz w:val="17"/>
                <w:szCs w:val="17"/>
              </w:rPr>
            </w:pPr>
            <w:r>
              <w:rPr>
                <w:spacing w:val="-2"/>
                <w:sz w:val="17"/>
                <w:szCs w:val="17"/>
              </w:rPr>
              <w:t>2716.8</w:t>
            </w:r>
          </w:p>
        </w:tc>
        <w:tc>
          <w:tcPr>
            <w:tcW w:w="1380" w:type="dxa"/>
            <w:tcBorders>
              <w:left w:val="single" w:color="000000" w:sz="4" w:space="0"/>
              <w:right w:val="single" w:color="000000" w:sz="4" w:space="0"/>
            </w:tcBorders>
            <w:vAlign w:val="top"/>
          </w:tcPr>
          <w:p w14:paraId="6AF48504">
            <w:pPr>
              <w:pStyle w:val="6"/>
              <w:spacing w:before="138" w:line="183" w:lineRule="auto"/>
              <w:ind w:left="465"/>
              <w:rPr>
                <w:sz w:val="17"/>
                <w:szCs w:val="17"/>
              </w:rPr>
            </w:pPr>
            <w:r>
              <w:rPr>
                <w:spacing w:val="-2"/>
                <w:sz w:val="17"/>
                <w:szCs w:val="17"/>
              </w:rPr>
              <w:t>503.9</w:t>
            </w:r>
          </w:p>
        </w:tc>
        <w:tc>
          <w:tcPr>
            <w:tcW w:w="1360" w:type="dxa"/>
            <w:tcBorders>
              <w:left w:val="single" w:color="000000" w:sz="4" w:space="0"/>
              <w:right w:val="single" w:color="000000" w:sz="4" w:space="0"/>
            </w:tcBorders>
            <w:vAlign w:val="top"/>
          </w:tcPr>
          <w:p w14:paraId="2DDF3508">
            <w:pPr>
              <w:pStyle w:val="6"/>
              <w:spacing w:before="138" w:line="183" w:lineRule="auto"/>
              <w:ind w:left="455"/>
              <w:rPr>
                <w:sz w:val="17"/>
                <w:szCs w:val="17"/>
              </w:rPr>
            </w:pPr>
            <w:r>
              <w:rPr>
                <w:spacing w:val="-2"/>
                <w:sz w:val="17"/>
                <w:szCs w:val="17"/>
              </w:rPr>
              <w:t>504.3</w:t>
            </w:r>
          </w:p>
        </w:tc>
        <w:tc>
          <w:tcPr>
            <w:tcW w:w="1380" w:type="dxa"/>
            <w:tcBorders>
              <w:left w:val="single" w:color="000000" w:sz="4" w:space="0"/>
              <w:right w:val="single" w:color="000000" w:sz="4" w:space="0"/>
            </w:tcBorders>
            <w:vAlign w:val="top"/>
          </w:tcPr>
          <w:p w14:paraId="705401A8">
            <w:pPr>
              <w:pStyle w:val="6"/>
              <w:spacing w:before="138" w:line="183" w:lineRule="auto"/>
              <w:ind w:left="465"/>
              <w:rPr>
                <w:sz w:val="17"/>
                <w:szCs w:val="17"/>
              </w:rPr>
            </w:pPr>
            <w:r>
              <w:rPr>
                <w:spacing w:val="-2"/>
                <w:sz w:val="17"/>
                <w:szCs w:val="17"/>
              </w:rPr>
              <w:t>505.7</w:t>
            </w:r>
          </w:p>
        </w:tc>
        <w:tc>
          <w:tcPr>
            <w:tcW w:w="1390" w:type="dxa"/>
            <w:tcBorders>
              <w:left w:val="single" w:color="000000" w:sz="4" w:space="0"/>
            </w:tcBorders>
            <w:vAlign w:val="top"/>
          </w:tcPr>
          <w:p w14:paraId="1736F8AA">
            <w:pPr>
              <w:pStyle w:val="6"/>
              <w:spacing w:before="147" w:line="184" w:lineRule="auto"/>
              <w:ind w:left="475"/>
              <w:rPr>
                <w:sz w:val="17"/>
                <w:szCs w:val="17"/>
              </w:rPr>
            </w:pPr>
            <w:r>
              <w:rPr>
                <w:spacing w:val="-2"/>
                <w:sz w:val="17"/>
                <w:szCs w:val="17"/>
              </w:rPr>
              <w:t>507.1</w:t>
            </w:r>
          </w:p>
        </w:tc>
      </w:tr>
      <w:tr w14:paraId="3B127A6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0" w:hRule="atLeast"/>
        </w:trPr>
        <w:tc>
          <w:tcPr>
            <w:tcW w:w="1150" w:type="dxa"/>
            <w:tcBorders>
              <w:right w:val="single" w:color="000000" w:sz="4" w:space="0"/>
            </w:tcBorders>
            <w:vAlign w:val="top"/>
          </w:tcPr>
          <w:p w14:paraId="4E06C587">
            <w:pPr>
              <w:pStyle w:val="6"/>
              <w:spacing w:before="149" w:line="184" w:lineRule="auto"/>
              <w:ind w:left="440"/>
              <w:rPr>
                <w:sz w:val="17"/>
                <w:szCs w:val="17"/>
              </w:rPr>
            </w:pPr>
            <w:r>
              <w:rPr>
                <w:spacing w:val="-5"/>
                <w:sz w:val="17"/>
                <w:szCs w:val="17"/>
              </w:rPr>
              <w:t>140</w:t>
            </w:r>
          </w:p>
        </w:tc>
        <w:tc>
          <w:tcPr>
            <w:tcW w:w="1380" w:type="dxa"/>
            <w:tcBorders>
              <w:left w:val="single" w:color="000000" w:sz="4" w:space="0"/>
              <w:right w:val="single" w:color="000000" w:sz="4" w:space="0"/>
            </w:tcBorders>
            <w:vAlign w:val="top"/>
          </w:tcPr>
          <w:p w14:paraId="341E188F">
            <w:pPr>
              <w:pStyle w:val="6"/>
              <w:spacing w:before="139" w:line="183" w:lineRule="auto"/>
              <w:ind w:left="425"/>
              <w:rPr>
                <w:sz w:val="17"/>
                <w:szCs w:val="17"/>
              </w:rPr>
            </w:pPr>
            <w:r>
              <w:rPr>
                <w:spacing w:val="-2"/>
                <w:sz w:val="17"/>
                <w:szCs w:val="17"/>
              </w:rPr>
              <w:t>2763.6</w:t>
            </w:r>
          </w:p>
        </w:tc>
        <w:tc>
          <w:tcPr>
            <w:tcW w:w="1380" w:type="dxa"/>
            <w:tcBorders>
              <w:left w:val="single" w:color="000000" w:sz="4" w:space="0"/>
              <w:right w:val="single" w:color="000000" w:sz="4" w:space="0"/>
            </w:tcBorders>
            <w:vAlign w:val="top"/>
          </w:tcPr>
          <w:p w14:paraId="122D067D">
            <w:pPr>
              <w:pStyle w:val="6"/>
              <w:spacing w:before="139" w:line="183" w:lineRule="auto"/>
              <w:ind w:left="424"/>
              <w:rPr>
                <w:sz w:val="17"/>
                <w:szCs w:val="17"/>
              </w:rPr>
            </w:pPr>
            <w:r>
              <w:rPr>
                <w:spacing w:val="-2"/>
                <w:sz w:val="17"/>
                <w:szCs w:val="17"/>
              </w:rPr>
              <w:t>2756.6</w:t>
            </w:r>
          </w:p>
        </w:tc>
        <w:tc>
          <w:tcPr>
            <w:tcW w:w="1380" w:type="dxa"/>
            <w:tcBorders>
              <w:left w:val="single" w:color="000000" w:sz="4" w:space="0"/>
              <w:right w:val="single" w:color="000000" w:sz="4" w:space="0"/>
            </w:tcBorders>
            <w:vAlign w:val="top"/>
          </w:tcPr>
          <w:p w14:paraId="6B94119E">
            <w:pPr>
              <w:pStyle w:val="6"/>
              <w:spacing w:before="129" w:line="183" w:lineRule="auto"/>
              <w:ind w:left="465"/>
              <w:rPr>
                <w:sz w:val="17"/>
                <w:szCs w:val="17"/>
              </w:rPr>
            </w:pPr>
            <w:r>
              <w:rPr>
                <w:spacing w:val="-2"/>
                <w:sz w:val="17"/>
                <w:szCs w:val="17"/>
              </w:rPr>
              <w:t>589.2</w:t>
            </w:r>
          </w:p>
        </w:tc>
        <w:tc>
          <w:tcPr>
            <w:tcW w:w="1360" w:type="dxa"/>
            <w:tcBorders>
              <w:left w:val="single" w:color="000000" w:sz="4" w:space="0"/>
              <w:right w:val="single" w:color="000000" w:sz="4" w:space="0"/>
            </w:tcBorders>
            <w:vAlign w:val="top"/>
          </w:tcPr>
          <w:p w14:paraId="1602B268">
            <w:pPr>
              <w:pStyle w:val="6"/>
              <w:spacing w:before="129" w:line="183" w:lineRule="auto"/>
              <w:ind w:left="455"/>
              <w:rPr>
                <w:sz w:val="17"/>
                <w:szCs w:val="17"/>
              </w:rPr>
            </w:pPr>
            <w:r>
              <w:rPr>
                <w:spacing w:val="-2"/>
                <w:sz w:val="17"/>
                <w:szCs w:val="17"/>
              </w:rPr>
              <w:t>589.5</w:t>
            </w:r>
          </w:p>
        </w:tc>
        <w:tc>
          <w:tcPr>
            <w:tcW w:w="1380" w:type="dxa"/>
            <w:tcBorders>
              <w:left w:val="single" w:color="000000" w:sz="4" w:space="0"/>
              <w:right w:val="single" w:color="000000" w:sz="4" w:space="0"/>
            </w:tcBorders>
            <w:vAlign w:val="top"/>
          </w:tcPr>
          <w:p w14:paraId="15F51845">
            <w:pPr>
              <w:pStyle w:val="6"/>
              <w:spacing w:before="129" w:line="183" w:lineRule="auto"/>
              <w:ind w:left="465"/>
              <w:rPr>
                <w:sz w:val="17"/>
                <w:szCs w:val="17"/>
              </w:rPr>
            </w:pPr>
            <w:r>
              <w:rPr>
                <w:spacing w:val="-2"/>
                <w:sz w:val="17"/>
                <w:szCs w:val="17"/>
              </w:rPr>
              <w:t>590.8</w:t>
            </w:r>
          </w:p>
        </w:tc>
        <w:tc>
          <w:tcPr>
            <w:tcW w:w="1390" w:type="dxa"/>
            <w:tcBorders>
              <w:left w:val="single" w:color="000000" w:sz="4" w:space="0"/>
            </w:tcBorders>
            <w:vAlign w:val="top"/>
          </w:tcPr>
          <w:p w14:paraId="02788E2D">
            <w:pPr>
              <w:pStyle w:val="6"/>
              <w:spacing w:before="149" w:line="184" w:lineRule="auto"/>
              <w:ind w:left="475"/>
              <w:rPr>
                <w:sz w:val="17"/>
                <w:szCs w:val="17"/>
              </w:rPr>
            </w:pPr>
            <w:r>
              <w:rPr>
                <w:spacing w:val="-2"/>
                <w:sz w:val="17"/>
                <w:szCs w:val="17"/>
              </w:rPr>
              <w:t>592.1</w:t>
            </w:r>
          </w:p>
        </w:tc>
      </w:tr>
      <w:tr w14:paraId="39641C6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84" w:hRule="atLeast"/>
        </w:trPr>
        <w:tc>
          <w:tcPr>
            <w:tcW w:w="1150" w:type="dxa"/>
            <w:tcBorders>
              <w:right w:val="single" w:color="000000" w:sz="4" w:space="0"/>
            </w:tcBorders>
            <w:vAlign w:val="top"/>
          </w:tcPr>
          <w:p w14:paraId="4F4C3647">
            <w:pPr>
              <w:pStyle w:val="6"/>
              <w:spacing w:before="149" w:line="184" w:lineRule="auto"/>
              <w:ind w:left="440"/>
              <w:rPr>
                <w:sz w:val="17"/>
                <w:szCs w:val="17"/>
              </w:rPr>
            </w:pPr>
            <w:r>
              <w:rPr>
                <w:spacing w:val="-5"/>
                <w:sz w:val="17"/>
                <w:szCs w:val="17"/>
              </w:rPr>
              <w:t>160</w:t>
            </w:r>
          </w:p>
        </w:tc>
        <w:tc>
          <w:tcPr>
            <w:tcW w:w="1380" w:type="dxa"/>
            <w:tcBorders>
              <w:left w:val="single" w:color="000000" w:sz="4" w:space="0"/>
              <w:right w:val="single" w:color="000000" w:sz="4" w:space="0"/>
            </w:tcBorders>
            <w:vAlign w:val="top"/>
          </w:tcPr>
          <w:p w14:paraId="154D48BB">
            <w:pPr>
              <w:pStyle w:val="6"/>
              <w:spacing w:before="129" w:line="183" w:lineRule="auto"/>
              <w:ind w:left="425"/>
              <w:rPr>
                <w:sz w:val="17"/>
                <w:szCs w:val="17"/>
              </w:rPr>
            </w:pPr>
            <w:r>
              <w:rPr>
                <w:spacing w:val="-2"/>
                <w:sz w:val="17"/>
                <w:szCs w:val="17"/>
              </w:rPr>
              <w:t>2802.0</w:t>
            </w:r>
          </w:p>
        </w:tc>
        <w:tc>
          <w:tcPr>
            <w:tcW w:w="1380" w:type="dxa"/>
            <w:tcBorders>
              <w:left w:val="single" w:color="000000" w:sz="4" w:space="0"/>
              <w:right w:val="single" w:color="000000" w:sz="4" w:space="0"/>
            </w:tcBorders>
            <w:vAlign w:val="top"/>
          </w:tcPr>
          <w:p w14:paraId="7DB41870">
            <w:pPr>
              <w:pStyle w:val="6"/>
              <w:spacing w:before="129" w:line="183" w:lineRule="auto"/>
              <w:ind w:left="424"/>
              <w:rPr>
                <w:sz w:val="17"/>
                <w:szCs w:val="17"/>
              </w:rPr>
            </w:pPr>
            <w:r>
              <w:rPr>
                <w:spacing w:val="-2"/>
                <w:sz w:val="17"/>
                <w:szCs w:val="17"/>
              </w:rPr>
              <w:t>2796.2</w:t>
            </w:r>
          </w:p>
        </w:tc>
        <w:tc>
          <w:tcPr>
            <w:tcW w:w="1380" w:type="dxa"/>
            <w:tcBorders>
              <w:left w:val="single" w:color="000000" w:sz="4" w:space="0"/>
              <w:right w:val="single" w:color="000000" w:sz="4" w:space="0"/>
            </w:tcBorders>
            <w:vAlign w:val="top"/>
          </w:tcPr>
          <w:p w14:paraId="03F8FC96">
            <w:pPr>
              <w:pStyle w:val="6"/>
              <w:spacing w:before="129" w:line="183" w:lineRule="auto"/>
              <w:ind w:left="425"/>
              <w:rPr>
                <w:sz w:val="17"/>
                <w:szCs w:val="17"/>
              </w:rPr>
            </w:pPr>
            <w:r>
              <w:rPr>
                <w:spacing w:val="-2"/>
                <w:sz w:val="17"/>
                <w:szCs w:val="17"/>
              </w:rPr>
              <w:t>2767.3</w:t>
            </w:r>
          </w:p>
        </w:tc>
        <w:tc>
          <w:tcPr>
            <w:tcW w:w="1360" w:type="dxa"/>
            <w:tcBorders>
              <w:left w:val="single" w:color="000000" w:sz="4" w:space="0"/>
              <w:right w:val="single" w:color="000000" w:sz="4" w:space="0"/>
            </w:tcBorders>
            <w:vAlign w:val="top"/>
          </w:tcPr>
          <w:p w14:paraId="723544B9">
            <w:pPr>
              <w:pStyle w:val="6"/>
              <w:spacing w:before="139" w:line="183" w:lineRule="auto"/>
              <w:ind w:left="455"/>
              <w:rPr>
                <w:sz w:val="17"/>
                <w:szCs w:val="17"/>
              </w:rPr>
            </w:pPr>
            <w:r>
              <w:rPr>
                <w:spacing w:val="-2"/>
                <w:sz w:val="17"/>
                <w:szCs w:val="17"/>
              </w:rPr>
              <w:t>675.7</w:t>
            </w:r>
          </w:p>
        </w:tc>
        <w:tc>
          <w:tcPr>
            <w:tcW w:w="1380" w:type="dxa"/>
            <w:tcBorders>
              <w:left w:val="single" w:color="000000" w:sz="4" w:space="0"/>
              <w:right w:val="single" w:color="000000" w:sz="4" w:space="0"/>
            </w:tcBorders>
            <w:vAlign w:val="top"/>
          </w:tcPr>
          <w:p w14:paraId="5A251963">
            <w:pPr>
              <w:pStyle w:val="6"/>
              <w:spacing w:before="129" w:line="183" w:lineRule="auto"/>
              <w:ind w:left="465"/>
              <w:rPr>
                <w:sz w:val="17"/>
                <w:szCs w:val="17"/>
              </w:rPr>
            </w:pPr>
            <w:r>
              <w:rPr>
                <w:spacing w:val="-2"/>
                <w:sz w:val="17"/>
                <w:szCs w:val="17"/>
              </w:rPr>
              <w:t>676.9</w:t>
            </w:r>
          </w:p>
        </w:tc>
        <w:tc>
          <w:tcPr>
            <w:tcW w:w="1390" w:type="dxa"/>
            <w:tcBorders>
              <w:left w:val="single" w:color="000000" w:sz="4" w:space="0"/>
            </w:tcBorders>
            <w:vAlign w:val="top"/>
          </w:tcPr>
          <w:p w14:paraId="2FFDE041">
            <w:pPr>
              <w:pStyle w:val="6"/>
              <w:spacing w:before="150" w:line="183" w:lineRule="auto"/>
              <w:ind w:left="475"/>
              <w:rPr>
                <w:sz w:val="17"/>
                <w:szCs w:val="17"/>
              </w:rPr>
            </w:pPr>
            <w:r>
              <w:rPr>
                <w:spacing w:val="-2"/>
                <w:sz w:val="17"/>
                <w:szCs w:val="17"/>
              </w:rPr>
              <w:t>678.0</w:t>
            </w:r>
          </w:p>
        </w:tc>
      </w:tr>
      <w:tr w14:paraId="739C987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0" w:hRule="atLeast"/>
        </w:trPr>
        <w:tc>
          <w:tcPr>
            <w:tcW w:w="1150" w:type="dxa"/>
            <w:tcBorders>
              <w:right w:val="single" w:color="000000" w:sz="4" w:space="0"/>
            </w:tcBorders>
            <w:vAlign w:val="top"/>
          </w:tcPr>
          <w:p w14:paraId="27AED0D8">
            <w:pPr>
              <w:pStyle w:val="6"/>
              <w:spacing w:before="155" w:line="184" w:lineRule="auto"/>
              <w:ind w:left="440"/>
              <w:rPr>
                <w:sz w:val="17"/>
                <w:szCs w:val="17"/>
              </w:rPr>
            </w:pPr>
            <w:r>
              <w:rPr>
                <w:spacing w:val="-5"/>
                <w:sz w:val="17"/>
                <w:szCs w:val="17"/>
              </w:rPr>
              <w:t>180</w:t>
            </w:r>
          </w:p>
        </w:tc>
        <w:tc>
          <w:tcPr>
            <w:tcW w:w="1380" w:type="dxa"/>
            <w:tcBorders>
              <w:left w:val="single" w:color="000000" w:sz="4" w:space="0"/>
              <w:right w:val="single" w:color="000000" w:sz="4" w:space="0"/>
            </w:tcBorders>
            <w:vAlign w:val="top"/>
          </w:tcPr>
          <w:p w14:paraId="6CB1B6F2">
            <w:pPr>
              <w:pStyle w:val="6"/>
              <w:spacing w:before="156" w:line="183" w:lineRule="auto"/>
              <w:ind w:left="425"/>
              <w:rPr>
                <w:sz w:val="17"/>
                <w:szCs w:val="17"/>
              </w:rPr>
            </w:pPr>
            <w:r>
              <w:rPr>
                <w:spacing w:val="-2"/>
                <w:sz w:val="17"/>
                <w:szCs w:val="17"/>
              </w:rPr>
              <w:t>2840.6</w:t>
            </w:r>
          </w:p>
        </w:tc>
        <w:tc>
          <w:tcPr>
            <w:tcW w:w="1380" w:type="dxa"/>
            <w:tcBorders>
              <w:left w:val="single" w:color="000000" w:sz="4" w:space="0"/>
              <w:right w:val="single" w:color="000000" w:sz="4" w:space="0"/>
            </w:tcBorders>
            <w:vAlign w:val="top"/>
          </w:tcPr>
          <w:p w14:paraId="74E7601F">
            <w:pPr>
              <w:pStyle w:val="6"/>
              <w:spacing w:before="156" w:line="183" w:lineRule="auto"/>
              <w:ind w:left="424"/>
              <w:rPr>
                <w:sz w:val="17"/>
                <w:szCs w:val="17"/>
              </w:rPr>
            </w:pPr>
            <w:r>
              <w:rPr>
                <w:spacing w:val="-2"/>
                <w:sz w:val="17"/>
                <w:szCs w:val="17"/>
              </w:rPr>
              <w:t>2835.7</w:t>
            </w:r>
          </w:p>
        </w:tc>
        <w:tc>
          <w:tcPr>
            <w:tcW w:w="1380" w:type="dxa"/>
            <w:tcBorders>
              <w:left w:val="single" w:color="000000" w:sz="4" w:space="0"/>
              <w:right w:val="single" w:color="000000" w:sz="4" w:space="0"/>
            </w:tcBorders>
            <w:vAlign w:val="top"/>
          </w:tcPr>
          <w:p w14:paraId="5C286C35">
            <w:pPr>
              <w:pStyle w:val="6"/>
              <w:spacing w:before="124" w:line="184" w:lineRule="auto"/>
              <w:ind w:left="425"/>
              <w:rPr>
                <w:sz w:val="17"/>
                <w:szCs w:val="17"/>
              </w:rPr>
            </w:pPr>
            <w:r>
              <w:rPr>
                <w:spacing w:val="-2"/>
                <w:sz w:val="17"/>
                <w:szCs w:val="17"/>
              </w:rPr>
              <w:t>2812.1</w:t>
            </w:r>
          </w:p>
        </w:tc>
        <w:tc>
          <w:tcPr>
            <w:tcW w:w="1360" w:type="dxa"/>
            <w:tcBorders>
              <w:left w:val="single" w:color="000000" w:sz="4" w:space="0"/>
              <w:right w:val="single" w:color="000000" w:sz="4" w:space="0"/>
            </w:tcBorders>
            <w:vAlign w:val="top"/>
          </w:tcPr>
          <w:p w14:paraId="7FA76153">
            <w:pPr>
              <w:pStyle w:val="6"/>
              <w:spacing w:before="156" w:line="183" w:lineRule="auto"/>
              <w:ind w:left="415"/>
              <w:rPr>
                <w:sz w:val="17"/>
                <w:szCs w:val="17"/>
              </w:rPr>
            </w:pPr>
            <w:r>
              <w:rPr>
                <w:spacing w:val="-2"/>
                <w:sz w:val="17"/>
                <w:szCs w:val="17"/>
              </w:rPr>
              <w:t>2777.3</w:t>
            </w:r>
          </w:p>
        </w:tc>
        <w:tc>
          <w:tcPr>
            <w:tcW w:w="1380" w:type="dxa"/>
            <w:tcBorders>
              <w:left w:val="single" w:color="000000" w:sz="4" w:space="0"/>
              <w:right w:val="single" w:color="000000" w:sz="4" w:space="0"/>
            </w:tcBorders>
            <w:vAlign w:val="top"/>
          </w:tcPr>
          <w:p w14:paraId="379A779A">
            <w:pPr>
              <w:pStyle w:val="6"/>
              <w:spacing w:before="145" w:line="184" w:lineRule="auto"/>
              <w:ind w:left="465"/>
              <w:rPr>
                <w:sz w:val="17"/>
                <w:szCs w:val="17"/>
              </w:rPr>
            </w:pPr>
            <w:r>
              <w:rPr>
                <w:spacing w:val="-2"/>
                <w:sz w:val="17"/>
                <w:szCs w:val="17"/>
              </w:rPr>
              <w:t>764.1</w:t>
            </w:r>
          </w:p>
        </w:tc>
        <w:tc>
          <w:tcPr>
            <w:tcW w:w="1390" w:type="dxa"/>
            <w:tcBorders>
              <w:left w:val="single" w:color="000000" w:sz="4" w:space="0"/>
            </w:tcBorders>
            <w:vAlign w:val="top"/>
          </w:tcPr>
          <w:p w14:paraId="5A416978">
            <w:pPr>
              <w:pStyle w:val="6"/>
              <w:spacing w:before="156" w:line="183" w:lineRule="auto"/>
              <w:ind w:left="475"/>
              <w:rPr>
                <w:sz w:val="17"/>
                <w:szCs w:val="17"/>
              </w:rPr>
            </w:pPr>
            <w:r>
              <w:rPr>
                <w:spacing w:val="-2"/>
                <w:sz w:val="17"/>
                <w:szCs w:val="17"/>
              </w:rPr>
              <w:t>765.2</w:t>
            </w:r>
          </w:p>
        </w:tc>
      </w:tr>
      <w:tr w14:paraId="2A532B7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89" w:hRule="atLeast"/>
        </w:trPr>
        <w:tc>
          <w:tcPr>
            <w:tcW w:w="1150" w:type="dxa"/>
            <w:tcBorders>
              <w:right w:val="single" w:color="000000" w:sz="4" w:space="0"/>
            </w:tcBorders>
            <w:vAlign w:val="top"/>
          </w:tcPr>
          <w:p w14:paraId="0FA10C21">
            <w:pPr>
              <w:pStyle w:val="6"/>
              <w:spacing w:before="155" w:line="183" w:lineRule="auto"/>
              <w:ind w:left="440"/>
              <w:rPr>
                <w:sz w:val="17"/>
                <w:szCs w:val="17"/>
              </w:rPr>
            </w:pPr>
            <w:r>
              <w:rPr>
                <w:spacing w:val="-2"/>
                <w:sz w:val="17"/>
                <w:szCs w:val="17"/>
              </w:rPr>
              <w:t>200</w:t>
            </w:r>
          </w:p>
        </w:tc>
        <w:tc>
          <w:tcPr>
            <w:tcW w:w="1380" w:type="dxa"/>
            <w:tcBorders>
              <w:left w:val="single" w:color="000000" w:sz="4" w:space="0"/>
              <w:right w:val="single" w:color="000000" w:sz="4" w:space="0"/>
            </w:tcBorders>
            <w:vAlign w:val="top"/>
          </w:tcPr>
          <w:p w14:paraId="4BF0A2DB">
            <w:pPr>
              <w:pStyle w:val="6"/>
              <w:spacing w:before="125" w:line="183" w:lineRule="auto"/>
              <w:ind w:left="425"/>
              <w:rPr>
                <w:sz w:val="17"/>
                <w:szCs w:val="17"/>
              </w:rPr>
            </w:pPr>
            <w:r>
              <w:rPr>
                <w:spacing w:val="-2"/>
                <w:sz w:val="17"/>
                <w:szCs w:val="17"/>
              </w:rPr>
              <w:t>2879.3</w:t>
            </w:r>
          </w:p>
        </w:tc>
        <w:tc>
          <w:tcPr>
            <w:tcW w:w="1380" w:type="dxa"/>
            <w:tcBorders>
              <w:left w:val="single" w:color="000000" w:sz="4" w:space="0"/>
              <w:right w:val="single" w:color="000000" w:sz="4" w:space="0"/>
            </w:tcBorders>
            <w:vAlign w:val="top"/>
          </w:tcPr>
          <w:p w14:paraId="274F8EE5">
            <w:pPr>
              <w:pStyle w:val="6"/>
              <w:spacing w:before="125" w:line="183" w:lineRule="auto"/>
              <w:ind w:left="424"/>
              <w:rPr>
                <w:sz w:val="17"/>
                <w:szCs w:val="17"/>
              </w:rPr>
            </w:pPr>
            <w:r>
              <w:rPr>
                <w:spacing w:val="-2"/>
                <w:sz w:val="17"/>
                <w:szCs w:val="17"/>
              </w:rPr>
              <w:t>2875.2</w:t>
            </w:r>
          </w:p>
        </w:tc>
        <w:tc>
          <w:tcPr>
            <w:tcW w:w="1380" w:type="dxa"/>
            <w:tcBorders>
              <w:left w:val="single" w:color="000000" w:sz="4" w:space="0"/>
              <w:right w:val="single" w:color="000000" w:sz="4" w:space="0"/>
            </w:tcBorders>
            <w:vAlign w:val="top"/>
          </w:tcPr>
          <w:p w14:paraId="4A541718">
            <w:pPr>
              <w:pStyle w:val="6"/>
              <w:spacing w:before="125" w:line="183" w:lineRule="auto"/>
              <w:ind w:left="425"/>
              <w:rPr>
                <w:sz w:val="17"/>
                <w:szCs w:val="17"/>
              </w:rPr>
            </w:pPr>
            <w:r>
              <w:rPr>
                <w:spacing w:val="-2"/>
                <w:sz w:val="17"/>
                <w:szCs w:val="17"/>
              </w:rPr>
              <w:t>2855.5</w:t>
            </w:r>
          </w:p>
        </w:tc>
        <w:tc>
          <w:tcPr>
            <w:tcW w:w="1360" w:type="dxa"/>
            <w:tcBorders>
              <w:left w:val="single" w:color="000000" w:sz="4" w:space="0"/>
              <w:right w:val="single" w:color="000000" w:sz="4" w:space="0"/>
            </w:tcBorders>
            <w:vAlign w:val="top"/>
          </w:tcPr>
          <w:p w14:paraId="16A46315">
            <w:pPr>
              <w:pStyle w:val="6"/>
              <w:spacing w:before="125" w:line="183" w:lineRule="auto"/>
              <w:ind w:left="415"/>
              <w:rPr>
                <w:sz w:val="17"/>
                <w:szCs w:val="17"/>
              </w:rPr>
            </w:pPr>
            <w:r>
              <w:rPr>
                <w:spacing w:val="-2"/>
                <w:sz w:val="17"/>
                <w:szCs w:val="17"/>
              </w:rPr>
              <w:t>2827.5</w:t>
            </w:r>
          </w:p>
        </w:tc>
        <w:tc>
          <w:tcPr>
            <w:tcW w:w="1380" w:type="dxa"/>
            <w:tcBorders>
              <w:left w:val="single" w:color="000000" w:sz="4" w:space="0"/>
              <w:right w:val="single" w:color="000000" w:sz="4" w:space="0"/>
            </w:tcBorders>
            <w:vAlign w:val="top"/>
          </w:tcPr>
          <w:p w14:paraId="1EFBEA94">
            <w:pPr>
              <w:pStyle w:val="6"/>
              <w:spacing w:before="125" w:line="183" w:lineRule="auto"/>
              <w:ind w:left="465"/>
              <w:rPr>
                <w:sz w:val="17"/>
                <w:szCs w:val="17"/>
              </w:rPr>
            </w:pPr>
            <w:r>
              <w:rPr>
                <w:spacing w:val="-2"/>
                <w:sz w:val="17"/>
                <w:szCs w:val="17"/>
              </w:rPr>
              <w:t>853.0</w:t>
            </w:r>
          </w:p>
        </w:tc>
        <w:tc>
          <w:tcPr>
            <w:tcW w:w="1390" w:type="dxa"/>
            <w:tcBorders>
              <w:left w:val="single" w:color="000000" w:sz="4" w:space="0"/>
            </w:tcBorders>
            <w:vAlign w:val="top"/>
          </w:tcPr>
          <w:p w14:paraId="4836553B">
            <w:pPr>
              <w:pStyle w:val="6"/>
              <w:spacing w:before="145" w:line="183" w:lineRule="auto"/>
              <w:ind w:left="475"/>
              <w:rPr>
                <w:sz w:val="17"/>
                <w:szCs w:val="17"/>
              </w:rPr>
            </w:pPr>
            <w:r>
              <w:rPr>
                <w:spacing w:val="-2"/>
                <w:sz w:val="17"/>
                <w:szCs w:val="17"/>
              </w:rPr>
              <w:t>853.8</w:t>
            </w:r>
          </w:p>
        </w:tc>
      </w:tr>
      <w:tr w14:paraId="516CFBA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0" w:hRule="atLeast"/>
        </w:trPr>
        <w:tc>
          <w:tcPr>
            <w:tcW w:w="1150" w:type="dxa"/>
            <w:tcBorders>
              <w:right w:val="single" w:color="000000" w:sz="4" w:space="0"/>
            </w:tcBorders>
            <w:vAlign w:val="top"/>
          </w:tcPr>
          <w:p w14:paraId="5135B274">
            <w:pPr>
              <w:pStyle w:val="6"/>
              <w:spacing w:before="156" w:line="183" w:lineRule="auto"/>
              <w:ind w:left="440"/>
              <w:rPr>
                <w:sz w:val="17"/>
                <w:szCs w:val="17"/>
              </w:rPr>
            </w:pPr>
            <w:r>
              <w:rPr>
                <w:spacing w:val="-2"/>
                <w:sz w:val="17"/>
                <w:szCs w:val="17"/>
              </w:rPr>
              <w:t>220</w:t>
            </w:r>
          </w:p>
        </w:tc>
        <w:tc>
          <w:tcPr>
            <w:tcW w:w="1380" w:type="dxa"/>
            <w:tcBorders>
              <w:left w:val="single" w:color="000000" w:sz="4" w:space="0"/>
              <w:right w:val="single" w:color="000000" w:sz="4" w:space="0"/>
            </w:tcBorders>
            <w:vAlign w:val="top"/>
          </w:tcPr>
          <w:p w14:paraId="37509112">
            <w:pPr>
              <w:pStyle w:val="6"/>
              <w:spacing w:before="125" w:line="184" w:lineRule="auto"/>
              <w:ind w:left="425"/>
              <w:rPr>
                <w:sz w:val="17"/>
                <w:szCs w:val="17"/>
              </w:rPr>
            </w:pPr>
            <w:r>
              <w:rPr>
                <w:spacing w:val="-2"/>
                <w:sz w:val="17"/>
                <w:szCs w:val="17"/>
              </w:rPr>
              <w:t>2918.3</w:t>
            </w:r>
          </w:p>
        </w:tc>
        <w:tc>
          <w:tcPr>
            <w:tcW w:w="1380" w:type="dxa"/>
            <w:tcBorders>
              <w:left w:val="single" w:color="000000" w:sz="4" w:space="0"/>
              <w:right w:val="single" w:color="000000" w:sz="4" w:space="0"/>
            </w:tcBorders>
            <w:vAlign w:val="top"/>
          </w:tcPr>
          <w:p w14:paraId="022FFAB1">
            <w:pPr>
              <w:pStyle w:val="6"/>
              <w:spacing w:before="125" w:line="184" w:lineRule="auto"/>
              <w:ind w:left="424"/>
              <w:rPr>
                <w:sz w:val="17"/>
                <w:szCs w:val="17"/>
              </w:rPr>
            </w:pPr>
            <w:r>
              <w:rPr>
                <w:spacing w:val="-2"/>
                <w:sz w:val="17"/>
                <w:szCs w:val="17"/>
              </w:rPr>
              <w:t>2914.7</w:t>
            </w:r>
          </w:p>
        </w:tc>
        <w:tc>
          <w:tcPr>
            <w:tcW w:w="1380" w:type="dxa"/>
            <w:tcBorders>
              <w:left w:val="single" w:color="000000" w:sz="4" w:space="0"/>
              <w:right w:val="single" w:color="000000" w:sz="4" w:space="0"/>
            </w:tcBorders>
            <w:vAlign w:val="top"/>
          </w:tcPr>
          <w:p w14:paraId="1F2CEBC4">
            <w:pPr>
              <w:pStyle w:val="6"/>
              <w:spacing w:before="126" w:line="183" w:lineRule="auto"/>
              <w:ind w:left="425"/>
              <w:rPr>
                <w:sz w:val="17"/>
                <w:szCs w:val="17"/>
              </w:rPr>
            </w:pPr>
            <w:r>
              <w:rPr>
                <w:spacing w:val="-2"/>
                <w:sz w:val="17"/>
                <w:szCs w:val="17"/>
              </w:rPr>
              <w:t>2898.0</w:t>
            </w:r>
          </w:p>
        </w:tc>
        <w:tc>
          <w:tcPr>
            <w:tcW w:w="1360" w:type="dxa"/>
            <w:tcBorders>
              <w:left w:val="single" w:color="000000" w:sz="4" w:space="0"/>
              <w:right w:val="single" w:color="000000" w:sz="4" w:space="0"/>
            </w:tcBorders>
            <w:vAlign w:val="top"/>
          </w:tcPr>
          <w:p w14:paraId="7B92305A">
            <w:pPr>
              <w:pStyle w:val="6"/>
              <w:spacing w:before="126" w:line="183" w:lineRule="auto"/>
              <w:ind w:left="415"/>
              <w:rPr>
                <w:sz w:val="17"/>
                <w:szCs w:val="17"/>
              </w:rPr>
            </w:pPr>
            <w:r>
              <w:rPr>
                <w:spacing w:val="-2"/>
                <w:sz w:val="17"/>
                <w:szCs w:val="17"/>
              </w:rPr>
              <w:t>2874.9</w:t>
            </w:r>
          </w:p>
        </w:tc>
        <w:tc>
          <w:tcPr>
            <w:tcW w:w="1380" w:type="dxa"/>
            <w:tcBorders>
              <w:left w:val="single" w:color="000000" w:sz="4" w:space="0"/>
              <w:right w:val="single" w:color="000000" w:sz="4" w:space="0"/>
            </w:tcBorders>
            <w:vAlign w:val="top"/>
          </w:tcPr>
          <w:p w14:paraId="7B542AFF">
            <w:pPr>
              <w:pStyle w:val="6"/>
              <w:spacing w:before="137" w:line="183" w:lineRule="auto"/>
              <w:ind w:left="465"/>
              <w:rPr>
                <w:sz w:val="17"/>
                <w:szCs w:val="17"/>
              </w:rPr>
            </w:pPr>
            <w:r>
              <w:rPr>
                <w:spacing w:val="-2"/>
                <w:sz w:val="17"/>
                <w:szCs w:val="17"/>
              </w:rPr>
              <w:t>943.9</w:t>
            </w:r>
          </w:p>
        </w:tc>
        <w:tc>
          <w:tcPr>
            <w:tcW w:w="1390" w:type="dxa"/>
            <w:tcBorders>
              <w:left w:val="single" w:color="000000" w:sz="4" w:space="0"/>
            </w:tcBorders>
            <w:vAlign w:val="top"/>
          </w:tcPr>
          <w:p w14:paraId="6DD457C4">
            <w:pPr>
              <w:pStyle w:val="6"/>
              <w:spacing w:before="137" w:line="183" w:lineRule="auto"/>
              <w:ind w:left="475"/>
              <w:rPr>
                <w:sz w:val="17"/>
                <w:szCs w:val="17"/>
              </w:rPr>
            </w:pPr>
            <w:r>
              <w:rPr>
                <w:spacing w:val="-2"/>
                <w:sz w:val="17"/>
                <w:szCs w:val="17"/>
              </w:rPr>
              <w:t>944.4</w:t>
            </w:r>
          </w:p>
        </w:tc>
      </w:tr>
      <w:tr w14:paraId="61D6BB0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00" w:hRule="atLeast"/>
        </w:trPr>
        <w:tc>
          <w:tcPr>
            <w:tcW w:w="1150" w:type="dxa"/>
            <w:tcBorders>
              <w:right w:val="single" w:color="000000" w:sz="4" w:space="0"/>
            </w:tcBorders>
            <w:vAlign w:val="top"/>
          </w:tcPr>
          <w:p w14:paraId="5621E84E">
            <w:pPr>
              <w:pStyle w:val="6"/>
              <w:spacing w:before="146" w:line="183" w:lineRule="auto"/>
              <w:ind w:left="440"/>
              <w:rPr>
                <w:sz w:val="17"/>
                <w:szCs w:val="17"/>
              </w:rPr>
            </w:pPr>
            <w:r>
              <w:rPr>
                <w:spacing w:val="-2"/>
                <w:sz w:val="17"/>
                <w:szCs w:val="17"/>
              </w:rPr>
              <w:t>240</w:t>
            </w:r>
          </w:p>
        </w:tc>
        <w:tc>
          <w:tcPr>
            <w:tcW w:w="1380" w:type="dxa"/>
            <w:tcBorders>
              <w:left w:val="single" w:color="000000" w:sz="4" w:space="0"/>
              <w:right w:val="single" w:color="000000" w:sz="4" w:space="0"/>
            </w:tcBorders>
            <w:vAlign w:val="top"/>
          </w:tcPr>
          <w:p w14:paraId="69719739">
            <w:pPr>
              <w:pStyle w:val="6"/>
              <w:spacing w:before="146" w:line="183" w:lineRule="auto"/>
              <w:ind w:left="425"/>
              <w:rPr>
                <w:sz w:val="17"/>
                <w:szCs w:val="17"/>
              </w:rPr>
            </w:pPr>
            <w:r>
              <w:rPr>
                <w:spacing w:val="-2"/>
                <w:sz w:val="17"/>
                <w:szCs w:val="17"/>
              </w:rPr>
              <w:t>2957.4</w:t>
            </w:r>
          </w:p>
        </w:tc>
        <w:tc>
          <w:tcPr>
            <w:tcW w:w="1380" w:type="dxa"/>
            <w:tcBorders>
              <w:left w:val="single" w:color="000000" w:sz="4" w:space="0"/>
              <w:right w:val="single" w:color="000000" w:sz="4" w:space="0"/>
            </w:tcBorders>
            <w:vAlign w:val="top"/>
          </w:tcPr>
          <w:p w14:paraId="5E352DB1">
            <w:pPr>
              <w:pStyle w:val="6"/>
              <w:spacing w:before="146" w:line="183" w:lineRule="auto"/>
              <w:ind w:left="424"/>
              <w:rPr>
                <w:sz w:val="17"/>
                <w:szCs w:val="17"/>
              </w:rPr>
            </w:pPr>
            <w:r>
              <w:rPr>
                <w:spacing w:val="-2"/>
                <w:sz w:val="17"/>
                <w:szCs w:val="17"/>
              </w:rPr>
              <w:t>2954.3</w:t>
            </w:r>
          </w:p>
        </w:tc>
        <w:tc>
          <w:tcPr>
            <w:tcW w:w="1380" w:type="dxa"/>
            <w:tcBorders>
              <w:left w:val="single" w:color="000000" w:sz="4" w:space="0"/>
              <w:right w:val="single" w:color="000000" w:sz="4" w:space="0"/>
            </w:tcBorders>
            <w:vAlign w:val="top"/>
          </w:tcPr>
          <w:p w14:paraId="69F1F7B8">
            <w:pPr>
              <w:pStyle w:val="6"/>
              <w:spacing w:before="126" w:line="183" w:lineRule="auto"/>
              <w:ind w:left="425"/>
              <w:rPr>
                <w:sz w:val="17"/>
                <w:szCs w:val="17"/>
              </w:rPr>
            </w:pPr>
            <w:r>
              <w:rPr>
                <w:spacing w:val="-2"/>
                <w:sz w:val="17"/>
                <w:szCs w:val="17"/>
              </w:rPr>
              <w:t>2939.9</w:t>
            </w:r>
          </w:p>
        </w:tc>
        <w:tc>
          <w:tcPr>
            <w:tcW w:w="1360" w:type="dxa"/>
            <w:tcBorders>
              <w:left w:val="single" w:color="000000" w:sz="4" w:space="0"/>
              <w:right w:val="single" w:color="000000" w:sz="4" w:space="0"/>
            </w:tcBorders>
            <w:vAlign w:val="top"/>
          </w:tcPr>
          <w:p w14:paraId="64CCF32C">
            <w:pPr>
              <w:pStyle w:val="6"/>
              <w:spacing w:before="126" w:line="183" w:lineRule="auto"/>
              <w:ind w:left="415"/>
              <w:rPr>
                <w:sz w:val="17"/>
                <w:szCs w:val="17"/>
              </w:rPr>
            </w:pPr>
            <w:r>
              <w:rPr>
                <w:spacing w:val="-2"/>
                <w:sz w:val="17"/>
                <w:szCs w:val="17"/>
              </w:rPr>
              <w:t>2920.5</w:t>
            </w:r>
          </w:p>
        </w:tc>
        <w:tc>
          <w:tcPr>
            <w:tcW w:w="1380" w:type="dxa"/>
            <w:tcBorders>
              <w:left w:val="single" w:color="000000" w:sz="4" w:space="0"/>
              <w:right w:val="single" w:color="000000" w:sz="4" w:space="0"/>
            </w:tcBorders>
            <w:vAlign w:val="top"/>
          </w:tcPr>
          <w:p w14:paraId="238879D2">
            <w:pPr>
              <w:pStyle w:val="6"/>
              <w:spacing w:before="126" w:line="183" w:lineRule="auto"/>
              <w:ind w:left="425"/>
              <w:rPr>
                <w:sz w:val="17"/>
                <w:szCs w:val="17"/>
              </w:rPr>
            </w:pPr>
            <w:r>
              <w:rPr>
                <w:spacing w:val="-2"/>
                <w:sz w:val="17"/>
                <w:szCs w:val="17"/>
              </w:rPr>
              <w:t>2823.0</w:t>
            </w:r>
          </w:p>
        </w:tc>
        <w:tc>
          <w:tcPr>
            <w:tcW w:w="1390" w:type="dxa"/>
            <w:tcBorders>
              <w:left w:val="single" w:color="000000" w:sz="4" w:space="0"/>
            </w:tcBorders>
            <w:vAlign w:val="top"/>
          </w:tcPr>
          <w:p w14:paraId="6ABD1B08">
            <w:pPr>
              <w:pStyle w:val="6"/>
              <w:spacing w:before="155" w:line="184" w:lineRule="auto"/>
              <w:ind w:left="435"/>
              <w:rPr>
                <w:sz w:val="17"/>
                <w:szCs w:val="17"/>
              </w:rPr>
            </w:pPr>
            <w:r>
              <w:rPr>
                <w:spacing w:val="-3"/>
                <w:sz w:val="17"/>
                <w:szCs w:val="17"/>
              </w:rPr>
              <w:t>1037.8</w:t>
            </w:r>
          </w:p>
        </w:tc>
      </w:tr>
      <w:tr w14:paraId="3EFAD91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68" w:hRule="atLeast"/>
        </w:trPr>
        <w:tc>
          <w:tcPr>
            <w:tcW w:w="1150" w:type="dxa"/>
            <w:tcBorders>
              <w:right w:val="single" w:color="000000" w:sz="4" w:space="0"/>
            </w:tcBorders>
            <w:vAlign w:val="top"/>
          </w:tcPr>
          <w:p w14:paraId="56C57235">
            <w:pPr>
              <w:pStyle w:val="6"/>
              <w:spacing w:before="146" w:line="183" w:lineRule="auto"/>
              <w:ind w:left="440"/>
              <w:rPr>
                <w:sz w:val="17"/>
                <w:szCs w:val="17"/>
              </w:rPr>
            </w:pPr>
            <w:r>
              <w:rPr>
                <w:spacing w:val="-2"/>
                <w:sz w:val="17"/>
                <w:szCs w:val="17"/>
              </w:rPr>
              <w:t>260</w:t>
            </w:r>
          </w:p>
        </w:tc>
        <w:tc>
          <w:tcPr>
            <w:tcW w:w="1380" w:type="dxa"/>
            <w:tcBorders>
              <w:left w:val="single" w:color="000000" w:sz="4" w:space="0"/>
              <w:right w:val="single" w:color="000000" w:sz="4" w:space="0"/>
            </w:tcBorders>
            <w:vAlign w:val="top"/>
          </w:tcPr>
          <w:p w14:paraId="1A58D0F7">
            <w:pPr>
              <w:pStyle w:val="6"/>
              <w:spacing w:before="136" w:line="183" w:lineRule="auto"/>
              <w:ind w:left="425"/>
              <w:rPr>
                <w:sz w:val="17"/>
                <w:szCs w:val="17"/>
              </w:rPr>
            </w:pPr>
            <w:r>
              <w:rPr>
                <w:spacing w:val="-2"/>
                <w:sz w:val="17"/>
                <w:szCs w:val="17"/>
              </w:rPr>
              <w:t>2996.8</w:t>
            </w:r>
          </w:p>
        </w:tc>
        <w:tc>
          <w:tcPr>
            <w:tcW w:w="1380" w:type="dxa"/>
            <w:tcBorders>
              <w:left w:val="single" w:color="000000" w:sz="4" w:space="0"/>
              <w:right w:val="single" w:color="000000" w:sz="4" w:space="0"/>
            </w:tcBorders>
            <w:vAlign w:val="top"/>
          </w:tcPr>
          <w:p w14:paraId="58E773D5">
            <w:pPr>
              <w:pStyle w:val="6"/>
              <w:spacing w:before="136" w:line="184" w:lineRule="auto"/>
              <w:ind w:left="424"/>
              <w:rPr>
                <w:sz w:val="17"/>
                <w:szCs w:val="17"/>
              </w:rPr>
            </w:pPr>
            <w:r>
              <w:rPr>
                <w:spacing w:val="-2"/>
                <w:sz w:val="17"/>
                <w:szCs w:val="17"/>
              </w:rPr>
              <w:t>2994.1</w:t>
            </w:r>
          </w:p>
        </w:tc>
        <w:tc>
          <w:tcPr>
            <w:tcW w:w="1380" w:type="dxa"/>
            <w:tcBorders>
              <w:left w:val="single" w:color="000000" w:sz="4" w:space="0"/>
              <w:right w:val="single" w:color="000000" w:sz="4" w:space="0"/>
            </w:tcBorders>
            <w:vAlign w:val="top"/>
          </w:tcPr>
          <w:p w14:paraId="0DE99C97">
            <w:pPr>
              <w:pStyle w:val="6"/>
              <w:spacing w:before="145" w:line="184" w:lineRule="auto"/>
              <w:ind w:left="425"/>
              <w:rPr>
                <w:sz w:val="17"/>
                <w:szCs w:val="17"/>
              </w:rPr>
            </w:pPr>
            <w:r>
              <w:rPr>
                <w:spacing w:val="-2"/>
                <w:sz w:val="17"/>
                <w:szCs w:val="17"/>
              </w:rPr>
              <w:t>2981.5</w:t>
            </w:r>
          </w:p>
        </w:tc>
        <w:tc>
          <w:tcPr>
            <w:tcW w:w="1360" w:type="dxa"/>
            <w:tcBorders>
              <w:left w:val="single" w:color="000000" w:sz="4" w:space="0"/>
              <w:right w:val="single" w:color="000000" w:sz="4" w:space="0"/>
            </w:tcBorders>
            <w:vAlign w:val="top"/>
          </w:tcPr>
          <w:p w14:paraId="62E0669F">
            <w:pPr>
              <w:pStyle w:val="6"/>
              <w:spacing w:before="146" w:line="183" w:lineRule="auto"/>
              <w:ind w:left="415"/>
              <w:rPr>
                <w:sz w:val="17"/>
                <w:szCs w:val="17"/>
              </w:rPr>
            </w:pPr>
            <w:r>
              <w:rPr>
                <w:spacing w:val="-2"/>
                <w:sz w:val="17"/>
                <w:szCs w:val="17"/>
              </w:rPr>
              <w:t>2964.8</w:t>
            </w:r>
          </w:p>
        </w:tc>
        <w:tc>
          <w:tcPr>
            <w:tcW w:w="1380" w:type="dxa"/>
            <w:tcBorders>
              <w:left w:val="single" w:color="000000" w:sz="4" w:space="0"/>
              <w:right w:val="single" w:color="000000" w:sz="4" w:space="0"/>
            </w:tcBorders>
            <w:vAlign w:val="top"/>
          </w:tcPr>
          <w:p w14:paraId="4FF12D1B">
            <w:pPr>
              <w:pStyle w:val="6"/>
              <w:spacing w:before="136" w:line="183" w:lineRule="auto"/>
              <w:ind w:left="425"/>
              <w:rPr>
                <w:sz w:val="17"/>
                <w:szCs w:val="17"/>
              </w:rPr>
            </w:pPr>
            <w:r>
              <w:rPr>
                <w:spacing w:val="-2"/>
                <w:sz w:val="17"/>
                <w:szCs w:val="17"/>
              </w:rPr>
              <w:t>2885.5</w:t>
            </w:r>
          </w:p>
        </w:tc>
        <w:tc>
          <w:tcPr>
            <w:tcW w:w="1390" w:type="dxa"/>
            <w:tcBorders>
              <w:left w:val="single" w:color="000000" w:sz="4" w:space="0"/>
            </w:tcBorders>
            <w:vAlign w:val="top"/>
          </w:tcPr>
          <w:p w14:paraId="220DDE3C">
            <w:pPr>
              <w:pStyle w:val="6"/>
              <w:spacing w:before="145" w:line="184" w:lineRule="auto"/>
              <w:ind w:left="435"/>
              <w:rPr>
                <w:sz w:val="17"/>
                <w:szCs w:val="17"/>
              </w:rPr>
            </w:pPr>
            <w:r>
              <w:rPr>
                <w:spacing w:val="-3"/>
                <w:sz w:val="17"/>
                <w:szCs w:val="17"/>
              </w:rPr>
              <w:t>1135.0</w:t>
            </w:r>
          </w:p>
        </w:tc>
      </w:tr>
      <w:tr w14:paraId="1BEE4CD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02" w:hRule="atLeast"/>
        </w:trPr>
        <w:tc>
          <w:tcPr>
            <w:tcW w:w="1150" w:type="dxa"/>
            <w:tcBorders>
              <w:right w:val="single" w:color="000000" w:sz="4" w:space="0"/>
            </w:tcBorders>
            <w:vAlign w:val="top"/>
          </w:tcPr>
          <w:p w14:paraId="4B3C33C7">
            <w:pPr>
              <w:pStyle w:val="6"/>
              <w:spacing w:before="168" w:line="183" w:lineRule="auto"/>
              <w:ind w:left="440"/>
              <w:rPr>
                <w:sz w:val="17"/>
                <w:szCs w:val="17"/>
              </w:rPr>
            </w:pPr>
            <w:r>
              <w:rPr>
                <w:spacing w:val="-2"/>
                <w:sz w:val="17"/>
                <w:szCs w:val="17"/>
              </w:rPr>
              <w:t>280</w:t>
            </w:r>
          </w:p>
        </w:tc>
        <w:tc>
          <w:tcPr>
            <w:tcW w:w="1380" w:type="dxa"/>
            <w:tcBorders>
              <w:left w:val="single" w:color="000000" w:sz="4" w:space="0"/>
              <w:right w:val="single" w:color="000000" w:sz="4" w:space="0"/>
            </w:tcBorders>
            <w:vAlign w:val="top"/>
          </w:tcPr>
          <w:p w14:paraId="74EA293A">
            <w:pPr>
              <w:pStyle w:val="6"/>
              <w:spacing w:before="158" w:line="183" w:lineRule="auto"/>
              <w:ind w:left="425"/>
              <w:rPr>
                <w:sz w:val="17"/>
                <w:szCs w:val="17"/>
              </w:rPr>
            </w:pPr>
            <w:r>
              <w:rPr>
                <w:spacing w:val="-2"/>
                <w:sz w:val="17"/>
                <w:szCs w:val="17"/>
              </w:rPr>
              <w:t>3036.5</w:t>
            </w:r>
          </w:p>
        </w:tc>
        <w:tc>
          <w:tcPr>
            <w:tcW w:w="1380" w:type="dxa"/>
            <w:tcBorders>
              <w:left w:val="single" w:color="000000" w:sz="4" w:space="0"/>
              <w:right w:val="single" w:color="000000" w:sz="4" w:space="0"/>
            </w:tcBorders>
            <w:vAlign w:val="top"/>
          </w:tcPr>
          <w:p w14:paraId="15F02D40">
            <w:pPr>
              <w:pStyle w:val="6"/>
              <w:spacing w:before="158" w:line="183" w:lineRule="auto"/>
              <w:ind w:left="424"/>
              <w:rPr>
                <w:sz w:val="17"/>
                <w:szCs w:val="17"/>
              </w:rPr>
            </w:pPr>
            <w:r>
              <w:rPr>
                <w:spacing w:val="-2"/>
                <w:sz w:val="17"/>
                <w:szCs w:val="17"/>
              </w:rPr>
              <w:t>3034.0</w:t>
            </w:r>
          </w:p>
        </w:tc>
        <w:tc>
          <w:tcPr>
            <w:tcW w:w="1380" w:type="dxa"/>
            <w:tcBorders>
              <w:left w:val="single" w:color="000000" w:sz="4" w:space="0"/>
              <w:right w:val="single" w:color="000000" w:sz="4" w:space="0"/>
            </w:tcBorders>
            <w:vAlign w:val="top"/>
          </w:tcPr>
          <w:p w14:paraId="22DCC490">
            <w:pPr>
              <w:pStyle w:val="6"/>
              <w:spacing w:before="158" w:line="183" w:lineRule="auto"/>
              <w:ind w:left="425"/>
              <w:rPr>
                <w:sz w:val="17"/>
                <w:szCs w:val="17"/>
              </w:rPr>
            </w:pPr>
            <w:r>
              <w:rPr>
                <w:spacing w:val="-2"/>
                <w:sz w:val="17"/>
                <w:szCs w:val="17"/>
              </w:rPr>
              <w:t>3022.9</w:t>
            </w:r>
          </w:p>
        </w:tc>
        <w:tc>
          <w:tcPr>
            <w:tcW w:w="1360" w:type="dxa"/>
            <w:tcBorders>
              <w:left w:val="single" w:color="000000" w:sz="4" w:space="0"/>
              <w:right w:val="single" w:color="000000" w:sz="4" w:space="0"/>
            </w:tcBorders>
            <w:vAlign w:val="top"/>
          </w:tcPr>
          <w:p w14:paraId="1D8587A0">
            <w:pPr>
              <w:pStyle w:val="6"/>
              <w:spacing w:before="158" w:line="183" w:lineRule="auto"/>
              <w:ind w:left="415"/>
              <w:rPr>
                <w:sz w:val="17"/>
                <w:szCs w:val="17"/>
              </w:rPr>
            </w:pPr>
            <w:r>
              <w:rPr>
                <w:spacing w:val="-2"/>
                <w:sz w:val="17"/>
                <w:szCs w:val="17"/>
              </w:rPr>
              <w:t>3008.3</w:t>
            </w:r>
          </w:p>
        </w:tc>
        <w:tc>
          <w:tcPr>
            <w:tcW w:w="1380" w:type="dxa"/>
            <w:tcBorders>
              <w:left w:val="single" w:color="000000" w:sz="4" w:space="0"/>
              <w:right w:val="single" w:color="000000" w:sz="4" w:space="0"/>
            </w:tcBorders>
            <w:vAlign w:val="top"/>
          </w:tcPr>
          <w:p w14:paraId="39002C1A">
            <w:pPr>
              <w:pStyle w:val="6"/>
              <w:spacing w:before="168" w:line="184" w:lineRule="auto"/>
              <w:ind w:left="425"/>
              <w:rPr>
                <w:sz w:val="17"/>
                <w:szCs w:val="17"/>
              </w:rPr>
            </w:pPr>
            <w:r>
              <w:rPr>
                <w:spacing w:val="-2"/>
                <w:sz w:val="17"/>
                <w:szCs w:val="17"/>
              </w:rPr>
              <w:t>2941.8</w:t>
            </w:r>
          </w:p>
        </w:tc>
        <w:tc>
          <w:tcPr>
            <w:tcW w:w="1390" w:type="dxa"/>
            <w:tcBorders>
              <w:left w:val="single" w:color="000000" w:sz="4" w:space="0"/>
            </w:tcBorders>
            <w:vAlign w:val="top"/>
          </w:tcPr>
          <w:p w14:paraId="4A03DCCB">
            <w:pPr>
              <w:pStyle w:val="6"/>
              <w:spacing w:before="107" w:line="222" w:lineRule="auto"/>
              <w:ind w:left="475"/>
              <w:rPr>
                <w:sz w:val="17"/>
                <w:szCs w:val="17"/>
              </w:rPr>
            </w:pPr>
            <w:r>
              <w:rPr>
                <w:spacing w:val="-2"/>
                <w:sz w:val="17"/>
                <w:szCs w:val="17"/>
              </w:rPr>
              <w:t>2857(</w:t>
            </w:r>
          </w:p>
        </w:tc>
      </w:tr>
      <w:tr w14:paraId="15E974C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89" w:hRule="atLeast"/>
        </w:trPr>
        <w:tc>
          <w:tcPr>
            <w:tcW w:w="1150" w:type="dxa"/>
            <w:tcBorders>
              <w:right w:val="single" w:color="000000" w:sz="4" w:space="0"/>
            </w:tcBorders>
            <w:vAlign w:val="top"/>
          </w:tcPr>
          <w:p w14:paraId="2C4252A8">
            <w:pPr>
              <w:pStyle w:val="6"/>
              <w:spacing w:before="156" w:line="183" w:lineRule="auto"/>
              <w:ind w:left="440"/>
              <w:rPr>
                <w:sz w:val="17"/>
                <w:szCs w:val="17"/>
              </w:rPr>
            </w:pPr>
            <w:r>
              <w:rPr>
                <w:spacing w:val="-3"/>
                <w:sz w:val="17"/>
                <w:szCs w:val="17"/>
              </w:rPr>
              <w:t>300</w:t>
            </w:r>
          </w:p>
        </w:tc>
        <w:tc>
          <w:tcPr>
            <w:tcW w:w="1380" w:type="dxa"/>
            <w:tcBorders>
              <w:left w:val="single" w:color="000000" w:sz="4" w:space="0"/>
              <w:right w:val="single" w:color="000000" w:sz="4" w:space="0"/>
            </w:tcBorders>
            <w:vAlign w:val="top"/>
          </w:tcPr>
          <w:p w14:paraId="7B7A547B">
            <w:pPr>
              <w:pStyle w:val="6"/>
              <w:spacing w:before="126" w:line="183" w:lineRule="auto"/>
              <w:ind w:left="425"/>
              <w:rPr>
                <w:sz w:val="17"/>
                <w:szCs w:val="17"/>
              </w:rPr>
            </w:pPr>
            <w:r>
              <w:rPr>
                <w:spacing w:val="-2"/>
                <w:sz w:val="17"/>
                <w:szCs w:val="17"/>
              </w:rPr>
              <w:t>3076.3</w:t>
            </w:r>
          </w:p>
        </w:tc>
        <w:tc>
          <w:tcPr>
            <w:tcW w:w="1380" w:type="dxa"/>
            <w:tcBorders>
              <w:left w:val="single" w:color="000000" w:sz="4" w:space="0"/>
              <w:right w:val="single" w:color="000000" w:sz="4" w:space="0"/>
            </w:tcBorders>
            <w:vAlign w:val="top"/>
          </w:tcPr>
          <w:p w14:paraId="2C2807B1">
            <w:pPr>
              <w:pStyle w:val="6"/>
              <w:spacing w:before="126" w:line="184" w:lineRule="auto"/>
              <w:ind w:left="424"/>
              <w:rPr>
                <w:sz w:val="17"/>
                <w:szCs w:val="17"/>
              </w:rPr>
            </w:pPr>
            <w:r>
              <w:rPr>
                <w:spacing w:val="-2"/>
                <w:sz w:val="17"/>
                <w:szCs w:val="17"/>
              </w:rPr>
              <w:t>3074.1</w:t>
            </w:r>
          </w:p>
        </w:tc>
        <w:tc>
          <w:tcPr>
            <w:tcW w:w="1380" w:type="dxa"/>
            <w:tcBorders>
              <w:left w:val="single" w:color="000000" w:sz="4" w:space="0"/>
              <w:right w:val="single" w:color="000000" w:sz="4" w:space="0"/>
            </w:tcBorders>
            <w:vAlign w:val="top"/>
          </w:tcPr>
          <w:p w14:paraId="1DC8565D">
            <w:pPr>
              <w:pStyle w:val="6"/>
              <w:spacing w:before="126" w:line="183" w:lineRule="auto"/>
              <w:ind w:left="425"/>
              <w:rPr>
                <w:sz w:val="17"/>
                <w:szCs w:val="17"/>
              </w:rPr>
            </w:pPr>
            <w:r>
              <w:rPr>
                <w:spacing w:val="-2"/>
                <w:sz w:val="17"/>
                <w:szCs w:val="17"/>
              </w:rPr>
              <w:t>3064.2</w:t>
            </w:r>
          </w:p>
        </w:tc>
        <w:tc>
          <w:tcPr>
            <w:tcW w:w="1360" w:type="dxa"/>
            <w:tcBorders>
              <w:left w:val="single" w:color="000000" w:sz="4" w:space="0"/>
              <w:right w:val="single" w:color="000000" w:sz="4" w:space="0"/>
            </w:tcBorders>
            <w:vAlign w:val="top"/>
          </w:tcPr>
          <w:p w14:paraId="187B3EE0">
            <w:pPr>
              <w:pStyle w:val="6"/>
              <w:spacing w:before="126" w:line="184" w:lineRule="auto"/>
              <w:ind w:left="415"/>
              <w:rPr>
                <w:sz w:val="17"/>
                <w:szCs w:val="17"/>
              </w:rPr>
            </w:pPr>
            <w:r>
              <w:rPr>
                <w:spacing w:val="-2"/>
                <w:sz w:val="17"/>
                <w:szCs w:val="17"/>
              </w:rPr>
              <w:t>3051.3</w:t>
            </w:r>
          </w:p>
        </w:tc>
        <w:tc>
          <w:tcPr>
            <w:tcW w:w="1380" w:type="dxa"/>
            <w:tcBorders>
              <w:left w:val="single" w:color="000000" w:sz="4" w:space="0"/>
              <w:right w:val="single" w:color="000000" w:sz="4" w:space="0"/>
            </w:tcBorders>
            <w:vAlign w:val="top"/>
          </w:tcPr>
          <w:p w14:paraId="30091FC0">
            <w:pPr>
              <w:pStyle w:val="6"/>
              <w:spacing w:before="126" w:line="183" w:lineRule="auto"/>
              <w:ind w:left="425"/>
              <w:rPr>
                <w:sz w:val="17"/>
                <w:szCs w:val="17"/>
              </w:rPr>
            </w:pPr>
            <w:r>
              <w:rPr>
                <w:spacing w:val="-2"/>
                <w:sz w:val="17"/>
                <w:szCs w:val="17"/>
              </w:rPr>
              <w:t>2994.2</w:t>
            </w:r>
          </w:p>
        </w:tc>
        <w:tc>
          <w:tcPr>
            <w:tcW w:w="1390" w:type="dxa"/>
            <w:tcBorders>
              <w:left w:val="single" w:color="000000" w:sz="4" w:space="0"/>
            </w:tcBorders>
            <w:vAlign w:val="top"/>
          </w:tcPr>
          <w:p w14:paraId="7143F99B">
            <w:pPr>
              <w:pStyle w:val="6"/>
              <w:spacing w:before="136" w:line="183" w:lineRule="auto"/>
              <w:ind w:left="435"/>
              <w:rPr>
                <w:sz w:val="17"/>
                <w:szCs w:val="17"/>
              </w:rPr>
            </w:pPr>
            <w:r>
              <w:rPr>
                <w:spacing w:val="-2"/>
                <w:sz w:val="17"/>
                <w:szCs w:val="17"/>
              </w:rPr>
              <w:t>2925.4</w:t>
            </w:r>
          </w:p>
        </w:tc>
      </w:tr>
      <w:tr w14:paraId="34C249A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5" w:hRule="atLeast"/>
        </w:trPr>
        <w:tc>
          <w:tcPr>
            <w:tcW w:w="1150" w:type="dxa"/>
            <w:tcBorders>
              <w:right w:val="single" w:color="000000" w:sz="4" w:space="0"/>
            </w:tcBorders>
            <w:vAlign w:val="top"/>
          </w:tcPr>
          <w:p w14:paraId="1BFA8AA1">
            <w:pPr>
              <w:pStyle w:val="6"/>
              <w:spacing w:before="157" w:line="183" w:lineRule="auto"/>
              <w:ind w:left="440"/>
              <w:rPr>
                <w:sz w:val="17"/>
                <w:szCs w:val="17"/>
              </w:rPr>
            </w:pPr>
            <w:r>
              <w:rPr>
                <w:spacing w:val="-3"/>
                <w:sz w:val="17"/>
                <w:szCs w:val="17"/>
              </w:rPr>
              <w:t>350</w:t>
            </w:r>
          </w:p>
        </w:tc>
        <w:tc>
          <w:tcPr>
            <w:tcW w:w="1380" w:type="dxa"/>
            <w:tcBorders>
              <w:left w:val="single" w:color="000000" w:sz="4" w:space="0"/>
              <w:right w:val="single" w:color="000000" w:sz="4" w:space="0"/>
            </w:tcBorders>
            <w:vAlign w:val="top"/>
          </w:tcPr>
          <w:p w14:paraId="0E44D587">
            <w:pPr>
              <w:pStyle w:val="6"/>
              <w:spacing w:before="127" w:line="184" w:lineRule="auto"/>
              <w:ind w:left="425"/>
              <w:rPr>
                <w:sz w:val="17"/>
                <w:szCs w:val="17"/>
              </w:rPr>
            </w:pPr>
            <w:r>
              <w:rPr>
                <w:spacing w:val="-2"/>
                <w:sz w:val="17"/>
                <w:szCs w:val="17"/>
              </w:rPr>
              <w:t>3177.0</w:t>
            </w:r>
          </w:p>
        </w:tc>
        <w:tc>
          <w:tcPr>
            <w:tcW w:w="1380" w:type="dxa"/>
            <w:tcBorders>
              <w:left w:val="single" w:color="000000" w:sz="4" w:space="0"/>
              <w:right w:val="single" w:color="000000" w:sz="4" w:space="0"/>
            </w:tcBorders>
            <w:vAlign w:val="top"/>
          </w:tcPr>
          <w:p w14:paraId="4A3A942D">
            <w:pPr>
              <w:pStyle w:val="6"/>
              <w:spacing w:before="127" w:line="184" w:lineRule="auto"/>
              <w:ind w:left="424"/>
              <w:rPr>
                <w:sz w:val="17"/>
                <w:szCs w:val="17"/>
              </w:rPr>
            </w:pPr>
            <w:r>
              <w:rPr>
                <w:spacing w:val="-2"/>
                <w:sz w:val="17"/>
                <w:szCs w:val="17"/>
              </w:rPr>
              <w:t>3175.3</w:t>
            </w:r>
          </w:p>
        </w:tc>
        <w:tc>
          <w:tcPr>
            <w:tcW w:w="1380" w:type="dxa"/>
            <w:tcBorders>
              <w:left w:val="single" w:color="000000" w:sz="4" w:space="0"/>
              <w:right w:val="single" w:color="000000" w:sz="4" w:space="0"/>
            </w:tcBorders>
            <w:vAlign w:val="top"/>
          </w:tcPr>
          <w:p w14:paraId="15D8C172">
            <w:pPr>
              <w:pStyle w:val="6"/>
              <w:spacing w:before="166" w:line="184" w:lineRule="auto"/>
              <w:ind w:left="425"/>
              <w:rPr>
                <w:sz w:val="17"/>
                <w:szCs w:val="17"/>
              </w:rPr>
            </w:pPr>
            <w:r>
              <w:rPr>
                <w:spacing w:val="-2"/>
                <w:sz w:val="17"/>
                <w:szCs w:val="17"/>
              </w:rPr>
              <w:t>3167.6</w:t>
            </w:r>
          </w:p>
        </w:tc>
        <w:tc>
          <w:tcPr>
            <w:tcW w:w="1360" w:type="dxa"/>
            <w:tcBorders>
              <w:left w:val="single" w:color="000000" w:sz="4" w:space="0"/>
              <w:right w:val="single" w:color="000000" w:sz="4" w:space="0"/>
            </w:tcBorders>
            <w:vAlign w:val="top"/>
          </w:tcPr>
          <w:p w14:paraId="7B15088B">
            <w:pPr>
              <w:pStyle w:val="6"/>
              <w:spacing w:before="127" w:line="184" w:lineRule="auto"/>
              <w:ind w:left="415"/>
              <w:rPr>
                <w:sz w:val="17"/>
                <w:szCs w:val="17"/>
              </w:rPr>
            </w:pPr>
            <w:r>
              <w:rPr>
                <w:spacing w:val="-2"/>
                <w:sz w:val="17"/>
                <w:szCs w:val="17"/>
              </w:rPr>
              <w:t>3157.7</w:t>
            </w:r>
          </w:p>
        </w:tc>
        <w:tc>
          <w:tcPr>
            <w:tcW w:w="1380" w:type="dxa"/>
            <w:tcBorders>
              <w:left w:val="single" w:color="000000" w:sz="4" w:space="0"/>
              <w:right w:val="single" w:color="000000" w:sz="4" w:space="0"/>
            </w:tcBorders>
            <w:vAlign w:val="top"/>
          </w:tcPr>
          <w:p w14:paraId="77CCAC6D">
            <w:pPr>
              <w:pStyle w:val="6"/>
              <w:spacing w:before="127" w:line="184" w:lineRule="auto"/>
              <w:ind w:left="425"/>
              <w:rPr>
                <w:sz w:val="17"/>
                <w:szCs w:val="17"/>
              </w:rPr>
            </w:pPr>
            <w:r>
              <w:rPr>
                <w:spacing w:val="-2"/>
                <w:sz w:val="17"/>
                <w:szCs w:val="17"/>
              </w:rPr>
              <w:t>3115.7</w:t>
            </w:r>
          </w:p>
        </w:tc>
        <w:tc>
          <w:tcPr>
            <w:tcW w:w="1390" w:type="dxa"/>
            <w:tcBorders>
              <w:left w:val="single" w:color="000000" w:sz="4" w:space="0"/>
            </w:tcBorders>
            <w:vAlign w:val="top"/>
          </w:tcPr>
          <w:p w14:paraId="22FC238C">
            <w:pPr>
              <w:pStyle w:val="6"/>
              <w:spacing w:before="167" w:line="183" w:lineRule="auto"/>
              <w:ind w:left="435"/>
              <w:rPr>
                <w:sz w:val="17"/>
                <w:szCs w:val="17"/>
              </w:rPr>
            </w:pPr>
            <w:r>
              <w:rPr>
                <w:spacing w:val="-2"/>
                <w:sz w:val="17"/>
                <w:szCs w:val="17"/>
              </w:rPr>
              <w:t>3069.2</w:t>
            </w:r>
          </w:p>
        </w:tc>
      </w:tr>
      <w:tr w14:paraId="286B172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79" w:hRule="atLeast"/>
        </w:trPr>
        <w:tc>
          <w:tcPr>
            <w:tcW w:w="1150" w:type="dxa"/>
            <w:tcBorders>
              <w:right w:val="single" w:color="000000" w:sz="4" w:space="0"/>
            </w:tcBorders>
            <w:vAlign w:val="top"/>
          </w:tcPr>
          <w:p w14:paraId="06A4F33F">
            <w:pPr>
              <w:pStyle w:val="6"/>
              <w:spacing w:before="152" w:line="183" w:lineRule="auto"/>
              <w:ind w:left="440"/>
              <w:rPr>
                <w:sz w:val="17"/>
                <w:szCs w:val="17"/>
              </w:rPr>
            </w:pPr>
            <w:r>
              <w:rPr>
                <w:spacing w:val="-2"/>
                <w:sz w:val="17"/>
                <w:szCs w:val="17"/>
              </w:rPr>
              <w:t>400</w:t>
            </w:r>
          </w:p>
        </w:tc>
        <w:tc>
          <w:tcPr>
            <w:tcW w:w="1380" w:type="dxa"/>
            <w:tcBorders>
              <w:left w:val="single" w:color="000000" w:sz="4" w:space="0"/>
              <w:right w:val="single" w:color="000000" w:sz="4" w:space="0"/>
            </w:tcBorders>
            <w:vAlign w:val="top"/>
          </w:tcPr>
          <w:p w14:paraId="4F65AE9F">
            <w:pPr>
              <w:pStyle w:val="6"/>
              <w:spacing w:before="122" w:line="183" w:lineRule="auto"/>
              <w:ind w:left="425"/>
              <w:rPr>
                <w:sz w:val="17"/>
                <w:szCs w:val="17"/>
              </w:rPr>
            </w:pPr>
            <w:r>
              <w:rPr>
                <w:spacing w:val="-2"/>
                <w:sz w:val="17"/>
                <w:szCs w:val="17"/>
              </w:rPr>
              <w:t>3279.4</w:t>
            </w:r>
          </w:p>
        </w:tc>
        <w:tc>
          <w:tcPr>
            <w:tcW w:w="1380" w:type="dxa"/>
            <w:tcBorders>
              <w:left w:val="single" w:color="000000" w:sz="4" w:space="0"/>
              <w:right w:val="single" w:color="000000" w:sz="4" w:space="0"/>
            </w:tcBorders>
            <w:vAlign w:val="top"/>
          </w:tcPr>
          <w:p w14:paraId="3FBBBCF4">
            <w:pPr>
              <w:pStyle w:val="6"/>
              <w:spacing w:before="122" w:line="183" w:lineRule="auto"/>
              <w:ind w:left="424"/>
              <w:rPr>
                <w:sz w:val="17"/>
                <w:szCs w:val="17"/>
              </w:rPr>
            </w:pPr>
            <w:r>
              <w:rPr>
                <w:spacing w:val="-2"/>
                <w:sz w:val="17"/>
                <w:szCs w:val="17"/>
              </w:rPr>
              <w:t>3278.0</w:t>
            </w:r>
          </w:p>
        </w:tc>
        <w:tc>
          <w:tcPr>
            <w:tcW w:w="1380" w:type="dxa"/>
            <w:tcBorders>
              <w:left w:val="single" w:color="000000" w:sz="4" w:space="0"/>
              <w:right w:val="single" w:color="000000" w:sz="4" w:space="0"/>
            </w:tcBorders>
            <w:vAlign w:val="top"/>
          </w:tcPr>
          <w:p w14:paraId="19894D70">
            <w:pPr>
              <w:pStyle w:val="6"/>
              <w:spacing w:before="122" w:line="184" w:lineRule="auto"/>
              <w:ind w:left="425"/>
              <w:rPr>
                <w:sz w:val="17"/>
                <w:szCs w:val="17"/>
              </w:rPr>
            </w:pPr>
            <w:r>
              <w:rPr>
                <w:spacing w:val="-2"/>
                <w:sz w:val="17"/>
                <w:szCs w:val="17"/>
              </w:rPr>
              <w:t>3217.8</w:t>
            </w:r>
          </w:p>
        </w:tc>
        <w:tc>
          <w:tcPr>
            <w:tcW w:w="1360" w:type="dxa"/>
            <w:tcBorders>
              <w:left w:val="single" w:color="000000" w:sz="4" w:space="0"/>
              <w:right w:val="single" w:color="000000" w:sz="4" w:space="0"/>
            </w:tcBorders>
            <w:vAlign w:val="top"/>
          </w:tcPr>
          <w:p w14:paraId="3B2E3828">
            <w:pPr>
              <w:pStyle w:val="6"/>
              <w:spacing w:before="122" w:line="183" w:lineRule="auto"/>
              <w:ind w:left="415"/>
              <w:rPr>
                <w:sz w:val="17"/>
                <w:szCs w:val="17"/>
              </w:rPr>
            </w:pPr>
            <w:r>
              <w:rPr>
                <w:spacing w:val="-2"/>
                <w:sz w:val="17"/>
                <w:szCs w:val="17"/>
              </w:rPr>
              <w:t>3264.0</w:t>
            </w:r>
          </w:p>
        </w:tc>
        <w:tc>
          <w:tcPr>
            <w:tcW w:w="1380" w:type="dxa"/>
            <w:tcBorders>
              <w:left w:val="single" w:color="000000" w:sz="4" w:space="0"/>
              <w:right w:val="single" w:color="000000" w:sz="4" w:space="0"/>
            </w:tcBorders>
            <w:vAlign w:val="top"/>
          </w:tcPr>
          <w:p w14:paraId="29FA5B69">
            <w:pPr>
              <w:pStyle w:val="6"/>
              <w:spacing w:before="122" w:line="184" w:lineRule="auto"/>
              <w:ind w:left="425"/>
              <w:rPr>
                <w:sz w:val="17"/>
                <w:szCs w:val="17"/>
              </w:rPr>
            </w:pPr>
            <w:r>
              <w:rPr>
                <w:spacing w:val="-2"/>
                <w:sz w:val="17"/>
                <w:szCs w:val="17"/>
              </w:rPr>
              <w:t>3231.6</w:t>
            </w:r>
          </w:p>
        </w:tc>
        <w:tc>
          <w:tcPr>
            <w:tcW w:w="1390" w:type="dxa"/>
            <w:tcBorders>
              <w:left w:val="single" w:color="000000" w:sz="4" w:space="0"/>
            </w:tcBorders>
            <w:vAlign w:val="top"/>
          </w:tcPr>
          <w:p w14:paraId="394E991C">
            <w:pPr>
              <w:pStyle w:val="6"/>
              <w:spacing w:before="132" w:line="184" w:lineRule="auto"/>
              <w:ind w:left="435"/>
              <w:rPr>
                <w:sz w:val="17"/>
                <w:szCs w:val="17"/>
              </w:rPr>
            </w:pPr>
            <w:r>
              <w:rPr>
                <w:spacing w:val="-2"/>
                <w:sz w:val="17"/>
                <w:szCs w:val="17"/>
              </w:rPr>
              <w:t>3196.9</w:t>
            </w:r>
          </w:p>
        </w:tc>
      </w:tr>
      <w:tr w14:paraId="7F4B676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01" w:hRule="atLeast"/>
        </w:trPr>
        <w:tc>
          <w:tcPr>
            <w:tcW w:w="1150" w:type="dxa"/>
            <w:tcBorders>
              <w:right w:val="single" w:color="000000" w:sz="4" w:space="0"/>
            </w:tcBorders>
            <w:vAlign w:val="top"/>
          </w:tcPr>
          <w:p w14:paraId="78849887">
            <w:pPr>
              <w:pStyle w:val="6"/>
              <w:spacing w:before="153" w:line="183" w:lineRule="auto"/>
              <w:ind w:left="440"/>
              <w:rPr>
                <w:sz w:val="17"/>
                <w:szCs w:val="17"/>
              </w:rPr>
            </w:pPr>
            <w:r>
              <w:rPr>
                <w:spacing w:val="-2"/>
                <w:sz w:val="17"/>
                <w:szCs w:val="17"/>
              </w:rPr>
              <w:t>420</w:t>
            </w:r>
          </w:p>
        </w:tc>
        <w:tc>
          <w:tcPr>
            <w:tcW w:w="1380" w:type="dxa"/>
            <w:tcBorders>
              <w:left w:val="single" w:color="000000" w:sz="4" w:space="0"/>
              <w:right w:val="single" w:color="000000" w:sz="4" w:space="0"/>
            </w:tcBorders>
            <w:vAlign w:val="top"/>
          </w:tcPr>
          <w:p w14:paraId="0B00D246">
            <w:pPr>
              <w:pStyle w:val="6"/>
              <w:spacing w:before="121" w:line="183" w:lineRule="auto"/>
              <w:ind w:left="425"/>
              <w:rPr>
                <w:sz w:val="17"/>
                <w:szCs w:val="17"/>
              </w:rPr>
            </w:pPr>
            <w:r>
              <w:rPr>
                <w:spacing w:val="-3"/>
                <w:sz w:val="17"/>
                <w:szCs w:val="17"/>
              </w:rPr>
              <w:t>3320</w:t>
            </w:r>
            <w:r>
              <w:rPr>
                <w:spacing w:val="13"/>
                <w:sz w:val="17"/>
                <w:szCs w:val="17"/>
              </w:rPr>
              <w:t xml:space="preserve"> </w:t>
            </w:r>
            <w:r>
              <w:rPr>
                <w:spacing w:val="-3"/>
                <w:sz w:val="17"/>
                <w:szCs w:val="17"/>
              </w:rPr>
              <w:t>g</w:t>
            </w:r>
          </w:p>
        </w:tc>
        <w:tc>
          <w:tcPr>
            <w:tcW w:w="1380" w:type="dxa"/>
            <w:tcBorders>
              <w:left w:val="single" w:color="000000" w:sz="4" w:space="0"/>
              <w:right w:val="single" w:color="000000" w:sz="4" w:space="0"/>
            </w:tcBorders>
            <w:vAlign w:val="top"/>
          </w:tcPr>
          <w:p w14:paraId="53AFFC72">
            <w:pPr>
              <w:pStyle w:val="6"/>
              <w:spacing w:before="163" w:line="184" w:lineRule="auto"/>
              <w:ind w:left="424"/>
              <w:rPr>
                <w:sz w:val="17"/>
                <w:szCs w:val="17"/>
              </w:rPr>
            </w:pPr>
            <w:r>
              <w:rPr>
                <w:spacing w:val="-2"/>
                <w:sz w:val="17"/>
                <w:szCs w:val="17"/>
              </w:rPr>
              <w:t>3319.7</w:t>
            </w:r>
          </w:p>
        </w:tc>
        <w:tc>
          <w:tcPr>
            <w:tcW w:w="1380" w:type="dxa"/>
            <w:tcBorders>
              <w:left w:val="single" w:color="000000" w:sz="4" w:space="0"/>
              <w:right w:val="single" w:color="000000" w:sz="4" w:space="0"/>
            </w:tcBorders>
            <w:vAlign w:val="top"/>
          </w:tcPr>
          <w:p w14:paraId="6F9C0B08">
            <w:pPr>
              <w:pStyle w:val="6"/>
              <w:spacing w:before="133" w:line="184" w:lineRule="auto"/>
              <w:ind w:left="425"/>
              <w:rPr>
                <w:sz w:val="17"/>
                <w:szCs w:val="17"/>
              </w:rPr>
            </w:pPr>
            <w:r>
              <w:rPr>
                <w:spacing w:val="-2"/>
                <w:sz w:val="17"/>
                <w:szCs w:val="17"/>
              </w:rPr>
              <w:t>3313.8</w:t>
            </w:r>
          </w:p>
        </w:tc>
        <w:tc>
          <w:tcPr>
            <w:tcW w:w="1360" w:type="dxa"/>
            <w:tcBorders>
              <w:left w:val="single" w:color="000000" w:sz="4" w:space="0"/>
              <w:right w:val="single" w:color="000000" w:sz="4" w:space="0"/>
            </w:tcBorders>
            <w:vAlign w:val="top"/>
          </w:tcPr>
          <w:p w14:paraId="70DBD386">
            <w:pPr>
              <w:pStyle w:val="6"/>
              <w:spacing w:before="163" w:line="183" w:lineRule="auto"/>
              <w:ind w:left="415"/>
              <w:rPr>
                <w:sz w:val="17"/>
                <w:szCs w:val="17"/>
              </w:rPr>
            </w:pPr>
            <w:r>
              <w:rPr>
                <w:spacing w:val="-2"/>
                <w:sz w:val="17"/>
                <w:szCs w:val="17"/>
              </w:rPr>
              <w:t>3306.6</w:t>
            </w:r>
          </w:p>
        </w:tc>
        <w:tc>
          <w:tcPr>
            <w:tcW w:w="1380" w:type="dxa"/>
            <w:tcBorders>
              <w:left w:val="single" w:color="000000" w:sz="4" w:space="0"/>
              <w:right w:val="single" w:color="000000" w:sz="4" w:space="0"/>
            </w:tcBorders>
            <w:vAlign w:val="top"/>
          </w:tcPr>
          <w:p w14:paraId="475AF876">
            <w:pPr>
              <w:pStyle w:val="6"/>
              <w:spacing w:before="134" w:line="183" w:lineRule="auto"/>
              <w:ind w:left="425"/>
              <w:rPr>
                <w:sz w:val="17"/>
                <w:szCs w:val="17"/>
              </w:rPr>
            </w:pPr>
            <w:r>
              <w:rPr>
                <w:spacing w:val="-2"/>
                <w:sz w:val="17"/>
                <w:szCs w:val="17"/>
              </w:rPr>
              <w:t>3276.9</w:t>
            </w:r>
          </w:p>
        </w:tc>
        <w:tc>
          <w:tcPr>
            <w:tcW w:w="1390" w:type="dxa"/>
            <w:tcBorders>
              <w:left w:val="single" w:color="000000" w:sz="4" w:space="0"/>
            </w:tcBorders>
            <w:vAlign w:val="top"/>
          </w:tcPr>
          <w:p w14:paraId="7E425487">
            <w:pPr>
              <w:pStyle w:val="6"/>
              <w:spacing w:before="163" w:line="183" w:lineRule="auto"/>
              <w:ind w:left="435"/>
              <w:rPr>
                <w:sz w:val="17"/>
                <w:szCs w:val="17"/>
              </w:rPr>
            </w:pPr>
            <w:r>
              <w:rPr>
                <w:spacing w:val="-2"/>
                <w:sz w:val="17"/>
                <w:szCs w:val="17"/>
              </w:rPr>
              <w:t>3245.4</w:t>
            </w:r>
          </w:p>
        </w:tc>
      </w:tr>
      <w:tr w14:paraId="6403724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80" w:hRule="atLeast"/>
        </w:trPr>
        <w:tc>
          <w:tcPr>
            <w:tcW w:w="1150" w:type="dxa"/>
            <w:tcBorders>
              <w:right w:val="single" w:color="000000" w:sz="4" w:space="0"/>
            </w:tcBorders>
            <w:vAlign w:val="top"/>
          </w:tcPr>
          <w:p w14:paraId="00B76441">
            <w:pPr>
              <w:pStyle w:val="6"/>
              <w:spacing w:before="142" w:line="183" w:lineRule="auto"/>
              <w:ind w:left="440"/>
              <w:rPr>
                <w:sz w:val="17"/>
                <w:szCs w:val="17"/>
              </w:rPr>
            </w:pPr>
            <w:r>
              <w:rPr>
                <w:spacing w:val="-2"/>
                <w:sz w:val="17"/>
                <w:szCs w:val="17"/>
              </w:rPr>
              <w:t>440</w:t>
            </w:r>
          </w:p>
        </w:tc>
        <w:tc>
          <w:tcPr>
            <w:tcW w:w="1380" w:type="dxa"/>
            <w:tcBorders>
              <w:left w:val="single" w:color="000000" w:sz="4" w:space="0"/>
              <w:right w:val="single" w:color="000000" w:sz="4" w:space="0"/>
            </w:tcBorders>
            <w:vAlign w:val="top"/>
          </w:tcPr>
          <w:p w14:paraId="403B93BD">
            <w:pPr>
              <w:pStyle w:val="6"/>
              <w:spacing w:before="132" w:line="183" w:lineRule="auto"/>
              <w:ind w:left="425"/>
              <w:rPr>
                <w:sz w:val="17"/>
                <w:szCs w:val="17"/>
              </w:rPr>
            </w:pPr>
            <w:r>
              <w:rPr>
                <w:spacing w:val="-2"/>
                <w:sz w:val="17"/>
                <w:szCs w:val="17"/>
              </w:rPr>
              <w:t>3362.5</w:t>
            </w:r>
          </w:p>
        </w:tc>
        <w:tc>
          <w:tcPr>
            <w:tcW w:w="1380" w:type="dxa"/>
            <w:tcBorders>
              <w:left w:val="single" w:color="000000" w:sz="4" w:space="0"/>
              <w:right w:val="single" w:color="000000" w:sz="4" w:space="0"/>
            </w:tcBorders>
            <w:vAlign w:val="top"/>
          </w:tcPr>
          <w:p w14:paraId="222704C2">
            <w:pPr>
              <w:pStyle w:val="6"/>
              <w:spacing w:before="132" w:line="184" w:lineRule="auto"/>
              <w:ind w:left="424"/>
              <w:rPr>
                <w:sz w:val="17"/>
                <w:szCs w:val="17"/>
              </w:rPr>
            </w:pPr>
            <w:r>
              <w:rPr>
                <w:spacing w:val="-2"/>
                <w:sz w:val="17"/>
                <w:szCs w:val="17"/>
              </w:rPr>
              <w:t>3361.4</w:t>
            </w:r>
          </w:p>
        </w:tc>
        <w:tc>
          <w:tcPr>
            <w:tcW w:w="1380" w:type="dxa"/>
            <w:tcBorders>
              <w:left w:val="single" w:color="000000" w:sz="4" w:space="0"/>
              <w:right w:val="single" w:color="000000" w:sz="4" w:space="0"/>
            </w:tcBorders>
            <w:vAlign w:val="top"/>
          </w:tcPr>
          <w:p w14:paraId="4BF0456F">
            <w:pPr>
              <w:pStyle w:val="6"/>
              <w:spacing w:before="132" w:line="183" w:lineRule="auto"/>
              <w:ind w:left="425"/>
              <w:rPr>
                <w:sz w:val="17"/>
                <w:szCs w:val="17"/>
              </w:rPr>
            </w:pPr>
            <w:r>
              <w:rPr>
                <w:spacing w:val="-2"/>
                <w:sz w:val="17"/>
                <w:szCs w:val="17"/>
              </w:rPr>
              <w:t>3355.9</w:t>
            </w:r>
          </w:p>
        </w:tc>
        <w:tc>
          <w:tcPr>
            <w:tcW w:w="1360" w:type="dxa"/>
            <w:tcBorders>
              <w:left w:val="single" w:color="000000" w:sz="4" w:space="0"/>
              <w:right w:val="single" w:color="000000" w:sz="4" w:space="0"/>
            </w:tcBorders>
            <w:vAlign w:val="top"/>
          </w:tcPr>
          <w:p w14:paraId="2F0EFEC3">
            <w:pPr>
              <w:pStyle w:val="6"/>
              <w:spacing w:before="132" w:line="183" w:lineRule="auto"/>
              <w:ind w:left="415"/>
              <w:rPr>
                <w:sz w:val="17"/>
                <w:szCs w:val="17"/>
              </w:rPr>
            </w:pPr>
            <w:r>
              <w:rPr>
                <w:spacing w:val="-2"/>
                <w:sz w:val="17"/>
                <w:szCs w:val="17"/>
              </w:rPr>
              <w:t>3349.3</w:t>
            </w:r>
          </w:p>
        </w:tc>
        <w:tc>
          <w:tcPr>
            <w:tcW w:w="1380" w:type="dxa"/>
            <w:tcBorders>
              <w:left w:val="single" w:color="000000" w:sz="4" w:space="0"/>
              <w:right w:val="single" w:color="000000" w:sz="4" w:space="0"/>
            </w:tcBorders>
            <w:vAlign w:val="top"/>
          </w:tcPr>
          <w:p w14:paraId="762008C1">
            <w:pPr>
              <w:pStyle w:val="6"/>
              <w:spacing w:before="132" w:line="184" w:lineRule="auto"/>
              <w:ind w:left="425"/>
              <w:rPr>
                <w:sz w:val="17"/>
                <w:szCs w:val="17"/>
              </w:rPr>
            </w:pPr>
            <w:r>
              <w:rPr>
                <w:spacing w:val="-2"/>
                <w:sz w:val="17"/>
                <w:szCs w:val="17"/>
              </w:rPr>
              <w:t>3321.9</w:t>
            </w:r>
          </w:p>
        </w:tc>
        <w:tc>
          <w:tcPr>
            <w:tcW w:w="1390" w:type="dxa"/>
            <w:tcBorders>
              <w:left w:val="single" w:color="000000" w:sz="4" w:space="0"/>
            </w:tcBorders>
            <w:vAlign w:val="top"/>
          </w:tcPr>
          <w:p w14:paraId="1934D371">
            <w:pPr>
              <w:pStyle w:val="6"/>
              <w:spacing w:before="132" w:line="183" w:lineRule="auto"/>
              <w:ind w:left="435"/>
              <w:rPr>
                <w:sz w:val="17"/>
                <w:szCs w:val="17"/>
              </w:rPr>
            </w:pPr>
            <w:r>
              <w:rPr>
                <w:spacing w:val="-2"/>
                <w:sz w:val="17"/>
                <w:szCs w:val="17"/>
              </w:rPr>
              <w:t>3293.2</w:t>
            </w:r>
          </w:p>
        </w:tc>
      </w:tr>
      <w:tr w14:paraId="756C317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10" w:hRule="atLeast"/>
        </w:trPr>
        <w:tc>
          <w:tcPr>
            <w:tcW w:w="1150" w:type="dxa"/>
            <w:tcBorders>
              <w:right w:val="single" w:color="000000" w:sz="4" w:space="0"/>
            </w:tcBorders>
            <w:vAlign w:val="top"/>
          </w:tcPr>
          <w:p w14:paraId="0EC8C8EE">
            <w:pPr>
              <w:pStyle w:val="6"/>
              <w:spacing w:before="163" w:line="183" w:lineRule="auto"/>
              <w:ind w:left="440"/>
              <w:rPr>
                <w:sz w:val="17"/>
                <w:szCs w:val="17"/>
              </w:rPr>
            </w:pPr>
            <w:r>
              <w:rPr>
                <w:spacing w:val="-2"/>
                <w:sz w:val="17"/>
                <w:szCs w:val="17"/>
              </w:rPr>
              <w:t>450</w:t>
            </w:r>
          </w:p>
        </w:tc>
        <w:tc>
          <w:tcPr>
            <w:tcW w:w="1380" w:type="dxa"/>
            <w:tcBorders>
              <w:left w:val="single" w:color="000000" w:sz="4" w:space="0"/>
              <w:right w:val="single" w:color="000000" w:sz="4" w:space="0"/>
            </w:tcBorders>
            <w:vAlign w:val="top"/>
          </w:tcPr>
          <w:p w14:paraId="1398DF9B">
            <w:pPr>
              <w:pStyle w:val="6"/>
              <w:spacing w:before="132" w:line="183" w:lineRule="auto"/>
              <w:ind w:left="425"/>
              <w:rPr>
                <w:sz w:val="17"/>
                <w:szCs w:val="17"/>
              </w:rPr>
            </w:pPr>
            <w:r>
              <w:rPr>
                <w:spacing w:val="-2"/>
                <w:sz w:val="17"/>
                <w:szCs w:val="17"/>
              </w:rPr>
              <w:t>3383.3</w:t>
            </w:r>
          </w:p>
        </w:tc>
        <w:tc>
          <w:tcPr>
            <w:tcW w:w="1380" w:type="dxa"/>
            <w:tcBorders>
              <w:left w:val="single" w:color="000000" w:sz="4" w:space="0"/>
              <w:right w:val="single" w:color="000000" w:sz="4" w:space="0"/>
            </w:tcBorders>
            <w:vAlign w:val="top"/>
          </w:tcPr>
          <w:p w14:paraId="0E9AEF98">
            <w:pPr>
              <w:pStyle w:val="6"/>
              <w:spacing w:before="163" w:line="183" w:lineRule="auto"/>
              <w:ind w:left="424"/>
              <w:rPr>
                <w:sz w:val="17"/>
                <w:szCs w:val="17"/>
              </w:rPr>
            </w:pPr>
            <w:r>
              <w:rPr>
                <w:spacing w:val="-2"/>
                <w:sz w:val="17"/>
                <w:szCs w:val="17"/>
              </w:rPr>
              <w:t>3382.2</w:t>
            </w:r>
          </w:p>
        </w:tc>
        <w:tc>
          <w:tcPr>
            <w:tcW w:w="1380" w:type="dxa"/>
            <w:tcBorders>
              <w:left w:val="single" w:color="000000" w:sz="4" w:space="0"/>
              <w:right w:val="single" w:color="000000" w:sz="4" w:space="0"/>
            </w:tcBorders>
            <w:vAlign w:val="top"/>
          </w:tcPr>
          <w:p w14:paraId="4727FCDE">
            <w:pPr>
              <w:pStyle w:val="6"/>
              <w:spacing w:before="162" w:line="184" w:lineRule="auto"/>
              <w:ind w:left="425"/>
              <w:rPr>
                <w:sz w:val="17"/>
                <w:szCs w:val="17"/>
              </w:rPr>
            </w:pPr>
            <w:r>
              <w:rPr>
                <w:spacing w:val="-2"/>
                <w:sz w:val="17"/>
                <w:szCs w:val="17"/>
              </w:rPr>
              <w:t>3377.1</w:t>
            </w:r>
          </w:p>
        </w:tc>
        <w:tc>
          <w:tcPr>
            <w:tcW w:w="1360" w:type="dxa"/>
            <w:tcBorders>
              <w:left w:val="single" w:color="000000" w:sz="4" w:space="0"/>
              <w:right w:val="single" w:color="000000" w:sz="4" w:space="0"/>
            </w:tcBorders>
            <w:vAlign w:val="top"/>
          </w:tcPr>
          <w:p w14:paraId="5A7E6542">
            <w:pPr>
              <w:pStyle w:val="6"/>
              <w:spacing w:before="163" w:line="183" w:lineRule="auto"/>
              <w:ind w:left="415"/>
              <w:rPr>
                <w:sz w:val="17"/>
                <w:szCs w:val="17"/>
              </w:rPr>
            </w:pPr>
            <w:r>
              <w:rPr>
                <w:spacing w:val="-2"/>
                <w:sz w:val="17"/>
                <w:szCs w:val="17"/>
              </w:rPr>
              <w:t>3370.7</w:t>
            </w:r>
          </w:p>
        </w:tc>
        <w:tc>
          <w:tcPr>
            <w:tcW w:w="1380" w:type="dxa"/>
            <w:tcBorders>
              <w:left w:val="single" w:color="000000" w:sz="4" w:space="0"/>
              <w:right w:val="single" w:color="000000" w:sz="4" w:space="0"/>
            </w:tcBorders>
            <w:vAlign w:val="top"/>
          </w:tcPr>
          <w:p w14:paraId="73F32719">
            <w:pPr>
              <w:pStyle w:val="6"/>
              <w:spacing w:before="163" w:line="183" w:lineRule="auto"/>
              <w:ind w:left="425"/>
              <w:rPr>
                <w:sz w:val="17"/>
                <w:szCs w:val="17"/>
              </w:rPr>
            </w:pPr>
            <w:r>
              <w:rPr>
                <w:spacing w:val="-2"/>
                <w:sz w:val="17"/>
                <w:szCs w:val="17"/>
              </w:rPr>
              <w:t>3344.4</w:t>
            </w:r>
          </w:p>
        </w:tc>
        <w:tc>
          <w:tcPr>
            <w:tcW w:w="1390" w:type="dxa"/>
            <w:tcBorders>
              <w:left w:val="single" w:color="000000" w:sz="4" w:space="0"/>
            </w:tcBorders>
            <w:vAlign w:val="top"/>
          </w:tcPr>
          <w:p w14:paraId="4C3A26DF">
            <w:pPr>
              <w:pStyle w:val="6"/>
              <w:spacing w:before="162" w:line="184" w:lineRule="auto"/>
              <w:ind w:left="435"/>
              <w:rPr>
                <w:sz w:val="17"/>
                <w:szCs w:val="17"/>
              </w:rPr>
            </w:pPr>
            <w:r>
              <w:rPr>
                <w:spacing w:val="-2"/>
                <w:sz w:val="17"/>
                <w:szCs w:val="17"/>
              </w:rPr>
              <w:t>3316.8</w:t>
            </w:r>
          </w:p>
        </w:tc>
      </w:tr>
      <w:tr w14:paraId="5D9095A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75" w:hRule="atLeast"/>
        </w:trPr>
        <w:tc>
          <w:tcPr>
            <w:tcW w:w="1150" w:type="dxa"/>
            <w:tcBorders>
              <w:right w:val="single" w:color="000000" w:sz="4" w:space="0"/>
            </w:tcBorders>
            <w:vAlign w:val="top"/>
          </w:tcPr>
          <w:p w14:paraId="310EC11C">
            <w:pPr>
              <w:pStyle w:val="6"/>
              <w:spacing w:before="143" w:line="183" w:lineRule="auto"/>
              <w:ind w:left="440"/>
              <w:rPr>
                <w:sz w:val="17"/>
                <w:szCs w:val="17"/>
              </w:rPr>
            </w:pPr>
            <w:r>
              <w:rPr>
                <w:spacing w:val="-2"/>
                <w:sz w:val="17"/>
                <w:szCs w:val="17"/>
              </w:rPr>
              <w:t>460</w:t>
            </w:r>
          </w:p>
        </w:tc>
        <w:tc>
          <w:tcPr>
            <w:tcW w:w="1380" w:type="dxa"/>
            <w:tcBorders>
              <w:left w:val="single" w:color="000000" w:sz="4" w:space="0"/>
              <w:right w:val="single" w:color="000000" w:sz="4" w:space="0"/>
            </w:tcBorders>
            <w:vAlign w:val="top"/>
          </w:tcPr>
          <w:p w14:paraId="5E4C3E76">
            <w:pPr>
              <w:pStyle w:val="6"/>
              <w:spacing w:before="143" w:line="183" w:lineRule="auto"/>
              <w:ind w:left="425"/>
              <w:rPr>
                <w:sz w:val="17"/>
                <w:szCs w:val="17"/>
              </w:rPr>
            </w:pPr>
            <w:r>
              <w:rPr>
                <w:spacing w:val="-2"/>
                <w:sz w:val="17"/>
                <w:szCs w:val="17"/>
              </w:rPr>
              <w:t>3404.4</w:t>
            </w:r>
          </w:p>
        </w:tc>
        <w:tc>
          <w:tcPr>
            <w:tcW w:w="1380" w:type="dxa"/>
            <w:tcBorders>
              <w:left w:val="single" w:color="000000" w:sz="4" w:space="0"/>
              <w:right w:val="single" w:color="000000" w:sz="4" w:space="0"/>
            </w:tcBorders>
            <w:vAlign w:val="top"/>
          </w:tcPr>
          <w:p w14:paraId="58DD4B39">
            <w:pPr>
              <w:pStyle w:val="6"/>
              <w:spacing w:before="143" w:line="183" w:lineRule="auto"/>
              <w:ind w:left="424"/>
              <w:rPr>
                <w:sz w:val="17"/>
                <w:szCs w:val="17"/>
              </w:rPr>
            </w:pPr>
            <w:r>
              <w:rPr>
                <w:spacing w:val="-2"/>
                <w:sz w:val="17"/>
                <w:szCs w:val="17"/>
              </w:rPr>
              <w:t>3403.3</w:t>
            </w:r>
          </w:p>
        </w:tc>
        <w:tc>
          <w:tcPr>
            <w:tcW w:w="1380" w:type="dxa"/>
            <w:tcBorders>
              <w:left w:val="single" w:color="000000" w:sz="4" w:space="0"/>
              <w:right w:val="single" w:color="000000" w:sz="4" w:space="0"/>
            </w:tcBorders>
            <w:vAlign w:val="top"/>
          </w:tcPr>
          <w:p w14:paraId="01948541">
            <w:pPr>
              <w:pStyle w:val="6"/>
              <w:spacing w:before="143" w:line="183" w:lineRule="auto"/>
              <w:ind w:left="425"/>
              <w:rPr>
                <w:sz w:val="17"/>
                <w:szCs w:val="17"/>
              </w:rPr>
            </w:pPr>
            <w:r>
              <w:rPr>
                <w:spacing w:val="-2"/>
                <w:sz w:val="17"/>
                <w:szCs w:val="17"/>
              </w:rPr>
              <w:t>3398.3</w:t>
            </w:r>
          </w:p>
        </w:tc>
        <w:tc>
          <w:tcPr>
            <w:tcW w:w="1360" w:type="dxa"/>
            <w:tcBorders>
              <w:left w:val="single" w:color="000000" w:sz="4" w:space="0"/>
              <w:right w:val="single" w:color="000000" w:sz="4" w:space="0"/>
            </w:tcBorders>
            <w:vAlign w:val="top"/>
          </w:tcPr>
          <w:p w14:paraId="5674C25B">
            <w:pPr>
              <w:pStyle w:val="6"/>
              <w:spacing w:before="142" w:line="184" w:lineRule="auto"/>
              <w:ind w:left="415"/>
              <w:rPr>
                <w:sz w:val="17"/>
                <w:szCs w:val="17"/>
              </w:rPr>
            </w:pPr>
            <w:r>
              <w:rPr>
                <w:spacing w:val="-2"/>
                <w:sz w:val="17"/>
                <w:szCs w:val="17"/>
              </w:rPr>
              <w:t>3392.1</w:t>
            </w:r>
          </w:p>
        </w:tc>
        <w:tc>
          <w:tcPr>
            <w:tcW w:w="1380" w:type="dxa"/>
            <w:tcBorders>
              <w:left w:val="single" w:color="000000" w:sz="4" w:space="0"/>
              <w:right w:val="single" w:color="000000" w:sz="4" w:space="0"/>
            </w:tcBorders>
            <w:vAlign w:val="top"/>
          </w:tcPr>
          <w:p w14:paraId="1835F4CE">
            <w:pPr>
              <w:pStyle w:val="6"/>
              <w:spacing w:before="143" w:line="183" w:lineRule="auto"/>
              <w:ind w:left="425"/>
              <w:rPr>
                <w:sz w:val="17"/>
                <w:szCs w:val="17"/>
              </w:rPr>
            </w:pPr>
            <w:r>
              <w:rPr>
                <w:spacing w:val="-2"/>
                <w:sz w:val="17"/>
                <w:szCs w:val="17"/>
              </w:rPr>
              <w:t>3366.8</w:t>
            </w:r>
          </w:p>
        </w:tc>
        <w:tc>
          <w:tcPr>
            <w:tcW w:w="1390" w:type="dxa"/>
            <w:tcBorders>
              <w:left w:val="single" w:color="000000" w:sz="4" w:space="0"/>
            </w:tcBorders>
            <w:vAlign w:val="top"/>
          </w:tcPr>
          <w:p w14:paraId="5E61B564">
            <w:pPr>
              <w:pStyle w:val="6"/>
              <w:spacing w:before="143" w:line="183" w:lineRule="auto"/>
              <w:ind w:left="435"/>
              <w:rPr>
                <w:sz w:val="17"/>
                <w:szCs w:val="17"/>
              </w:rPr>
            </w:pPr>
            <w:r>
              <w:rPr>
                <w:spacing w:val="-2"/>
                <w:sz w:val="17"/>
                <w:szCs w:val="17"/>
              </w:rPr>
              <w:t>3340.4</w:t>
            </w:r>
          </w:p>
        </w:tc>
      </w:tr>
      <w:tr w14:paraId="664EEDF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0" w:hRule="atLeast"/>
        </w:trPr>
        <w:tc>
          <w:tcPr>
            <w:tcW w:w="1150" w:type="dxa"/>
            <w:tcBorders>
              <w:right w:val="single" w:color="000000" w:sz="4" w:space="0"/>
            </w:tcBorders>
            <w:vAlign w:val="top"/>
          </w:tcPr>
          <w:p w14:paraId="127DE39C">
            <w:pPr>
              <w:pStyle w:val="6"/>
              <w:spacing w:before="157" w:line="183" w:lineRule="auto"/>
              <w:ind w:left="440"/>
              <w:rPr>
                <w:sz w:val="17"/>
                <w:szCs w:val="17"/>
              </w:rPr>
            </w:pPr>
            <w:r>
              <w:rPr>
                <w:spacing w:val="-2"/>
                <w:sz w:val="17"/>
                <w:szCs w:val="17"/>
              </w:rPr>
              <w:t>480</w:t>
            </w:r>
          </w:p>
        </w:tc>
        <w:tc>
          <w:tcPr>
            <w:tcW w:w="1380" w:type="dxa"/>
            <w:tcBorders>
              <w:left w:val="single" w:color="000000" w:sz="4" w:space="0"/>
              <w:right w:val="single" w:color="000000" w:sz="4" w:space="0"/>
            </w:tcBorders>
            <w:vAlign w:val="top"/>
          </w:tcPr>
          <w:p w14:paraId="5B4CF199">
            <w:pPr>
              <w:pStyle w:val="6"/>
              <w:spacing w:before="127" w:line="183" w:lineRule="auto"/>
              <w:ind w:left="425"/>
              <w:rPr>
                <w:sz w:val="17"/>
                <w:szCs w:val="17"/>
              </w:rPr>
            </w:pPr>
            <w:r>
              <w:rPr>
                <w:spacing w:val="-2"/>
                <w:sz w:val="17"/>
                <w:szCs w:val="17"/>
              </w:rPr>
              <w:t>3446.7</w:t>
            </w:r>
          </w:p>
        </w:tc>
        <w:tc>
          <w:tcPr>
            <w:tcW w:w="1380" w:type="dxa"/>
            <w:tcBorders>
              <w:left w:val="single" w:color="000000" w:sz="4" w:space="0"/>
              <w:right w:val="single" w:color="000000" w:sz="4" w:space="0"/>
            </w:tcBorders>
            <w:vAlign w:val="top"/>
          </w:tcPr>
          <w:p w14:paraId="30812CF7">
            <w:pPr>
              <w:pStyle w:val="6"/>
              <w:spacing w:before="127" w:line="183" w:lineRule="auto"/>
              <w:ind w:left="424"/>
              <w:rPr>
                <w:sz w:val="17"/>
                <w:szCs w:val="17"/>
              </w:rPr>
            </w:pPr>
            <w:r>
              <w:rPr>
                <w:spacing w:val="-2"/>
                <w:sz w:val="17"/>
                <w:szCs w:val="17"/>
              </w:rPr>
              <w:t>3445.6</w:t>
            </w:r>
          </w:p>
        </w:tc>
        <w:tc>
          <w:tcPr>
            <w:tcW w:w="1380" w:type="dxa"/>
            <w:tcBorders>
              <w:left w:val="single" w:color="000000" w:sz="4" w:space="0"/>
              <w:right w:val="single" w:color="000000" w:sz="4" w:space="0"/>
            </w:tcBorders>
            <w:vAlign w:val="top"/>
          </w:tcPr>
          <w:p w14:paraId="09636677">
            <w:pPr>
              <w:pStyle w:val="6"/>
              <w:spacing w:before="138" w:line="183" w:lineRule="auto"/>
              <w:ind w:left="425"/>
              <w:rPr>
                <w:sz w:val="17"/>
                <w:szCs w:val="17"/>
              </w:rPr>
            </w:pPr>
            <w:r>
              <w:rPr>
                <w:spacing w:val="-2"/>
                <w:sz w:val="17"/>
                <w:szCs w:val="17"/>
              </w:rPr>
              <w:t>3440.9</w:t>
            </w:r>
          </w:p>
        </w:tc>
        <w:tc>
          <w:tcPr>
            <w:tcW w:w="1360" w:type="dxa"/>
            <w:tcBorders>
              <w:left w:val="single" w:color="000000" w:sz="4" w:space="0"/>
              <w:right w:val="single" w:color="000000" w:sz="4" w:space="0"/>
            </w:tcBorders>
            <w:vAlign w:val="top"/>
          </w:tcPr>
          <w:p w14:paraId="00602095">
            <w:pPr>
              <w:pStyle w:val="6"/>
              <w:spacing w:before="137" w:line="184" w:lineRule="auto"/>
              <w:ind w:left="415"/>
              <w:rPr>
                <w:sz w:val="17"/>
                <w:szCs w:val="17"/>
              </w:rPr>
            </w:pPr>
            <w:r>
              <w:rPr>
                <w:spacing w:val="-2"/>
                <w:sz w:val="17"/>
                <w:szCs w:val="17"/>
              </w:rPr>
              <w:t>3435.1</w:t>
            </w:r>
          </w:p>
        </w:tc>
        <w:tc>
          <w:tcPr>
            <w:tcW w:w="1380" w:type="dxa"/>
            <w:tcBorders>
              <w:left w:val="single" w:color="000000" w:sz="4" w:space="0"/>
              <w:right w:val="single" w:color="000000" w:sz="4" w:space="0"/>
            </w:tcBorders>
            <w:vAlign w:val="top"/>
          </w:tcPr>
          <w:p w14:paraId="36B5104A">
            <w:pPr>
              <w:pStyle w:val="6"/>
              <w:spacing w:before="126" w:line="184" w:lineRule="auto"/>
              <w:ind w:left="425"/>
              <w:rPr>
                <w:sz w:val="17"/>
                <w:szCs w:val="17"/>
              </w:rPr>
            </w:pPr>
            <w:r>
              <w:rPr>
                <w:spacing w:val="-2"/>
                <w:sz w:val="17"/>
                <w:szCs w:val="17"/>
              </w:rPr>
              <w:t>3411.6</w:t>
            </w:r>
          </w:p>
        </w:tc>
        <w:tc>
          <w:tcPr>
            <w:tcW w:w="1390" w:type="dxa"/>
            <w:tcBorders>
              <w:left w:val="single" w:color="000000" w:sz="4" w:space="0"/>
            </w:tcBorders>
            <w:vAlign w:val="top"/>
          </w:tcPr>
          <w:p w14:paraId="3C771F3E">
            <w:pPr>
              <w:pStyle w:val="6"/>
              <w:spacing w:before="138" w:line="183" w:lineRule="auto"/>
              <w:ind w:left="435"/>
              <w:rPr>
                <w:sz w:val="17"/>
                <w:szCs w:val="17"/>
              </w:rPr>
            </w:pPr>
            <w:r>
              <w:rPr>
                <w:spacing w:val="-2"/>
                <w:sz w:val="17"/>
                <w:szCs w:val="17"/>
              </w:rPr>
              <w:t>3387.2</w:t>
            </w:r>
          </w:p>
        </w:tc>
      </w:tr>
      <w:tr w14:paraId="6EACE44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89" w:hRule="atLeast"/>
        </w:trPr>
        <w:tc>
          <w:tcPr>
            <w:tcW w:w="1150" w:type="dxa"/>
            <w:tcBorders>
              <w:right w:val="single" w:color="000000" w:sz="4" w:space="0"/>
            </w:tcBorders>
            <w:vAlign w:val="top"/>
          </w:tcPr>
          <w:p w14:paraId="4849D05F">
            <w:pPr>
              <w:pStyle w:val="6"/>
              <w:spacing w:before="157" w:line="183" w:lineRule="auto"/>
              <w:ind w:left="440"/>
              <w:rPr>
                <w:sz w:val="17"/>
                <w:szCs w:val="17"/>
              </w:rPr>
            </w:pPr>
            <w:r>
              <w:rPr>
                <w:spacing w:val="-3"/>
                <w:sz w:val="17"/>
                <w:szCs w:val="17"/>
              </w:rPr>
              <w:t>500</w:t>
            </w:r>
          </w:p>
        </w:tc>
        <w:tc>
          <w:tcPr>
            <w:tcW w:w="1380" w:type="dxa"/>
            <w:tcBorders>
              <w:left w:val="single" w:color="000000" w:sz="4" w:space="0"/>
              <w:right w:val="single" w:color="000000" w:sz="4" w:space="0"/>
            </w:tcBorders>
            <w:vAlign w:val="top"/>
          </w:tcPr>
          <w:p w14:paraId="14D8E2F9">
            <w:pPr>
              <w:pStyle w:val="6"/>
              <w:spacing w:before="127" w:line="183" w:lineRule="auto"/>
              <w:ind w:left="425"/>
              <w:rPr>
                <w:sz w:val="17"/>
                <w:szCs w:val="17"/>
              </w:rPr>
            </w:pPr>
            <w:r>
              <w:rPr>
                <w:spacing w:val="-2"/>
                <w:sz w:val="17"/>
                <w:szCs w:val="17"/>
              </w:rPr>
              <w:t>3488.9</w:t>
            </w:r>
          </w:p>
        </w:tc>
        <w:tc>
          <w:tcPr>
            <w:tcW w:w="1380" w:type="dxa"/>
            <w:tcBorders>
              <w:left w:val="single" w:color="000000" w:sz="4" w:space="0"/>
              <w:right w:val="single" w:color="000000" w:sz="4" w:space="0"/>
            </w:tcBorders>
            <w:vAlign w:val="top"/>
          </w:tcPr>
          <w:p w14:paraId="2BC81B5C">
            <w:pPr>
              <w:pStyle w:val="6"/>
              <w:spacing w:before="127" w:line="183" w:lineRule="auto"/>
              <w:ind w:left="424"/>
              <w:rPr>
                <w:sz w:val="17"/>
                <w:szCs w:val="17"/>
              </w:rPr>
            </w:pPr>
            <w:r>
              <w:rPr>
                <w:spacing w:val="-2"/>
                <w:sz w:val="17"/>
                <w:szCs w:val="17"/>
              </w:rPr>
              <w:t>3487.9</w:t>
            </w:r>
          </w:p>
        </w:tc>
        <w:tc>
          <w:tcPr>
            <w:tcW w:w="1380" w:type="dxa"/>
            <w:tcBorders>
              <w:left w:val="single" w:color="000000" w:sz="4" w:space="0"/>
              <w:right w:val="single" w:color="000000" w:sz="4" w:space="0"/>
            </w:tcBorders>
            <w:vAlign w:val="top"/>
          </w:tcPr>
          <w:p w14:paraId="72D5678E">
            <w:pPr>
              <w:pStyle w:val="6"/>
              <w:spacing w:before="138" w:line="183" w:lineRule="auto"/>
              <w:ind w:left="425"/>
              <w:rPr>
                <w:sz w:val="17"/>
                <w:szCs w:val="17"/>
              </w:rPr>
            </w:pPr>
            <w:r>
              <w:rPr>
                <w:spacing w:val="-2"/>
                <w:sz w:val="17"/>
                <w:szCs w:val="17"/>
              </w:rPr>
              <w:t>3483.7</w:t>
            </w:r>
          </w:p>
        </w:tc>
        <w:tc>
          <w:tcPr>
            <w:tcW w:w="1360" w:type="dxa"/>
            <w:tcBorders>
              <w:left w:val="single" w:color="000000" w:sz="4" w:space="0"/>
              <w:right w:val="single" w:color="000000" w:sz="4" w:space="0"/>
            </w:tcBorders>
            <w:vAlign w:val="top"/>
          </w:tcPr>
          <w:p w14:paraId="4E0C19D3">
            <w:pPr>
              <w:pStyle w:val="6"/>
              <w:spacing w:before="147" w:line="183" w:lineRule="auto"/>
              <w:ind w:left="455"/>
              <w:rPr>
                <w:sz w:val="17"/>
                <w:szCs w:val="17"/>
              </w:rPr>
            </w:pPr>
            <w:r>
              <w:rPr>
                <w:spacing w:val="-2"/>
                <w:sz w:val="17"/>
                <w:szCs w:val="17"/>
              </w:rPr>
              <w:t>34783</w:t>
            </w:r>
          </w:p>
        </w:tc>
        <w:tc>
          <w:tcPr>
            <w:tcW w:w="1380" w:type="dxa"/>
            <w:tcBorders>
              <w:left w:val="single" w:color="000000" w:sz="4" w:space="0"/>
              <w:right w:val="single" w:color="000000" w:sz="4" w:space="0"/>
            </w:tcBorders>
            <w:vAlign w:val="top"/>
          </w:tcPr>
          <w:p w14:paraId="6022539F">
            <w:pPr>
              <w:pStyle w:val="6"/>
              <w:spacing w:before="127" w:line="183" w:lineRule="auto"/>
              <w:ind w:left="465"/>
              <w:rPr>
                <w:sz w:val="17"/>
                <w:szCs w:val="17"/>
              </w:rPr>
            </w:pPr>
            <w:r>
              <w:rPr>
                <w:spacing w:val="-2"/>
                <w:sz w:val="17"/>
                <w:szCs w:val="17"/>
              </w:rPr>
              <w:t>34564</w:t>
            </w:r>
          </w:p>
        </w:tc>
        <w:tc>
          <w:tcPr>
            <w:tcW w:w="1390" w:type="dxa"/>
            <w:tcBorders>
              <w:left w:val="single" w:color="000000" w:sz="4" w:space="0"/>
            </w:tcBorders>
            <w:vAlign w:val="top"/>
          </w:tcPr>
          <w:p w14:paraId="34D3A1DD">
            <w:pPr>
              <w:pStyle w:val="6"/>
              <w:spacing w:before="138" w:line="183" w:lineRule="auto"/>
              <w:ind w:left="435"/>
              <w:rPr>
                <w:sz w:val="17"/>
                <w:szCs w:val="17"/>
              </w:rPr>
            </w:pPr>
            <w:r>
              <w:rPr>
                <w:spacing w:val="-2"/>
                <w:sz w:val="17"/>
                <w:szCs w:val="17"/>
              </w:rPr>
              <w:t>3433.8</w:t>
            </w:r>
          </w:p>
        </w:tc>
      </w:tr>
      <w:tr w14:paraId="24D63E0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0" w:hRule="atLeast"/>
        </w:trPr>
        <w:tc>
          <w:tcPr>
            <w:tcW w:w="1150" w:type="dxa"/>
            <w:tcBorders>
              <w:right w:val="single" w:color="000000" w:sz="4" w:space="0"/>
            </w:tcBorders>
            <w:vAlign w:val="top"/>
          </w:tcPr>
          <w:p w14:paraId="06A26BF3">
            <w:pPr>
              <w:pStyle w:val="6"/>
              <w:spacing w:before="148" w:line="183" w:lineRule="auto"/>
              <w:ind w:left="440"/>
              <w:rPr>
                <w:sz w:val="17"/>
                <w:szCs w:val="17"/>
              </w:rPr>
            </w:pPr>
            <w:r>
              <w:rPr>
                <w:spacing w:val="-3"/>
                <w:sz w:val="17"/>
                <w:szCs w:val="17"/>
              </w:rPr>
              <w:t>520</w:t>
            </w:r>
          </w:p>
        </w:tc>
        <w:tc>
          <w:tcPr>
            <w:tcW w:w="1380" w:type="dxa"/>
            <w:tcBorders>
              <w:left w:val="single" w:color="000000" w:sz="4" w:space="0"/>
              <w:right w:val="single" w:color="000000" w:sz="4" w:space="0"/>
            </w:tcBorders>
            <w:vAlign w:val="top"/>
          </w:tcPr>
          <w:p w14:paraId="53DCF8A2">
            <w:pPr>
              <w:pStyle w:val="6"/>
              <w:spacing w:before="128" w:line="184" w:lineRule="auto"/>
              <w:ind w:left="425"/>
              <w:rPr>
                <w:sz w:val="17"/>
                <w:szCs w:val="17"/>
              </w:rPr>
            </w:pPr>
            <w:r>
              <w:rPr>
                <w:spacing w:val="-2"/>
                <w:sz w:val="17"/>
                <w:szCs w:val="17"/>
              </w:rPr>
              <w:t>3531.8</w:t>
            </w:r>
          </w:p>
        </w:tc>
        <w:tc>
          <w:tcPr>
            <w:tcW w:w="1380" w:type="dxa"/>
            <w:tcBorders>
              <w:left w:val="single" w:color="000000" w:sz="4" w:space="0"/>
              <w:right w:val="single" w:color="000000" w:sz="4" w:space="0"/>
            </w:tcBorders>
            <w:vAlign w:val="top"/>
          </w:tcPr>
          <w:p w14:paraId="375ECE6F">
            <w:pPr>
              <w:pStyle w:val="6"/>
              <w:spacing w:before="128" w:line="183" w:lineRule="auto"/>
              <w:ind w:left="424"/>
              <w:rPr>
                <w:sz w:val="17"/>
                <w:szCs w:val="17"/>
              </w:rPr>
            </w:pPr>
            <w:r>
              <w:rPr>
                <w:spacing w:val="-2"/>
                <w:sz w:val="17"/>
                <w:szCs w:val="17"/>
              </w:rPr>
              <w:t>3530.9</w:t>
            </w:r>
          </w:p>
        </w:tc>
        <w:tc>
          <w:tcPr>
            <w:tcW w:w="1380" w:type="dxa"/>
            <w:tcBorders>
              <w:left w:val="single" w:color="000000" w:sz="4" w:space="0"/>
              <w:right w:val="single" w:color="000000" w:sz="4" w:space="0"/>
            </w:tcBorders>
            <w:vAlign w:val="top"/>
          </w:tcPr>
          <w:p w14:paraId="3EE1B905">
            <w:pPr>
              <w:pStyle w:val="6"/>
              <w:spacing w:before="139" w:line="183" w:lineRule="auto"/>
              <w:ind w:left="425"/>
              <w:rPr>
                <w:sz w:val="17"/>
                <w:szCs w:val="17"/>
              </w:rPr>
            </w:pPr>
            <w:r>
              <w:rPr>
                <w:spacing w:val="-2"/>
                <w:sz w:val="17"/>
                <w:szCs w:val="17"/>
              </w:rPr>
              <w:t>3526.9</w:t>
            </w:r>
          </w:p>
        </w:tc>
        <w:tc>
          <w:tcPr>
            <w:tcW w:w="1360" w:type="dxa"/>
            <w:tcBorders>
              <w:left w:val="single" w:color="000000" w:sz="4" w:space="0"/>
              <w:right w:val="single" w:color="000000" w:sz="4" w:space="0"/>
            </w:tcBorders>
            <w:vAlign w:val="top"/>
          </w:tcPr>
          <w:p w14:paraId="27E26267">
            <w:pPr>
              <w:pStyle w:val="6"/>
              <w:spacing w:before="138" w:line="184" w:lineRule="auto"/>
              <w:ind w:left="415"/>
              <w:rPr>
                <w:sz w:val="17"/>
                <w:szCs w:val="17"/>
              </w:rPr>
            </w:pPr>
            <w:r>
              <w:rPr>
                <w:spacing w:val="-2"/>
                <w:sz w:val="17"/>
                <w:szCs w:val="17"/>
              </w:rPr>
              <w:t>3521.9</w:t>
            </w:r>
          </w:p>
        </w:tc>
        <w:tc>
          <w:tcPr>
            <w:tcW w:w="1380" w:type="dxa"/>
            <w:tcBorders>
              <w:left w:val="single" w:color="000000" w:sz="4" w:space="0"/>
              <w:right w:val="single" w:color="000000" w:sz="4" w:space="0"/>
            </w:tcBorders>
            <w:vAlign w:val="top"/>
          </w:tcPr>
          <w:p w14:paraId="41FD2826">
            <w:pPr>
              <w:pStyle w:val="6"/>
              <w:spacing w:before="128" w:line="184" w:lineRule="auto"/>
              <w:ind w:left="425"/>
              <w:rPr>
                <w:sz w:val="17"/>
                <w:szCs w:val="17"/>
              </w:rPr>
            </w:pPr>
            <w:r>
              <w:rPr>
                <w:spacing w:val="-2"/>
                <w:sz w:val="17"/>
                <w:szCs w:val="17"/>
              </w:rPr>
              <w:t>3501.3</w:t>
            </w:r>
          </w:p>
        </w:tc>
        <w:tc>
          <w:tcPr>
            <w:tcW w:w="1390" w:type="dxa"/>
            <w:tcBorders>
              <w:left w:val="single" w:color="000000" w:sz="4" w:space="0"/>
            </w:tcBorders>
            <w:vAlign w:val="top"/>
          </w:tcPr>
          <w:p w14:paraId="04D698DF">
            <w:pPr>
              <w:pStyle w:val="6"/>
              <w:spacing w:before="138" w:line="184" w:lineRule="auto"/>
              <w:ind w:left="435"/>
              <w:rPr>
                <w:sz w:val="17"/>
                <w:szCs w:val="17"/>
              </w:rPr>
            </w:pPr>
            <w:r>
              <w:rPr>
                <w:spacing w:val="-2"/>
                <w:sz w:val="17"/>
                <w:szCs w:val="17"/>
              </w:rPr>
              <w:t>3480.1</w:t>
            </w:r>
          </w:p>
        </w:tc>
      </w:tr>
      <w:tr w14:paraId="07FA9D9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5" w:hRule="atLeast"/>
        </w:trPr>
        <w:tc>
          <w:tcPr>
            <w:tcW w:w="1150" w:type="dxa"/>
            <w:tcBorders>
              <w:right w:val="single" w:color="000000" w:sz="4" w:space="0"/>
            </w:tcBorders>
            <w:vAlign w:val="top"/>
          </w:tcPr>
          <w:p w14:paraId="3EF9F364">
            <w:pPr>
              <w:pStyle w:val="6"/>
              <w:spacing w:before="158" w:line="183" w:lineRule="auto"/>
              <w:ind w:left="440"/>
              <w:rPr>
                <w:sz w:val="17"/>
                <w:szCs w:val="17"/>
              </w:rPr>
            </w:pPr>
            <w:r>
              <w:rPr>
                <w:spacing w:val="-3"/>
                <w:sz w:val="17"/>
                <w:szCs w:val="17"/>
              </w:rPr>
              <w:t>540</w:t>
            </w:r>
          </w:p>
        </w:tc>
        <w:tc>
          <w:tcPr>
            <w:tcW w:w="1380" w:type="dxa"/>
            <w:tcBorders>
              <w:left w:val="single" w:color="000000" w:sz="4" w:space="0"/>
              <w:right w:val="single" w:color="000000" w:sz="4" w:space="0"/>
            </w:tcBorders>
            <w:vAlign w:val="top"/>
          </w:tcPr>
          <w:p w14:paraId="45C314D9">
            <w:pPr>
              <w:pStyle w:val="6"/>
              <w:spacing w:before="138" w:line="183" w:lineRule="auto"/>
              <w:ind w:left="425"/>
              <w:rPr>
                <w:sz w:val="17"/>
                <w:szCs w:val="17"/>
              </w:rPr>
            </w:pPr>
            <w:r>
              <w:rPr>
                <w:spacing w:val="-2"/>
                <w:sz w:val="17"/>
                <w:szCs w:val="17"/>
              </w:rPr>
              <w:t>3574.7</w:t>
            </w:r>
          </w:p>
        </w:tc>
        <w:tc>
          <w:tcPr>
            <w:tcW w:w="1380" w:type="dxa"/>
            <w:tcBorders>
              <w:left w:val="single" w:color="000000" w:sz="4" w:space="0"/>
              <w:right w:val="single" w:color="000000" w:sz="4" w:space="0"/>
            </w:tcBorders>
            <w:vAlign w:val="top"/>
          </w:tcPr>
          <w:p w14:paraId="7A504C03">
            <w:pPr>
              <w:pStyle w:val="6"/>
              <w:spacing w:before="138" w:line="183" w:lineRule="auto"/>
              <w:ind w:left="424"/>
              <w:rPr>
                <w:sz w:val="17"/>
                <w:szCs w:val="17"/>
              </w:rPr>
            </w:pPr>
            <w:r>
              <w:rPr>
                <w:spacing w:val="-2"/>
                <w:sz w:val="17"/>
                <w:szCs w:val="17"/>
              </w:rPr>
              <w:t>3573.9</w:t>
            </w:r>
          </w:p>
        </w:tc>
        <w:tc>
          <w:tcPr>
            <w:tcW w:w="1380" w:type="dxa"/>
            <w:tcBorders>
              <w:left w:val="single" w:color="000000" w:sz="4" w:space="0"/>
              <w:right w:val="single" w:color="000000" w:sz="4" w:space="0"/>
            </w:tcBorders>
            <w:vAlign w:val="top"/>
          </w:tcPr>
          <w:p w14:paraId="00577B3C">
            <w:pPr>
              <w:pStyle w:val="6"/>
              <w:spacing w:before="157" w:line="184" w:lineRule="auto"/>
              <w:ind w:left="425"/>
              <w:rPr>
                <w:sz w:val="17"/>
                <w:szCs w:val="17"/>
              </w:rPr>
            </w:pPr>
            <w:r>
              <w:rPr>
                <w:spacing w:val="-2"/>
                <w:sz w:val="17"/>
                <w:szCs w:val="17"/>
              </w:rPr>
              <w:t>3570.1</w:t>
            </w:r>
          </w:p>
        </w:tc>
        <w:tc>
          <w:tcPr>
            <w:tcW w:w="1360" w:type="dxa"/>
            <w:tcBorders>
              <w:left w:val="single" w:color="000000" w:sz="4" w:space="0"/>
              <w:right w:val="single" w:color="000000" w:sz="4" w:space="0"/>
            </w:tcBorders>
            <w:vAlign w:val="top"/>
          </w:tcPr>
          <w:p w14:paraId="2F503E8C">
            <w:pPr>
              <w:pStyle w:val="6"/>
              <w:spacing w:before="138" w:line="183" w:lineRule="auto"/>
              <w:ind w:left="415"/>
              <w:rPr>
                <w:sz w:val="17"/>
                <w:szCs w:val="17"/>
              </w:rPr>
            </w:pPr>
            <w:r>
              <w:rPr>
                <w:spacing w:val="-2"/>
                <w:sz w:val="17"/>
                <w:szCs w:val="17"/>
              </w:rPr>
              <w:t>3565.4</w:t>
            </w:r>
          </w:p>
        </w:tc>
        <w:tc>
          <w:tcPr>
            <w:tcW w:w="1380" w:type="dxa"/>
            <w:tcBorders>
              <w:left w:val="single" w:color="000000" w:sz="4" w:space="0"/>
              <w:right w:val="single" w:color="000000" w:sz="4" w:space="0"/>
            </w:tcBorders>
            <w:vAlign w:val="top"/>
          </w:tcPr>
          <w:p w14:paraId="162B05A1">
            <w:pPr>
              <w:pStyle w:val="6"/>
              <w:spacing w:before="138" w:line="183" w:lineRule="auto"/>
              <w:ind w:left="425"/>
              <w:rPr>
                <w:sz w:val="17"/>
                <w:szCs w:val="17"/>
              </w:rPr>
            </w:pPr>
            <w:r>
              <w:rPr>
                <w:spacing w:val="-2"/>
                <w:sz w:val="17"/>
                <w:szCs w:val="17"/>
              </w:rPr>
              <w:t>3546.2</w:t>
            </w:r>
          </w:p>
        </w:tc>
        <w:tc>
          <w:tcPr>
            <w:tcW w:w="1390" w:type="dxa"/>
            <w:tcBorders>
              <w:left w:val="single" w:color="000000" w:sz="4" w:space="0"/>
            </w:tcBorders>
            <w:vAlign w:val="top"/>
          </w:tcPr>
          <w:p w14:paraId="5EADA973">
            <w:pPr>
              <w:pStyle w:val="6"/>
              <w:spacing w:before="138" w:line="183" w:lineRule="auto"/>
              <w:ind w:left="435"/>
              <w:rPr>
                <w:sz w:val="17"/>
                <w:szCs w:val="17"/>
              </w:rPr>
            </w:pPr>
            <w:r>
              <w:rPr>
                <w:spacing w:val="-2"/>
                <w:sz w:val="17"/>
                <w:szCs w:val="17"/>
              </w:rPr>
              <w:t>3526.4</w:t>
            </w:r>
          </w:p>
        </w:tc>
      </w:tr>
      <w:tr w14:paraId="66175FF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79" w:hRule="atLeast"/>
        </w:trPr>
        <w:tc>
          <w:tcPr>
            <w:tcW w:w="1150" w:type="dxa"/>
            <w:tcBorders>
              <w:right w:val="single" w:color="000000" w:sz="4" w:space="0"/>
            </w:tcBorders>
            <w:vAlign w:val="top"/>
          </w:tcPr>
          <w:p w14:paraId="11480620">
            <w:pPr>
              <w:pStyle w:val="6"/>
              <w:spacing w:before="153" w:line="183" w:lineRule="auto"/>
              <w:ind w:left="440"/>
              <w:rPr>
                <w:sz w:val="17"/>
                <w:szCs w:val="17"/>
              </w:rPr>
            </w:pPr>
            <w:r>
              <w:rPr>
                <w:spacing w:val="-3"/>
                <w:sz w:val="17"/>
                <w:szCs w:val="17"/>
              </w:rPr>
              <w:t>550</w:t>
            </w:r>
          </w:p>
        </w:tc>
        <w:tc>
          <w:tcPr>
            <w:tcW w:w="1380" w:type="dxa"/>
            <w:tcBorders>
              <w:left w:val="single" w:color="000000" w:sz="4" w:space="0"/>
              <w:right w:val="single" w:color="000000" w:sz="4" w:space="0"/>
            </w:tcBorders>
            <w:vAlign w:val="top"/>
          </w:tcPr>
          <w:p w14:paraId="0CB4C4CA">
            <w:pPr>
              <w:pStyle w:val="6"/>
              <w:spacing w:before="133" w:line="183" w:lineRule="auto"/>
              <w:ind w:left="425"/>
              <w:rPr>
                <w:sz w:val="17"/>
                <w:szCs w:val="17"/>
              </w:rPr>
            </w:pPr>
            <w:r>
              <w:rPr>
                <w:spacing w:val="-2"/>
                <w:sz w:val="17"/>
                <w:szCs w:val="17"/>
              </w:rPr>
              <w:t>3593.2</w:t>
            </w:r>
          </w:p>
        </w:tc>
        <w:tc>
          <w:tcPr>
            <w:tcW w:w="1380" w:type="dxa"/>
            <w:tcBorders>
              <w:left w:val="single" w:color="000000" w:sz="4" w:space="0"/>
              <w:right w:val="single" w:color="000000" w:sz="4" w:space="0"/>
            </w:tcBorders>
            <w:vAlign w:val="top"/>
          </w:tcPr>
          <w:p w14:paraId="46B53962">
            <w:pPr>
              <w:pStyle w:val="6"/>
              <w:spacing w:before="153" w:line="183" w:lineRule="auto"/>
              <w:ind w:left="424"/>
              <w:rPr>
                <w:sz w:val="17"/>
                <w:szCs w:val="17"/>
              </w:rPr>
            </w:pPr>
            <w:r>
              <w:rPr>
                <w:spacing w:val="-2"/>
                <w:sz w:val="17"/>
                <w:szCs w:val="17"/>
              </w:rPr>
              <w:t>3595.4</w:t>
            </w:r>
          </w:p>
        </w:tc>
        <w:tc>
          <w:tcPr>
            <w:tcW w:w="1380" w:type="dxa"/>
            <w:tcBorders>
              <w:left w:val="single" w:color="000000" w:sz="4" w:space="0"/>
              <w:right w:val="single" w:color="000000" w:sz="4" w:space="0"/>
            </w:tcBorders>
            <w:vAlign w:val="top"/>
          </w:tcPr>
          <w:p w14:paraId="0FB414E7">
            <w:pPr>
              <w:pStyle w:val="6"/>
              <w:spacing w:before="153" w:line="184" w:lineRule="auto"/>
              <w:ind w:left="425"/>
              <w:rPr>
                <w:sz w:val="17"/>
                <w:szCs w:val="17"/>
              </w:rPr>
            </w:pPr>
            <w:r>
              <w:rPr>
                <w:spacing w:val="-2"/>
                <w:sz w:val="17"/>
                <w:szCs w:val="17"/>
              </w:rPr>
              <w:t>3591.7</w:t>
            </w:r>
          </w:p>
        </w:tc>
        <w:tc>
          <w:tcPr>
            <w:tcW w:w="1360" w:type="dxa"/>
            <w:tcBorders>
              <w:left w:val="single" w:color="000000" w:sz="4" w:space="0"/>
              <w:right w:val="single" w:color="000000" w:sz="4" w:space="0"/>
            </w:tcBorders>
            <w:vAlign w:val="top"/>
          </w:tcPr>
          <w:p w14:paraId="6E6BA56D">
            <w:pPr>
              <w:pStyle w:val="6"/>
              <w:spacing w:before="153" w:line="183" w:lineRule="auto"/>
              <w:ind w:left="415"/>
              <w:rPr>
                <w:sz w:val="17"/>
                <w:szCs w:val="17"/>
              </w:rPr>
            </w:pPr>
            <w:r>
              <w:rPr>
                <w:spacing w:val="-2"/>
                <w:sz w:val="17"/>
                <w:szCs w:val="17"/>
              </w:rPr>
              <w:t>3587.2</w:t>
            </w:r>
          </w:p>
        </w:tc>
        <w:tc>
          <w:tcPr>
            <w:tcW w:w="1380" w:type="dxa"/>
            <w:tcBorders>
              <w:left w:val="single" w:color="000000" w:sz="4" w:space="0"/>
              <w:right w:val="single" w:color="000000" w:sz="4" w:space="0"/>
            </w:tcBorders>
            <w:vAlign w:val="top"/>
          </w:tcPr>
          <w:p w14:paraId="6277FFAC">
            <w:pPr>
              <w:pStyle w:val="6"/>
              <w:spacing w:before="153" w:line="183" w:lineRule="auto"/>
              <w:ind w:left="425"/>
              <w:rPr>
                <w:sz w:val="17"/>
                <w:szCs w:val="17"/>
              </w:rPr>
            </w:pPr>
            <w:r>
              <w:rPr>
                <w:spacing w:val="-2"/>
                <w:sz w:val="17"/>
                <w:szCs w:val="17"/>
              </w:rPr>
              <w:t>3568.6</w:t>
            </w:r>
          </w:p>
        </w:tc>
        <w:tc>
          <w:tcPr>
            <w:tcW w:w="1390" w:type="dxa"/>
            <w:tcBorders>
              <w:left w:val="single" w:color="000000" w:sz="4" w:space="0"/>
            </w:tcBorders>
            <w:vAlign w:val="top"/>
          </w:tcPr>
          <w:p w14:paraId="48B302CD">
            <w:pPr>
              <w:pStyle w:val="6"/>
              <w:spacing w:before="153" w:line="183" w:lineRule="auto"/>
              <w:ind w:left="435"/>
              <w:rPr>
                <w:sz w:val="17"/>
                <w:szCs w:val="17"/>
              </w:rPr>
            </w:pPr>
            <w:r>
              <w:rPr>
                <w:spacing w:val="-2"/>
                <w:sz w:val="17"/>
                <w:szCs w:val="17"/>
              </w:rPr>
              <w:t>3549.6</w:t>
            </w:r>
          </w:p>
        </w:tc>
      </w:tr>
      <w:tr w14:paraId="0850F30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5" w:hRule="atLeast"/>
        </w:trPr>
        <w:tc>
          <w:tcPr>
            <w:tcW w:w="1150" w:type="dxa"/>
            <w:tcBorders>
              <w:right w:val="single" w:color="000000" w:sz="4" w:space="0"/>
            </w:tcBorders>
            <w:vAlign w:val="top"/>
          </w:tcPr>
          <w:p w14:paraId="2296778A">
            <w:pPr>
              <w:pStyle w:val="6"/>
              <w:spacing w:before="164" w:line="183" w:lineRule="auto"/>
              <w:ind w:left="440"/>
              <w:rPr>
                <w:sz w:val="17"/>
                <w:szCs w:val="17"/>
              </w:rPr>
            </w:pPr>
            <w:r>
              <w:rPr>
                <w:spacing w:val="-3"/>
                <w:sz w:val="17"/>
                <w:szCs w:val="17"/>
              </w:rPr>
              <w:t>560</w:t>
            </w:r>
          </w:p>
        </w:tc>
        <w:tc>
          <w:tcPr>
            <w:tcW w:w="1380" w:type="dxa"/>
            <w:tcBorders>
              <w:left w:val="single" w:color="000000" w:sz="4" w:space="0"/>
              <w:right w:val="single" w:color="000000" w:sz="4" w:space="0"/>
            </w:tcBorders>
            <w:vAlign w:val="top"/>
          </w:tcPr>
          <w:p w14:paraId="757AFB4D">
            <w:pPr>
              <w:pStyle w:val="6"/>
              <w:spacing w:before="154" w:line="184" w:lineRule="auto"/>
              <w:ind w:left="425"/>
              <w:rPr>
                <w:sz w:val="17"/>
                <w:szCs w:val="17"/>
              </w:rPr>
            </w:pPr>
            <w:r>
              <w:rPr>
                <w:spacing w:val="-2"/>
                <w:sz w:val="17"/>
                <w:szCs w:val="17"/>
              </w:rPr>
              <w:t>3618.0</w:t>
            </w:r>
          </w:p>
        </w:tc>
        <w:tc>
          <w:tcPr>
            <w:tcW w:w="1380" w:type="dxa"/>
            <w:tcBorders>
              <w:left w:val="single" w:color="000000" w:sz="4" w:space="0"/>
              <w:right w:val="single" w:color="000000" w:sz="4" w:space="0"/>
            </w:tcBorders>
            <w:vAlign w:val="top"/>
          </w:tcPr>
          <w:p w14:paraId="5F68A530">
            <w:pPr>
              <w:pStyle w:val="6"/>
              <w:spacing w:before="154" w:line="184" w:lineRule="auto"/>
              <w:ind w:left="424"/>
              <w:rPr>
                <w:sz w:val="17"/>
                <w:szCs w:val="17"/>
              </w:rPr>
            </w:pPr>
            <w:r>
              <w:rPr>
                <w:spacing w:val="-2"/>
                <w:sz w:val="17"/>
                <w:szCs w:val="17"/>
              </w:rPr>
              <w:t>3617.2</w:t>
            </w:r>
          </w:p>
        </w:tc>
        <w:tc>
          <w:tcPr>
            <w:tcW w:w="1380" w:type="dxa"/>
            <w:tcBorders>
              <w:left w:val="single" w:color="000000" w:sz="4" w:space="0"/>
              <w:right w:val="single" w:color="000000" w:sz="4" w:space="0"/>
            </w:tcBorders>
            <w:vAlign w:val="top"/>
          </w:tcPr>
          <w:p w14:paraId="3A5E16B9">
            <w:pPr>
              <w:pStyle w:val="6"/>
              <w:spacing w:before="154" w:line="184" w:lineRule="auto"/>
              <w:ind w:left="425"/>
              <w:rPr>
                <w:sz w:val="17"/>
                <w:szCs w:val="17"/>
              </w:rPr>
            </w:pPr>
            <w:r>
              <w:rPr>
                <w:spacing w:val="-2"/>
                <w:sz w:val="17"/>
                <w:szCs w:val="17"/>
              </w:rPr>
              <w:t>3613.6</w:t>
            </w:r>
          </w:p>
        </w:tc>
        <w:tc>
          <w:tcPr>
            <w:tcW w:w="1360" w:type="dxa"/>
            <w:tcBorders>
              <w:left w:val="single" w:color="000000" w:sz="4" w:space="0"/>
              <w:right w:val="single" w:color="000000" w:sz="4" w:space="0"/>
            </w:tcBorders>
            <w:vAlign w:val="top"/>
          </w:tcPr>
          <w:p w14:paraId="4792E3D9">
            <w:pPr>
              <w:pStyle w:val="6"/>
              <w:spacing w:before="164" w:line="183" w:lineRule="auto"/>
              <w:ind w:left="415"/>
              <w:rPr>
                <w:sz w:val="17"/>
                <w:szCs w:val="17"/>
              </w:rPr>
            </w:pPr>
            <w:r>
              <w:rPr>
                <w:spacing w:val="-2"/>
                <w:sz w:val="17"/>
                <w:szCs w:val="17"/>
              </w:rPr>
              <w:t>3609.2</w:t>
            </w:r>
          </w:p>
        </w:tc>
        <w:tc>
          <w:tcPr>
            <w:tcW w:w="1380" w:type="dxa"/>
            <w:tcBorders>
              <w:left w:val="single" w:color="000000" w:sz="4" w:space="0"/>
              <w:right w:val="single" w:color="000000" w:sz="4" w:space="0"/>
            </w:tcBorders>
            <w:vAlign w:val="top"/>
          </w:tcPr>
          <w:p w14:paraId="0D8E80D0">
            <w:pPr>
              <w:pStyle w:val="6"/>
              <w:spacing w:before="123" w:line="184" w:lineRule="auto"/>
              <w:ind w:left="425"/>
              <w:rPr>
                <w:sz w:val="17"/>
                <w:szCs w:val="17"/>
              </w:rPr>
            </w:pPr>
            <w:r>
              <w:rPr>
                <w:spacing w:val="-2"/>
                <w:sz w:val="17"/>
                <w:szCs w:val="17"/>
              </w:rPr>
              <w:t>3591.2</w:t>
            </w:r>
          </w:p>
        </w:tc>
        <w:tc>
          <w:tcPr>
            <w:tcW w:w="1390" w:type="dxa"/>
            <w:tcBorders>
              <w:left w:val="single" w:color="000000" w:sz="4" w:space="0"/>
            </w:tcBorders>
            <w:vAlign w:val="top"/>
          </w:tcPr>
          <w:p w14:paraId="47200EE8">
            <w:pPr>
              <w:pStyle w:val="6"/>
              <w:spacing w:before="164" w:line="183" w:lineRule="auto"/>
              <w:ind w:left="435"/>
              <w:rPr>
                <w:sz w:val="17"/>
                <w:szCs w:val="17"/>
              </w:rPr>
            </w:pPr>
            <w:r>
              <w:rPr>
                <w:spacing w:val="-2"/>
                <w:sz w:val="17"/>
                <w:szCs w:val="17"/>
              </w:rPr>
              <w:t>3572.8</w:t>
            </w:r>
          </w:p>
        </w:tc>
      </w:tr>
      <w:tr w14:paraId="1F2D696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89" w:hRule="atLeast"/>
        </w:trPr>
        <w:tc>
          <w:tcPr>
            <w:tcW w:w="1150" w:type="dxa"/>
            <w:tcBorders>
              <w:right w:val="single" w:color="000000" w:sz="4" w:space="0"/>
            </w:tcBorders>
            <w:vAlign w:val="top"/>
          </w:tcPr>
          <w:p w14:paraId="2B73FA4F">
            <w:pPr>
              <w:pStyle w:val="6"/>
              <w:spacing w:before="159" w:line="183" w:lineRule="auto"/>
              <w:ind w:left="440"/>
              <w:rPr>
                <w:sz w:val="17"/>
                <w:szCs w:val="17"/>
              </w:rPr>
            </w:pPr>
            <w:r>
              <w:rPr>
                <w:spacing w:val="-3"/>
                <w:sz w:val="17"/>
                <w:szCs w:val="17"/>
              </w:rPr>
              <w:t>580</w:t>
            </w:r>
          </w:p>
        </w:tc>
        <w:tc>
          <w:tcPr>
            <w:tcW w:w="1380" w:type="dxa"/>
            <w:tcBorders>
              <w:left w:val="single" w:color="000000" w:sz="4" w:space="0"/>
              <w:right w:val="single" w:color="000000" w:sz="4" w:space="0"/>
            </w:tcBorders>
            <w:vAlign w:val="top"/>
          </w:tcPr>
          <w:p w14:paraId="50C1B415">
            <w:pPr>
              <w:pStyle w:val="6"/>
              <w:spacing w:before="129" w:line="184" w:lineRule="auto"/>
              <w:ind w:left="425"/>
              <w:rPr>
                <w:sz w:val="17"/>
                <w:szCs w:val="17"/>
              </w:rPr>
            </w:pPr>
            <w:r>
              <w:rPr>
                <w:spacing w:val="-2"/>
                <w:sz w:val="17"/>
                <w:szCs w:val="17"/>
              </w:rPr>
              <w:t>3661.6</w:t>
            </w:r>
          </w:p>
        </w:tc>
        <w:tc>
          <w:tcPr>
            <w:tcW w:w="1380" w:type="dxa"/>
            <w:tcBorders>
              <w:left w:val="single" w:color="000000" w:sz="4" w:space="0"/>
              <w:right w:val="single" w:color="000000" w:sz="4" w:space="0"/>
            </w:tcBorders>
            <w:vAlign w:val="top"/>
          </w:tcPr>
          <w:p w14:paraId="149BA1D1">
            <w:pPr>
              <w:pStyle w:val="6"/>
              <w:spacing w:before="129" w:line="183" w:lineRule="auto"/>
              <w:ind w:left="424"/>
              <w:rPr>
                <w:sz w:val="17"/>
                <w:szCs w:val="17"/>
              </w:rPr>
            </w:pPr>
            <w:r>
              <w:rPr>
                <w:spacing w:val="-2"/>
                <w:sz w:val="17"/>
                <w:szCs w:val="17"/>
              </w:rPr>
              <w:t>3660.9</w:t>
            </w:r>
          </w:p>
        </w:tc>
        <w:tc>
          <w:tcPr>
            <w:tcW w:w="1380" w:type="dxa"/>
            <w:tcBorders>
              <w:left w:val="single" w:color="000000" w:sz="4" w:space="0"/>
              <w:right w:val="single" w:color="000000" w:sz="4" w:space="0"/>
            </w:tcBorders>
            <w:vAlign w:val="top"/>
          </w:tcPr>
          <w:p w14:paraId="5D76DFD0">
            <w:pPr>
              <w:pStyle w:val="6"/>
              <w:spacing w:before="139" w:line="183" w:lineRule="auto"/>
              <w:ind w:left="425"/>
              <w:rPr>
                <w:sz w:val="17"/>
                <w:szCs w:val="17"/>
              </w:rPr>
            </w:pPr>
            <w:r>
              <w:rPr>
                <w:spacing w:val="-2"/>
                <w:sz w:val="17"/>
                <w:szCs w:val="17"/>
              </w:rPr>
              <w:t>3657.5</w:t>
            </w:r>
          </w:p>
        </w:tc>
        <w:tc>
          <w:tcPr>
            <w:tcW w:w="1360" w:type="dxa"/>
            <w:tcBorders>
              <w:left w:val="single" w:color="000000" w:sz="4" w:space="0"/>
              <w:right w:val="single" w:color="000000" w:sz="4" w:space="0"/>
            </w:tcBorders>
            <w:vAlign w:val="top"/>
          </w:tcPr>
          <w:p w14:paraId="7E4337CD">
            <w:pPr>
              <w:pStyle w:val="6"/>
              <w:spacing w:before="139" w:line="183" w:lineRule="auto"/>
              <w:ind w:left="415"/>
              <w:rPr>
                <w:sz w:val="17"/>
                <w:szCs w:val="17"/>
              </w:rPr>
            </w:pPr>
            <w:r>
              <w:rPr>
                <w:spacing w:val="-2"/>
                <w:sz w:val="17"/>
                <w:szCs w:val="17"/>
              </w:rPr>
              <w:t>3653.3</w:t>
            </w:r>
          </w:p>
        </w:tc>
        <w:tc>
          <w:tcPr>
            <w:tcW w:w="1380" w:type="dxa"/>
            <w:tcBorders>
              <w:left w:val="single" w:color="000000" w:sz="4" w:space="0"/>
              <w:right w:val="single" w:color="000000" w:sz="4" w:space="0"/>
            </w:tcBorders>
            <w:vAlign w:val="top"/>
          </w:tcPr>
          <w:p w14:paraId="747D60BF">
            <w:pPr>
              <w:pStyle w:val="6"/>
              <w:spacing w:before="129" w:line="183" w:lineRule="auto"/>
              <w:ind w:left="425"/>
              <w:rPr>
                <w:sz w:val="17"/>
                <w:szCs w:val="17"/>
              </w:rPr>
            </w:pPr>
            <w:r>
              <w:rPr>
                <w:spacing w:val="-2"/>
                <w:sz w:val="17"/>
                <w:szCs w:val="17"/>
              </w:rPr>
              <w:t>3636.3</w:t>
            </w:r>
          </w:p>
        </w:tc>
        <w:tc>
          <w:tcPr>
            <w:tcW w:w="1390" w:type="dxa"/>
            <w:tcBorders>
              <w:left w:val="single" w:color="000000" w:sz="4" w:space="0"/>
            </w:tcBorders>
            <w:vAlign w:val="top"/>
          </w:tcPr>
          <w:p w14:paraId="3C5DF05A">
            <w:pPr>
              <w:pStyle w:val="6"/>
              <w:spacing w:before="139" w:line="184" w:lineRule="auto"/>
              <w:ind w:left="435"/>
              <w:rPr>
                <w:sz w:val="17"/>
                <w:szCs w:val="17"/>
              </w:rPr>
            </w:pPr>
            <w:r>
              <w:rPr>
                <w:spacing w:val="-2"/>
                <w:sz w:val="17"/>
                <w:szCs w:val="17"/>
              </w:rPr>
              <w:t>3619.1</w:t>
            </w:r>
          </w:p>
        </w:tc>
      </w:tr>
      <w:tr w14:paraId="577D9FD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45" w:hRule="atLeast"/>
        </w:trPr>
        <w:tc>
          <w:tcPr>
            <w:tcW w:w="1150" w:type="dxa"/>
            <w:tcBorders>
              <w:bottom w:val="single" w:color="000000" w:sz="4" w:space="0"/>
              <w:right w:val="single" w:color="000000" w:sz="4" w:space="0"/>
            </w:tcBorders>
            <w:vAlign w:val="top"/>
          </w:tcPr>
          <w:p w14:paraId="3941FEE8">
            <w:pPr>
              <w:pStyle w:val="6"/>
              <w:spacing w:before="160" w:line="183" w:lineRule="auto"/>
              <w:ind w:left="440"/>
              <w:rPr>
                <w:sz w:val="17"/>
                <w:szCs w:val="17"/>
              </w:rPr>
            </w:pPr>
            <w:r>
              <w:rPr>
                <w:spacing w:val="-2"/>
                <w:sz w:val="17"/>
                <w:szCs w:val="17"/>
              </w:rPr>
              <w:t>600</w:t>
            </w:r>
          </w:p>
        </w:tc>
        <w:tc>
          <w:tcPr>
            <w:tcW w:w="1380" w:type="dxa"/>
            <w:tcBorders>
              <w:left w:val="single" w:color="000000" w:sz="4" w:space="0"/>
              <w:bottom w:val="single" w:color="000000" w:sz="4" w:space="0"/>
              <w:right w:val="single" w:color="000000" w:sz="4" w:space="0"/>
            </w:tcBorders>
            <w:vAlign w:val="top"/>
          </w:tcPr>
          <w:p w14:paraId="4B0602C9">
            <w:pPr>
              <w:pStyle w:val="6"/>
              <w:spacing w:before="131" w:line="183" w:lineRule="auto"/>
              <w:ind w:left="425"/>
              <w:rPr>
                <w:sz w:val="17"/>
                <w:szCs w:val="17"/>
              </w:rPr>
            </w:pPr>
            <w:r>
              <w:rPr>
                <w:spacing w:val="-2"/>
                <w:sz w:val="17"/>
                <w:szCs w:val="17"/>
              </w:rPr>
              <w:t>3705.2</w:t>
            </w:r>
          </w:p>
        </w:tc>
        <w:tc>
          <w:tcPr>
            <w:tcW w:w="1380" w:type="dxa"/>
            <w:tcBorders>
              <w:left w:val="single" w:color="000000" w:sz="4" w:space="0"/>
              <w:bottom w:val="single" w:color="000000" w:sz="4" w:space="0"/>
              <w:right w:val="single" w:color="000000" w:sz="4" w:space="0"/>
            </w:tcBorders>
            <w:vAlign w:val="top"/>
          </w:tcPr>
          <w:p w14:paraId="6DC51826">
            <w:pPr>
              <w:pStyle w:val="6"/>
              <w:spacing w:before="131" w:line="183" w:lineRule="auto"/>
              <w:ind w:left="424"/>
              <w:rPr>
                <w:sz w:val="17"/>
                <w:szCs w:val="17"/>
              </w:rPr>
            </w:pPr>
            <w:r>
              <w:rPr>
                <w:spacing w:val="-2"/>
                <w:sz w:val="17"/>
                <w:szCs w:val="17"/>
              </w:rPr>
              <w:t>3704.5</w:t>
            </w:r>
          </w:p>
        </w:tc>
        <w:tc>
          <w:tcPr>
            <w:tcW w:w="1380" w:type="dxa"/>
            <w:tcBorders>
              <w:left w:val="single" w:color="000000" w:sz="4" w:space="0"/>
              <w:bottom w:val="single" w:color="000000" w:sz="4" w:space="0"/>
              <w:right w:val="single" w:color="000000" w:sz="4" w:space="0"/>
            </w:tcBorders>
            <w:vAlign w:val="top"/>
          </w:tcPr>
          <w:p w14:paraId="3D4B8AE7">
            <w:pPr>
              <w:pStyle w:val="6"/>
              <w:spacing w:before="140" w:line="184" w:lineRule="auto"/>
              <w:ind w:left="425"/>
              <w:rPr>
                <w:sz w:val="17"/>
                <w:szCs w:val="17"/>
              </w:rPr>
            </w:pPr>
            <w:r>
              <w:rPr>
                <w:spacing w:val="-2"/>
                <w:sz w:val="17"/>
                <w:szCs w:val="17"/>
              </w:rPr>
              <w:t>3701.4</w:t>
            </w:r>
          </w:p>
        </w:tc>
        <w:tc>
          <w:tcPr>
            <w:tcW w:w="1360" w:type="dxa"/>
            <w:tcBorders>
              <w:left w:val="single" w:color="000000" w:sz="4" w:space="0"/>
              <w:bottom w:val="single" w:color="000000" w:sz="4" w:space="0"/>
              <w:right w:val="single" w:color="000000" w:sz="4" w:space="0"/>
            </w:tcBorders>
            <w:vAlign w:val="top"/>
          </w:tcPr>
          <w:p w14:paraId="45898CF4">
            <w:pPr>
              <w:pStyle w:val="6"/>
              <w:spacing w:before="140" w:line="183" w:lineRule="auto"/>
              <w:ind w:left="415"/>
              <w:rPr>
                <w:sz w:val="17"/>
                <w:szCs w:val="17"/>
              </w:rPr>
            </w:pPr>
            <w:r>
              <w:rPr>
                <w:spacing w:val="-2"/>
                <w:sz w:val="17"/>
                <w:szCs w:val="17"/>
              </w:rPr>
              <w:t>3697.4</w:t>
            </w:r>
          </w:p>
        </w:tc>
        <w:tc>
          <w:tcPr>
            <w:tcW w:w="1380" w:type="dxa"/>
            <w:tcBorders>
              <w:left w:val="single" w:color="000000" w:sz="4" w:space="0"/>
              <w:bottom w:val="single" w:color="000000" w:sz="4" w:space="0"/>
              <w:right w:val="single" w:color="000000" w:sz="4" w:space="0"/>
            </w:tcBorders>
            <w:vAlign w:val="top"/>
          </w:tcPr>
          <w:p w14:paraId="3CE627FB">
            <w:pPr>
              <w:pStyle w:val="6"/>
              <w:spacing w:before="130" w:line="184" w:lineRule="auto"/>
              <w:ind w:left="425"/>
              <w:rPr>
                <w:sz w:val="17"/>
                <w:szCs w:val="17"/>
              </w:rPr>
            </w:pPr>
            <w:r>
              <w:rPr>
                <w:spacing w:val="-2"/>
                <w:sz w:val="17"/>
                <w:szCs w:val="17"/>
              </w:rPr>
              <w:t>3681.5</w:t>
            </w:r>
          </w:p>
        </w:tc>
        <w:tc>
          <w:tcPr>
            <w:tcW w:w="1390" w:type="dxa"/>
            <w:tcBorders>
              <w:left w:val="single" w:color="000000" w:sz="4" w:space="0"/>
              <w:bottom w:val="single" w:color="000000" w:sz="4" w:space="0"/>
            </w:tcBorders>
            <w:vAlign w:val="top"/>
          </w:tcPr>
          <w:p w14:paraId="4AB44C7A">
            <w:pPr>
              <w:pStyle w:val="6"/>
              <w:spacing w:before="140" w:line="183" w:lineRule="auto"/>
              <w:ind w:left="435"/>
              <w:rPr>
                <w:sz w:val="17"/>
                <w:szCs w:val="17"/>
              </w:rPr>
            </w:pPr>
            <w:r>
              <w:rPr>
                <w:spacing w:val="-2"/>
                <w:sz w:val="17"/>
                <w:szCs w:val="17"/>
              </w:rPr>
              <w:t>3665.4</w:t>
            </w:r>
          </w:p>
        </w:tc>
      </w:tr>
    </w:tbl>
    <w:p w14:paraId="3D0E5C38">
      <w:pPr>
        <w:pStyle w:val="2"/>
      </w:pPr>
    </w:p>
    <w:p w14:paraId="14F4E50E">
      <w:pPr>
        <w:sectPr>
          <w:headerReference r:id="rId80" w:type="default"/>
          <w:pgSz w:w="11910" w:h="16840"/>
          <w:pgMar w:top="400" w:right="1233" w:bottom="400" w:left="1239" w:header="0" w:footer="0" w:gutter="0"/>
          <w:cols w:space="720" w:num="1"/>
        </w:sectPr>
      </w:pPr>
    </w:p>
    <w:p w14:paraId="077F6FF3">
      <w:pPr>
        <w:pStyle w:val="2"/>
        <w:spacing w:line="294" w:lineRule="auto"/>
      </w:pPr>
      <w:r>
        <w:pict>
          <v:rect id="_x0000_s1046" o:spid="_x0000_s1046" o:spt="1" style="position:absolute;left:0pt;margin-left:62.3pt;margin-top:52.8pt;height:0.5pt;width:18.9pt;mso-position-horizontal-relative:page;mso-position-vertical-relative:page;z-index:251759616;mso-width-relative:page;mso-height-relative:page;" fillcolor="#000000" filled="t" stroked="f" coordsize="21600,21600" o:allowincell="f">
            <v:path/>
            <v:fill on="t" focussize="0,0"/>
            <v:stroke on="f"/>
            <v:imagedata o:title=""/>
            <o:lock v:ext="edit"/>
          </v:rect>
        </w:pict>
      </w:r>
    </w:p>
    <w:p w14:paraId="20111FDE">
      <w:pPr>
        <w:pStyle w:val="2"/>
        <w:spacing w:line="294" w:lineRule="auto"/>
      </w:pPr>
    </w:p>
    <w:p w14:paraId="60A7C814">
      <w:pPr>
        <w:spacing w:before="59" w:line="219" w:lineRule="auto"/>
        <w:rPr>
          <w:rFonts w:ascii="宋体" w:hAnsi="宋体" w:eastAsia="宋体" w:cs="宋体"/>
          <w:sz w:val="18"/>
          <w:szCs w:val="18"/>
        </w:rPr>
      </w:pPr>
      <w:r>
        <w:rPr>
          <w:rFonts w:ascii="宋体" w:hAnsi="宋体" w:eastAsia="宋体" w:cs="宋体"/>
          <w:spacing w:val="-4"/>
          <w:sz w:val="18"/>
          <w:szCs w:val="18"/>
        </w:rPr>
        <w:t>4.过热蒸汽温度、压力—焓表(二)</w:t>
      </w:r>
    </w:p>
    <w:p w14:paraId="4160A7D5">
      <w:pPr>
        <w:spacing w:before="10" w:line="197" w:lineRule="auto"/>
        <w:ind w:right="26"/>
        <w:jc w:val="right"/>
        <w:rPr>
          <w:rFonts w:ascii="宋体" w:hAnsi="宋体" w:eastAsia="宋体" w:cs="宋体"/>
          <w:sz w:val="20"/>
          <w:szCs w:val="20"/>
        </w:rPr>
      </w:pPr>
      <w:r>
        <w:rPr>
          <w:rFonts w:ascii="宋体" w:hAnsi="宋体" w:eastAsia="宋体" w:cs="宋体"/>
          <w:spacing w:val="10"/>
          <w:sz w:val="20"/>
          <w:szCs w:val="20"/>
        </w:rPr>
        <w:t>焓(</w:t>
      </w:r>
      <w:r>
        <w:rPr>
          <w:rFonts w:ascii="宋体" w:hAnsi="宋体" w:eastAsia="宋体" w:cs="宋体"/>
          <w:sz w:val="20"/>
          <w:szCs w:val="20"/>
        </w:rPr>
        <w:t>KJ</w:t>
      </w:r>
      <w:r>
        <w:rPr>
          <w:rFonts w:ascii="宋体" w:hAnsi="宋体" w:eastAsia="宋体" w:cs="宋体"/>
          <w:spacing w:val="10"/>
          <w:sz w:val="20"/>
          <w:szCs w:val="20"/>
        </w:rPr>
        <w:t>/</w:t>
      </w:r>
      <w:r>
        <w:rPr>
          <w:rFonts w:ascii="宋体" w:hAnsi="宋体" w:eastAsia="宋体" w:cs="宋体"/>
          <w:sz w:val="20"/>
          <w:szCs w:val="20"/>
        </w:rPr>
        <w:t>kg</w:t>
      </w:r>
      <w:r>
        <w:rPr>
          <w:rFonts w:ascii="宋体" w:hAnsi="宋体" w:eastAsia="宋体" w:cs="宋体"/>
          <w:spacing w:val="10"/>
          <w:sz w:val="20"/>
          <w:szCs w:val="20"/>
        </w:rPr>
        <w:t>)</w:t>
      </w:r>
    </w:p>
    <w:tbl>
      <w:tblPr>
        <w:tblStyle w:val="5"/>
        <w:tblW w:w="9370" w:type="dxa"/>
        <w:tblInd w:w="2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300"/>
        <w:gridCol w:w="1340"/>
        <w:gridCol w:w="1350"/>
        <w:gridCol w:w="1350"/>
        <w:gridCol w:w="1340"/>
        <w:gridCol w:w="1350"/>
        <w:gridCol w:w="1340"/>
      </w:tblGrid>
      <w:tr w14:paraId="091F1AE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85" w:hRule="atLeast"/>
        </w:trPr>
        <w:tc>
          <w:tcPr>
            <w:tcW w:w="1300" w:type="dxa"/>
            <w:vMerge w:val="restart"/>
            <w:tcBorders>
              <w:top w:val="single" w:color="000000" w:sz="4" w:space="0"/>
              <w:bottom w:val="nil"/>
              <w:right w:val="single" w:color="000000" w:sz="4" w:space="0"/>
            </w:tcBorders>
            <w:vAlign w:val="top"/>
          </w:tcPr>
          <w:p w14:paraId="3A894A57">
            <w:pPr>
              <w:spacing w:line="307" w:lineRule="auto"/>
              <w:rPr>
                <w:rFonts w:ascii="Arial"/>
                <w:sz w:val="21"/>
              </w:rPr>
            </w:pPr>
          </w:p>
          <w:p w14:paraId="192343CF">
            <w:pPr>
              <w:pStyle w:val="6"/>
              <w:spacing w:before="55" w:line="222" w:lineRule="auto"/>
              <w:ind w:left="430"/>
              <w:rPr>
                <w:sz w:val="17"/>
                <w:szCs w:val="17"/>
              </w:rPr>
            </w:pPr>
            <w:r>
              <w:rPr>
                <w:spacing w:val="-1"/>
                <w:sz w:val="17"/>
                <w:szCs w:val="17"/>
              </w:rPr>
              <w:t>T(℃)</w:t>
            </w:r>
          </w:p>
        </w:tc>
        <w:tc>
          <w:tcPr>
            <w:tcW w:w="8070" w:type="dxa"/>
            <w:gridSpan w:val="6"/>
            <w:tcBorders>
              <w:top w:val="single" w:color="000000" w:sz="4" w:space="0"/>
              <w:left w:val="single" w:color="000000" w:sz="4" w:space="0"/>
              <w:bottom w:val="single" w:color="000000" w:sz="4" w:space="0"/>
            </w:tcBorders>
            <w:vAlign w:val="top"/>
          </w:tcPr>
          <w:p w14:paraId="09636B03">
            <w:pPr>
              <w:pStyle w:val="6"/>
              <w:spacing w:before="106" w:line="182" w:lineRule="auto"/>
              <w:ind w:left="3865"/>
              <w:rPr>
                <w:sz w:val="17"/>
                <w:szCs w:val="17"/>
              </w:rPr>
            </w:pPr>
            <w:r>
              <w:rPr>
                <w:spacing w:val="-1"/>
                <w:sz w:val="17"/>
                <w:szCs w:val="17"/>
              </w:rPr>
              <w:t>MPa</w:t>
            </w:r>
          </w:p>
        </w:tc>
      </w:tr>
      <w:tr w14:paraId="17E5532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89" w:hRule="atLeast"/>
        </w:trPr>
        <w:tc>
          <w:tcPr>
            <w:tcW w:w="1300" w:type="dxa"/>
            <w:vMerge w:val="continue"/>
            <w:tcBorders>
              <w:top w:val="nil"/>
              <w:bottom w:val="single" w:color="000000" w:sz="4" w:space="0"/>
              <w:right w:val="single" w:color="000000" w:sz="4" w:space="0"/>
            </w:tcBorders>
            <w:vAlign w:val="top"/>
          </w:tcPr>
          <w:p w14:paraId="1875AC6B">
            <w:pPr>
              <w:rPr>
                <w:rFonts w:ascii="Arial"/>
                <w:sz w:val="21"/>
              </w:rPr>
            </w:pPr>
          </w:p>
        </w:tc>
        <w:tc>
          <w:tcPr>
            <w:tcW w:w="1340" w:type="dxa"/>
            <w:tcBorders>
              <w:top w:val="single" w:color="000000" w:sz="4" w:space="0"/>
              <w:left w:val="single" w:color="000000" w:sz="4" w:space="0"/>
              <w:bottom w:val="single" w:color="000000" w:sz="4" w:space="0"/>
              <w:right w:val="single" w:color="000000" w:sz="4" w:space="0"/>
            </w:tcBorders>
            <w:vAlign w:val="top"/>
          </w:tcPr>
          <w:p w14:paraId="79C20E6E">
            <w:pPr>
              <w:pStyle w:val="6"/>
              <w:spacing w:before="251" w:line="182" w:lineRule="auto"/>
              <w:ind w:left="615"/>
              <w:rPr>
                <w:sz w:val="17"/>
                <w:szCs w:val="17"/>
              </w:rPr>
            </w:pPr>
            <w:r>
              <w:rPr>
                <w:sz w:val="17"/>
                <w:szCs w:val="17"/>
              </w:rPr>
              <w:t>7</w:t>
            </w:r>
          </w:p>
        </w:tc>
        <w:tc>
          <w:tcPr>
            <w:tcW w:w="1350" w:type="dxa"/>
            <w:tcBorders>
              <w:top w:val="single" w:color="000000" w:sz="4" w:space="0"/>
              <w:left w:val="single" w:color="000000" w:sz="4" w:space="0"/>
              <w:bottom w:val="single" w:color="000000" w:sz="4" w:space="0"/>
              <w:right w:val="single" w:color="000000" w:sz="4" w:space="0"/>
            </w:tcBorders>
            <w:vAlign w:val="top"/>
          </w:tcPr>
          <w:p w14:paraId="012CF2F7">
            <w:pPr>
              <w:pStyle w:val="6"/>
              <w:spacing w:before="249" w:line="184" w:lineRule="auto"/>
              <w:ind w:left="584"/>
              <w:rPr>
                <w:sz w:val="17"/>
                <w:szCs w:val="17"/>
              </w:rPr>
            </w:pPr>
            <w:r>
              <w:rPr>
                <w:spacing w:val="-5"/>
                <w:sz w:val="17"/>
                <w:szCs w:val="17"/>
              </w:rPr>
              <w:t>10</w:t>
            </w:r>
          </w:p>
        </w:tc>
        <w:tc>
          <w:tcPr>
            <w:tcW w:w="1350" w:type="dxa"/>
            <w:tcBorders>
              <w:top w:val="single" w:color="000000" w:sz="4" w:space="0"/>
              <w:left w:val="single" w:color="000000" w:sz="4" w:space="0"/>
              <w:bottom w:val="single" w:color="000000" w:sz="4" w:space="0"/>
              <w:right w:val="single" w:color="000000" w:sz="4" w:space="0"/>
            </w:tcBorders>
            <w:vAlign w:val="top"/>
          </w:tcPr>
          <w:p w14:paraId="570B8509">
            <w:pPr>
              <w:pStyle w:val="6"/>
              <w:spacing w:before="249" w:line="184" w:lineRule="auto"/>
              <w:ind w:left="584"/>
              <w:rPr>
                <w:sz w:val="17"/>
                <w:szCs w:val="17"/>
              </w:rPr>
            </w:pPr>
            <w:r>
              <w:rPr>
                <w:spacing w:val="-5"/>
                <w:sz w:val="17"/>
                <w:szCs w:val="17"/>
              </w:rPr>
              <w:t>14</w:t>
            </w:r>
          </w:p>
        </w:tc>
        <w:tc>
          <w:tcPr>
            <w:tcW w:w="1340" w:type="dxa"/>
            <w:tcBorders>
              <w:top w:val="single" w:color="000000" w:sz="4" w:space="0"/>
              <w:left w:val="single" w:color="000000" w:sz="4" w:space="0"/>
              <w:bottom w:val="single" w:color="000000" w:sz="4" w:space="0"/>
              <w:right w:val="single" w:color="000000" w:sz="4" w:space="0"/>
            </w:tcBorders>
            <w:vAlign w:val="top"/>
          </w:tcPr>
          <w:p w14:paraId="656CCEB6">
            <w:pPr>
              <w:pStyle w:val="6"/>
              <w:spacing w:before="250" w:line="183" w:lineRule="auto"/>
              <w:ind w:left="574"/>
              <w:rPr>
                <w:sz w:val="17"/>
                <w:szCs w:val="17"/>
              </w:rPr>
            </w:pPr>
            <w:r>
              <w:rPr>
                <w:spacing w:val="-3"/>
                <w:sz w:val="17"/>
                <w:szCs w:val="17"/>
              </w:rPr>
              <w:t>20</w:t>
            </w:r>
          </w:p>
        </w:tc>
        <w:tc>
          <w:tcPr>
            <w:tcW w:w="1350" w:type="dxa"/>
            <w:tcBorders>
              <w:top w:val="single" w:color="000000" w:sz="4" w:space="0"/>
              <w:left w:val="single" w:color="000000" w:sz="4" w:space="0"/>
              <w:bottom w:val="single" w:color="000000" w:sz="4" w:space="0"/>
              <w:right w:val="single" w:color="000000" w:sz="4" w:space="0"/>
            </w:tcBorders>
            <w:vAlign w:val="top"/>
          </w:tcPr>
          <w:p w14:paraId="056A5655">
            <w:pPr>
              <w:pStyle w:val="6"/>
              <w:spacing w:before="250" w:line="183" w:lineRule="auto"/>
              <w:ind w:left="584"/>
              <w:rPr>
                <w:sz w:val="17"/>
                <w:szCs w:val="17"/>
              </w:rPr>
            </w:pPr>
            <w:r>
              <w:rPr>
                <w:spacing w:val="-3"/>
                <w:sz w:val="17"/>
                <w:szCs w:val="17"/>
              </w:rPr>
              <w:t>25</w:t>
            </w:r>
          </w:p>
        </w:tc>
        <w:tc>
          <w:tcPr>
            <w:tcW w:w="1340" w:type="dxa"/>
            <w:tcBorders>
              <w:top w:val="single" w:color="000000" w:sz="4" w:space="0"/>
              <w:left w:val="single" w:color="000000" w:sz="4" w:space="0"/>
              <w:bottom w:val="single" w:color="000000" w:sz="4" w:space="0"/>
            </w:tcBorders>
            <w:vAlign w:val="top"/>
          </w:tcPr>
          <w:p w14:paraId="3AF21AD4">
            <w:pPr>
              <w:pStyle w:val="6"/>
              <w:spacing w:before="250" w:line="183" w:lineRule="auto"/>
              <w:ind w:left="575"/>
              <w:rPr>
                <w:sz w:val="17"/>
                <w:szCs w:val="17"/>
              </w:rPr>
            </w:pPr>
            <w:r>
              <w:rPr>
                <w:spacing w:val="-3"/>
                <w:sz w:val="17"/>
                <w:szCs w:val="17"/>
              </w:rPr>
              <w:t>30</w:t>
            </w:r>
          </w:p>
        </w:tc>
      </w:tr>
      <w:tr w14:paraId="188F5E8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34" w:hRule="atLeast"/>
        </w:trPr>
        <w:tc>
          <w:tcPr>
            <w:tcW w:w="1300" w:type="dxa"/>
            <w:tcBorders>
              <w:top w:val="single" w:color="000000" w:sz="4" w:space="0"/>
              <w:right w:val="single" w:color="000000" w:sz="4" w:space="0"/>
            </w:tcBorders>
            <w:vAlign w:val="top"/>
          </w:tcPr>
          <w:p w14:paraId="2142DFC5">
            <w:pPr>
              <w:pStyle w:val="6"/>
              <w:spacing w:before="171" w:line="183" w:lineRule="auto"/>
              <w:ind w:left="600"/>
              <w:rPr>
                <w:sz w:val="17"/>
                <w:szCs w:val="17"/>
              </w:rPr>
            </w:pPr>
            <w:r>
              <w:rPr>
                <w:sz w:val="17"/>
                <w:szCs w:val="17"/>
              </w:rPr>
              <w:t>0</w:t>
            </w:r>
          </w:p>
        </w:tc>
        <w:tc>
          <w:tcPr>
            <w:tcW w:w="1340" w:type="dxa"/>
            <w:tcBorders>
              <w:top w:val="single" w:color="000000" w:sz="4" w:space="0"/>
              <w:left w:val="single" w:color="000000" w:sz="4" w:space="0"/>
              <w:right w:val="single" w:color="000000" w:sz="4" w:space="0"/>
            </w:tcBorders>
            <w:vAlign w:val="top"/>
          </w:tcPr>
          <w:p w14:paraId="3EC888EB">
            <w:pPr>
              <w:pStyle w:val="6"/>
              <w:spacing w:before="190" w:line="184" w:lineRule="auto"/>
              <w:ind w:left="645"/>
              <w:rPr>
                <w:sz w:val="17"/>
                <w:szCs w:val="17"/>
              </w:rPr>
            </w:pPr>
            <w:r>
              <w:rPr>
                <w:spacing w:val="-3"/>
                <w:sz w:val="17"/>
                <w:szCs w:val="17"/>
              </w:rPr>
              <w:t>7.10</w:t>
            </w:r>
          </w:p>
        </w:tc>
        <w:tc>
          <w:tcPr>
            <w:tcW w:w="1350" w:type="dxa"/>
            <w:tcBorders>
              <w:top w:val="single" w:color="000000" w:sz="4" w:space="0"/>
              <w:left w:val="single" w:color="000000" w:sz="4" w:space="0"/>
              <w:right w:val="single" w:color="000000" w:sz="4" w:space="0"/>
            </w:tcBorders>
            <w:vAlign w:val="top"/>
          </w:tcPr>
          <w:p w14:paraId="038314BB">
            <w:pPr>
              <w:pStyle w:val="6"/>
              <w:spacing w:before="190" w:line="184" w:lineRule="auto"/>
              <w:ind w:left="625"/>
              <w:rPr>
                <w:sz w:val="17"/>
                <w:szCs w:val="17"/>
              </w:rPr>
            </w:pPr>
            <w:r>
              <w:rPr>
                <w:spacing w:val="-4"/>
                <w:sz w:val="17"/>
                <w:szCs w:val="17"/>
              </w:rPr>
              <w:t>10.1</w:t>
            </w:r>
          </w:p>
        </w:tc>
        <w:tc>
          <w:tcPr>
            <w:tcW w:w="1350" w:type="dxa"/>
            <w:tcBorders>
              <w:top w:val="single" w:color="000000" w:sz="4" w:space="0"/>
              <w:left w:val="single" w:color="000000" w:sz="4" w:space="0"/>
              <w:right w:val="single" w:color="000000" w:sz="4" w:space="0"/>
            </w:tcBorders>
            <w:vAlign w:val="top"/>
          </w:tcPr>
          <w:p w14:paraId="3228F14F">
            <w:pPr>
              <w:pStyle w:val="6"/>
              <w:spacing w:before="190" w:line="184" w:lineRule="auto"/>
              <w:ind w:left="625"/>
              <w:rPr>
                <w:sz w:val="17"/>
                <w:szCs w:val="17"/>
              </w:rPr>
            </w:pPr>
            <w:r>
              <w:rPr>
                <w:spacing w:val="-4"/>
                <w:sz w:val="17"/>
                <w:szCs w:val="17"/>
              </w:rPr>
              <w:t>14.1</w:t>
            </w:r>
          </w:p>
        </w:tc>
        <w:tc>
          <w:tcPr>
            <w:tcW w:w="1340" w:type="dxa"/>
            <w:tcBorders>
              <w:top w:val="single" w:color="000000" w:sz="4" w:space="0"/>
              <w:left w:val="single" w:color="000000" w:sz="4" w:space="0"/>
              <w:right w:val="single" w:color="000000" w:sz="4" w:space="0"/>
            </w:tcBorders>
            <w:vAlign w:val="top"/>
          </w:tcPr>
          <w:p w14:paraId="1767CC15">
            <w:pPr>
              <w:pStyle w:val="6"/>
              <w:spacing w:before="170" w:line="184" w:lineRule="auto"/>
              <w:ind w:left="594"/>
              <w:rPr>
                <w:sz w:val="17"/>
                <w:szCs w:val="17"/>
              </w:rPr>
            </w:pPr>
            <w:r>
              <w:rPr>
                <w:spacing w:val="-2"/>
                <w:sz w:val="17"/>
                <w:szCs w:val="17"/>
              </w:rPr>
              <w:t>20.1</w:t>
            </w:r>
          </w:p>
        </w:tc>
        <w:tc>
          <w:tcPr>
            <w:tcW w:w="1350" w:type="dxa"/>
            <w:tcBorders>
              <w:top w:val="single" w:color="000000" w:sz="4" w:space="0"/>
              <w:left w:val="single" w:color="000000" w:sz="4" w:space="0"/>
              <w:right w:val="single" w:color="000000" w:sz="4" w:space="0"/>
            </w:tcBorders>
            <w:vAlign w:val="top"/>
          </w:tcPr>
          <w:p w14:paraId="44A2CC2C">
            <w:pPr>
              <w:pStyle w:val="6"/>
              <w:spacing w:before="190" w:line="184" w:lineRule="auto"/>
              <w:ind w:left="594"/>
              <w:rPr>
                <w:sz w:val="17"/>
                <w:szCs w:val="17"/>
              </w:rPr>
            </w:pPr>
            <w:r>
              <w:rPr>
                <w:spacing w:val="-2"/>
                <w:sz w:val="17"/>
                <w:szCs w:val="17"/>
              </w:rPr>
              <w:t>25.1</w:t>
            </w:r>
          </w:p>
        </w:tc>
        <w:tc>
          <w:tcPr>
            <w:tcW w:w="1340" w:type="dxa"/>
            <w:tcBorders>
              <w:top w:val="single" w:color="000000" w:sz="4" w:space="0"/>
              <w:left w:val="single" w:color="000000" w:sz="4" w:space="0"/>
            </w:tcBorders>
            <w:vAlign w:val="top"/>
          </w:tcPr>
          <w:p w14:paraId="4E75BDF8">
            <w:pPr>
              <w:pStyle w:val="6"/>
              <w:spacing w:before="201" w:line="183" w:lineRule="auto"/>
              <w:ind w:left="614"/>
              <w:rPr>
                <w:sz w:val="17"/>
                <w:szCs w:val="17"/>
              </w:rPr>
            </w:pPr>
            <w:r>
              <w:rPr>
                <w:spacing w:val="-2"/>
                <w:sz w:val="17"/>
                <w:szCs w:val="17"/>
              </w:rPr>
              <w:t>30.0</w:t>
            </w:r>
          </w:p>
        </w:tc>
      </w:tr>
      <w:tr w14:paraId="1ADD6C1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0" w:hRule="atLeast"/>
        </w:trPr>
        <w:tc>
          <w:tcPr>
            <w:tcW w:w="1300" w:type="dxa"/>
            <w:tcBorders>
              <w:right w:val="single" w:color="000000" w:sz="4" w:space="0"/>
            </w:tcBorders>
            <w:vAlign w:val="top"/>
          </w:tcPr>
          <w:p w14:paraId="5261BF5B">
            <w:pPr>
              <w:pStyle w:val="6"/>
              <w:spacing w:before="136" w:line="184" w:lineRule="auto"/>
              <w:ind w:left="560"/>
              <w:rPr>
                <w:sz w:val="17"/>
                <w:szCs w:val="17"/>
              </w:rPr>
            </w:pPr>
            <w:r>
              <w:rPr>
                <w:spacing w:val="-5"/>
                <w:sz w:val="17"/>
                <w:szCs w:val="17"/>
              </w:rPr>
              <w:t>10</w:t>
            </w:r>
          </w:p>
        </w:tc>
        <w:tc>
          <w:tcPr>
            <w:tcW w:w="1340" w:type="dxa"/>
            <w:tcBorders>
              <w:left w:val="single" w:color="000000" w:sz="4" w:space="0"/>
              <w:right w:val="single" w:color="000000" w:sz="4" w:space="0"/>
            </w:tcBorders>
            <w:vAlign w:val="top"/>
          </w:tcPr>
          <w:p w14:paraId="21B0481A">
            <w:pPr>
              <w:pStyle w:val="6"/>
              <w:spacing w:before="127" w:line="183" w:lineRule="auto"/>
              <w:ind w:left="545"/>
              <w:rPr>
                <w:sz w:val="17"/>
                <w:szCs w:val="17"/>
              </w:rPr>
            </w:pPr>
            <w:r>
              <w:rPr>
                <w:spacing w:val="-1"/>
                <w:sz w:val="17"/>
                <w:szCs w:val="17"/>
              </w:rPr>
              <w:t>48.80</w:t>
            </w:r>
          </w:p>
        </w:tc>
        <w:tc>
          <w:tcPr>
            <w:tcW w:w="1350" w:type="dxa"/>
            <w:tcBorders>
              <w:left w:val="single" w:color="000000" w:sz="4" w:space="0"/>
              <w:right w:val="single" w:color="000000" w:sz="4" w:space="0"/>
            </w:tcBorders>
            <w:vAlign w:val="top"/>
          </w:tcPr>
          <w:p w14:paraId="308D612A">
            <w:pPr>
              <w:pStyle w:val="6"/>
              <w:spacing w:before="135" w:line="184" w:lineRule="auto"/>
              <w:ind w:left="607"/>
              <w:rPr>
                <w:sz w:val="17"/>
                <w:szCs w:val="17"/>
              </w:rPr>
            </w:pPr>
            <w:r>
              <w:rPr>
                <w:b/>
                <w:bCs/>
                <w:spacing w:val="-4"/>
                <w:sz w:val="17"/>
                <w:szCs w:val="17"/>
              </w:rPr>
              <w:t>51.7</w:t>
            </w:r>
          </w:p>
        </w:tc>
        <w:tc>
          <w:tcPr>
            <w:tcW w:w="1350" w:type="dxa"/>
            <w:tcBorders>
              <w:left w:val="single" w:color="000000" w:sz="4" w:space="0"/>
              <w:right w:val="single" w:color="000000" w:sz="4" w:space="0"/>
            </w:tcBorders>
            <w:vAlign w:val="top"/>
          </w:tcPr>
          <w:p w14:paraId="39CCA38C">
            <w:pPr>
              <w:pStyle w:val="6"/>
              <w:spacing w:before="136" w:line="183" w:lineRule="auto"/>
              <w:ind w:left="617"/>
              <w:rPr>
                <w:sz w:val="17"/>
                <w:szCs w:val="17"/>
              </w:rPr>
            </w:pPr>
            <w:r>
              <w:rPr>
                <w:b/>
                <w:bCs/>
                <w:spacing w:val="-4"/>
                <w:sz w:val="17"/>
                <w:szCs w:val="17"/>
              </w:rPr>
              <w:t>55.6</w:t>
            </w:r>
          </w:p>
        </w:tc>
        <w:tc>
          <w:tcPr>
            <w:tcW w:w="1340" w:type="dxa"/>
            <w:tcBorders>
              <w:left w:val="single" w:color="000000" w:sz="4" w:space="0"/>
              <w:right w:val="single" w:color="000000" w:sz="4" w:space="0"/>
            </w:tcBorders>
            <w:vAlign w:val="top"/>
          </w:tcPr>
          <w:p w14:paraId="6311944D">
            <w:pPr>
              <w:pStyle w:val="6"/>
              <w:spacing w:before="116" w:line="184" w:lineRule="auto"/>
              <w:ind w:left="495"/>
              <w:rPr>
                <w:sz w:val="17"/>
                <w:szCs w:val="17"/>
              </w:rPr>
            </w:pPr>
            <w:r>
              <w:rPr>
                <w:spacing w:val="-2"/>
                <w:sz w:val="17"/>
                <w:szCs w:val="17"/>
              </w:rPr>
              <w:t>61.3</w:t>
            </w:r>
          </w:p>
        </w:tc>
        <w:tc>
          <w:tcPr>
            <w:tcW w:w="1350" w:type="dxa"/>
            <w:tcBorders>
              <w:left w:val="single" w:color="000000" w:sz="4" w:space="0"/>
              <w:right w:val="single" w:color="000000" w:sz="4" w:space="0"/>
            </w:tcBorders>
            <w:vAlign w:val="top"/>
          </w:tcPr>
          <w:p w14:paraId="32D83B10">
            <w:pPr>
              <w:pStyle w:val="6"/>
              <w:spacing w:before="136" w:line="184" w:lineRule="auto"/>
              <w:ind w:left="594"/>
              <w:rPr>
                <w:sz w:val="17"/>
                <w:szCs w:val="17"/>
              </w:rPr>
            </w:pPr>
            <w:r>
              <w:rPr>
                <w:spacing w:val="-2"/>
                <w:sz w:val="17"/>
                <w:szCs w:val="17"/>
              </w:rPr>
              <w:t>66.1</w:t>
            </w:r>
          </w:p>
        </w:tc>
        <w:tc>
          <w:tcPr>
            <w:tcW w:w="1340" w:type="dxa"/>
            <w:tcBorders>
              <w:left w:val="single" w:color="000000" w:sz="4" w:space="0"/>
            </w:tcBorders>
            <w:vAlign w:val="top"/>
          </w:tcPr>
          <w:p w14:paraId="5168439C">
            <w:pPr>
              <w:pStyle w:val="6"/>
              <w:spacing w:before="147" w:line="183" w:lineRule="auto"/>
              <w:ind w:left="614"/>
              <w:rPr>
                <w:sz w:val="17"/>
                <w:szCs w:val="17"/>
              </w:rPr>
            </w:pPr>
            <w:r>
              <w:rPr>
                <w:spacing w:val="-3"/>
                <w:sz w:val="17"/>
                <w:szCs w:val="17"/>
              </w:rPr>
              <w:t>70.8</w:t>
            </w:r>
          </w:p>
        </w:tc>
      </w:tr>
      <w:tr w14:paraId="21C1037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4" w:hRule="atLeast"/>
        </w:trPr>
        <w:tc>
          <w:tcPr>
            <w:tcW w:w="1300" w:type="dxa"/>
            <w:tcBorders>
              <w:right w:val="single" w:color="000000" w:sz="4" w:space="0"/>
            </w:tcBorders>
            <w:vAlign w:val="top"/>
          </w:tcPr>
          <w:p w14:paraId="2F0B2913">
            <w:pPr>
              <w:pStyle w:val="6"/>
              <w:spacing w:before="137" w:line="183" w:lineRule="auto"/>
              <w:ind w:left="560"/>
              <w:rPr>
                <w:sz w:val="17"/>
                <w:szCs w:val="17"/>
              </w:rPr>
            </w:pPr>
            <w:r>
              <w:rPr>
                <w:spacing w:val="-3"/>
                <w:sz w:val="17"/>
                <w:szCs w:val="17"/>
              </w:rPr>
              <w:t>20</w:t>
            </w:r>
          </w:p>
        </w:tc>
        <w:tc>
          <w:tcPr>
            <w:tcW w:w="1340" w:type="dxa"/>
            <w:tcBorders>
              <w:left w:val="single" w:color="000000" w:sz="4" w:space="0"/>
              <w:right w:val="single" w:color="000000" w:sz="4" w:space="0"/>
            </w:tcBorders>
            <w:vAlign w:val="top"/>
          </w:tcPr>
          <w:p w14:paraId="520D6EA6">
            <w:pPr>
              <w:pStyle w:val="6"/>
              <w:spacing w:before="127" w:line="183" w:lineRule="auto"/>
              <w:ind w:left="545"/>
              <w:rPr>
                <w:sz w:val="17"/>
                <w:szCs w:val="17"/>
              </w:rPr>
            </w:pPr>
            <w:r>
              <w:rPr>
                <w:spacing w:val="-2"/>
                <w:sz w:val="17"/>
                <w:szCs w:val="17"/>
              </w:rPr>
              <w:t>90.40</w:t>
            </w:r>
          </w:p>
        </w:tc>
        <w:tc>
          <w:tcPr>
            <w:tcW w:w="1350" w:type="dxa"/>
            <w:tcBorders>
              <w:left w:val="single" w:color="000000" w:sz="4" w:space="0"/>
              <w:right w:val="single" w:color="000000" w:sz="4" w:space="0"/>
            </w:tcBorders>
            <w:vAlign w:val="top"/>
          </w:tcPr>
          <w:p w14:paraId="663FE578">
            <w:pPr>
              <w:pStyle w:val="6"/>
              <w:spacing w:before="136" w:line="183" w:lineRule="auto"/>
              <w:ind w:left="607"/>
              <w:rPr>
                <w:sz w:val="17"/>
                <w:szCs w:val="17"/>
              </w:rPr>
            </w:pPr>
            <w:r>
              <w:rPr>
                <w:b/>
                <w:bCs/>
                <w:spacing w:val="-4"/>
                <w:sz w:val="17"/>
                <w:szCs w:val="17"/>
              </w:rPr>
              <w:t>93.2</w:t>
            </w:r>
          </w:p>
        </w:tc>
        <w:tc>
          <w:tcPr>
            <w:tcW w:w="1350" w:type="dxa"/>
            <w:tcBorders>
              <w:left w:val="single" w:color="000000" w:sz="4" w:space="0"/>
              <w:right w:val="single" w:color="000000" w:sz="4" w:space="0"/>
            </w:tcBorders>
            <w:vAlign w:val="top"/>
          </w:tcPr>
          <w:p w14:paraId="1068A7AB">
            <w:pPr>
              <w:pStyle w:val="6"/>
              <w:spacing w:before="136" w:line="183" w:lineRule="auto"/>
              <w:ind w:left="617"/>
              <w:rPr>
                <w:sz w:val="17"/>
                <w:szCs w:val="17"/>
              </w:rPr>
            </w:pPr>
            <w:r>
              <w:rPr>
                <w:b/>
                <w:bCs/>
                <w:spacing w:val="-4"/>
                <w:sz w:val="17"/>
                <w:szCs w:val="17"/>
              </w:rPr>
              <w:t>97.0</w:t>
            </w:r>
          </w:p>
        </w:tc>
        <w:tc>
          <w:tcPr>
            <w:tcW w:w="1340" w:type="dxa"/>
            <w:tcBorders>
              <w:left w:val="single" w:color="000000" w:sz="4" w:space="0"/>
              <w:right w:val="single" w:color="000000" w:sz="4" w:space="0"/>
            </w:tcBorders>
            <w:vAlign w:val="top"/>
          </w:tcPr>
          <w:p w14:paraId="0DE6934D">
            <w:pPr>
              <w:pStyle w:val="6"/>
              <w:spacing w:before="137" w:line="184" w:lineRule="auto"/>
              <w:ind w:left="445"/>
              <w:rPr>
                <w:sz w:val="17"/>
                <w:szCs w:val="17"/>
              </w:rPr>
            </w:pPr>
            <w:r>
              <w:rPr>
                <w:spacing w:val="-4"/>
                <w:sz w:val="17"/>
                <w:szCs w:val="17"/>
              </w:rPr>
              <w:t>102.5</w:t>
            </w:r>
          </w:p>
        </w:tc>
        <w:tc>
          <w:tcPr>
            <w:tcW w:w="1350" w:type="dxa"/>
            <w:tcBorders>
              <w:left w:val="single" w:color="000000" w:sz="4" w:space="0"/>
              <w:right w:val="single" w:color="000000" w:sz="4" w:space="0"/>
            </w:tcBorders>
            <w:vAlign w:val="top"/>
          </w:tcPr>
          <w:p w14:paraId="3A46BD8B">
            <w:pPr>
              <w:pStyle w:val="6"/>
              <w:spacing w:before="137" w:line="184" w:lineRule="auto"/>
              <w:ind w:left="455"/>
              <w:rPr>
                <w:sz w:val="17"/>
                <w:szCs w:val="17"/>
              </w:rPr>
            </w:pPr>
            <w:r>
              <w:rPr>
                <w:spacing w:val="-4"/>
                <w:sz w:val="17"/>
                <w:szCs w:val="17"/>
              </w:rPr>
              <w:t>107.1</w:t>
            </w:r>
          </w:p>
        </w:tc>
        <w:tc>
          <w:tcPr>
            <w:tcW w:w="1340" w:type="dxa"/>
            <w:tcBorders>
              <w:left w:val="single" w:color="000000" w:sz="4" w:space="0"/>
            </w:tcBorders>
            <w:vAlign w:val="top"/>
          </w:tcPr>
          <w:p w14:paraId="7E3F0710">
            <w:pPr>
              <w:pStyle w:val="6"/>
              <w:spacing w:before="146" w:line="184" w:lineRule="auto"/>
              <w:ind w:left="445"/>
              <w:rPr>
                <w:sz w:val="17"/>
                <w:szCs w:val="17"/>
              </w:rPr>
            </w:pPr>
            <w:r>
              <w:rPr>
                <w:spacing w:val="-4"/>
                <w:sz w:val="17"/>
                <w:szCs w:val="17"/>
              </w:rPr>
              <w:t>111.7</w:t>
            </w:r>
          </w:p>
        </w:tc>
      </w:tr>
      <w:tr w14:paraId="3C7FA98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89" w:hRule="atLeast"/>
        </w:trPr>
        <w:tc>
          <w:tcPr>
            <w:tcW w:w="1300" w:type="dxa"/>
            <w:tcBorders>
              <w:right w:val="single" w:color="000000" w:sz="4" w:space="0"/>
            </w:tcBorders>
            <w:vAlign w:val="top"/>
          </w:tcPr>
          <w:p w14:paraId="0E3F9054">
            <w:pPr>
              <w:pStyle w:val="6"/>
              <w:spacing w:before="143" w:line="183" w:lineRule="auto"/>
              <w:ind w:left="560"/>
              <w:rPr>
                <w:sz w:val="17"/>
                <w:szCs w:val="17"/>
              </w:rPr>
            </w:pPr>
            <w:r>
              <w:rPr>
                <w:spacing w:val="-2"/>
                <w:sz w:val="17"/>
                <w:szCs w:val="17"/>
              </w:rPr>
              <w:t>40</w:t>
            </w:r>
          </w:p>
        </w:tc>
        <w:tc>
          <w:tcPr>
            <w:tcW w:w="1340" w:type="dxa"/>
            <w:tcBorders>
              <w:left w:val="single" w:color="000000" w:sz="4" w:space="0"/>
              <w:right w:val="single" w:color="000000" w:sz="4" w:space="0"/>
            </w:tcBorders>
            <w:vAlign w:val="top"/>
          </w:tcPr>
          <w:p w14:paraId="06B0F442">
            <w:pPr>
              <w:pStyle w:val="6"/>
              <w:spacing w:before="142" w:line="184" w:lineRule="auto"/>
              <w:ind w:left="405"/>
              <w:rPr>
                <w:sz w:val="17"/>
                <w:szCs w:val="17"/>
              </w:rPr>
            </w:pPr>
            <w:r>
              <w:rPr>
                <w:spacing w:val="-3"/>
                <w:sz w:val="17"/>
                <w:szCs w:val="17"/>
              </w:rPr>
              <w:t>173.60</w:t>
            </w:r>
          </w:p>
        </w:tc>
        <w:tc>
          <w:tcPr>
            <w:tcW w:w="1350" w:type="dxa"/>
            <w:tcBorders>
              <w:left w:val="single" w:color="000000" w:sz="4" w:space="0"/>
              <w:right w:val="single" w:color="000000" w:sz="4" w:space="0"/>
            </w:tcBorders>
            <w:vAlign w:val="top"/>
          </w:tcPr>
          <w:p w14:paraId="69A253EF">
            <w:pPr>
              <w:pStyle w:val="6"/>
              <w:spacing w:before="142" w:line="184" w:lineRule="auto"/>
              <w:ind w:left="455"/>
              <w:rPr>
                <w:sz w:val="17"/>
                <w:szCs w:val="17"/>
              </w:rPr>
            </w:pPr>
            <w:r>
              <w:rPr>
                <w:spacing w:val="-4"/>
                <w:sz w:val="17"/>
                <w:szCs w:val="17"/>
              </w:rPr>
              <w:t>176.3</w:t>
            </w:r>
          </w:p>
        </w:tc>
        <w:tc>
          <w:tcPr>
            <w:tcW w:w="1350" w:type="dxa"/>
            <w:tcBorders>
              <w:left w:val="single" w:color="000000" w:sz="4" w:space="0"/>
              <w:right w:val="single" w:color="000000" w:sz="4" w:space="0"/>
            </w:tcBorders>
            <w:vAlign w:val="top"/>
          </w:tcPr>
          <w:p w14:paraId="59A2AAEB">
            <w:pPr>
              <w:pStyle w:val="6"/>
              <w:spacing w:before="141" w:line="184" w:lineRule="auto"/>
              <w:ind w:left="457"/>
              <w:rPr>
                <w:sz w:val="17"/>
                <w:szCs w:val="17"/>
              </w:rPr>
            </w:pPr>
            <w:r>
              <w:rPr>
                <w:b/>
                <w:bCs/>
                <w:spacing w:val="-5"/>
                <w:sz w:val="17"/>
                <w:szCs w:val="17"/>
              </w:rPr>
              <w:t>179.8</w:t>
            </w:r>
          </w:p>
        </w:tc>
        <w:tc>
          <w:tcPr>
            <w:tcW w:w="1340" w:type="dxa"/>
            <w:tcBorders>
              <w:left w:val="single" w:color="000000" w:sz="4" w:space="0"/>
              <w:right w:val="single" w:color="000000" w:sz="4" w:space="0"/>
            </w:tcBorders>
            <w:vAlign w:val="top"/>
          </w:tcPr>
          <w:p w14:paraId="7FA86FD7">
            <w:pPr>
              <w:pStyle w:val="6"/>
              <w:spacing w:before="142" w:line="184" w:lineRule="auto"/>
              <w:ind w:left="445"/>
              <w:rPr>
                <w:sz w:val="17"/>
                <w:szCs w:val="17"/>
              </w:rPr>
            </w:pPr>
            <w:r>
              <w:rPr>
                <w:spacing w:val="-4"/>
                <w:sz w:val="17"/>
                <w:szCs w:val="17"/>
              </w:rPr>
              <w:t>185.1</w:t>
            </w:r>
          </w:p>
        </w:tc>
        <w:tc>
          <w:tcPr>
            <w:tcW w:w="1350" w:type="dxa"/>
            <w:tcBorders>
              <w:left w:val="single" w:color="000000" w:sz="4" w:space="0"/>
              <w:right w:val="single" w:color="000000" w:sz="4" w:space="0"/>
            </w:tcBorders>
            <w:vAlign w:val="top"/>
          </w:tcPr>
          <w:p w14:paraId="54501C37">
            <w:pPr>
              <w:pStyle w:val="6"/>
              <w:spacing w:before="132" w:line="184" w:lineRule="auto"/>
              <w:ind w:left="455"/>
              <w:rPr>
                <w:sz w:val="17"/>
                <w:szCs w:val="17"/>
              </w:rPr>
            </w:pPr>
            <w:r>
              <w:rPr>
                <w:spacing w:val="-4"/>
                <w:sz w:val="17"/>
                <w:szCs w:val="17"/>
              </w:rPr>
              <w:t>189.4</w:t>
            </w:r>
          </w:p>
        </w:tc>
        <w:tc>
          <w:tcPr>
            <w:tcW w:w="1340" w:type="dxa"/>
            <w:tcBorders>
              <w:left w:val="single" w:color="000000" w:sz="4" w:space="0"/>
            </w:tcBorders>
            <w:vAlign w:val="top"/>
          </w:tcPr>
          <w:p w14:paraId="6B54BAE6">
            <w:pPr>
              <w:pStyle w:val="6"/>
              <w:spacing w:before="152" w:line="184" w:lineRule="auto"/>
              <w:ind w:left="445"/>
              <w:rPr>
                <w:sz w:val="17"/>
                <w:szCs w:val="17"/>
              </w:rPr>
            </w:pPr>
            <w:r>
              <w:rPr>
                <w:spacing w:val="-4"/>
                <w:sz w:val="17"/>
                <w:szCs w:val="17"/>
              </w:rPr>
              <w:t>193.8</w:t>
            </w:r>
          </w:p>
        </w:tc>
      </w:tr>
      <w:tr w14:paraId="4BD0EE2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6" w:hRule="atLeast"/>
        </w:trPr>
        <w:tc>
          <w:tcPr>
            <w:tcW w:w="1300" w:type="dxa"/>
            <w:tcBorders>
              <w:right w:val="single" w:color="000000" w:sz="4" w:space="0"/>
            </w:tcBorders>
            <w:vAlign w:val="top"/>
          </w:tcPr>
          <w:p w14:paraId="797395F9">
            <w:pPr>
              <w:pStyle w:val="6"/>
              <w:spacing w:before="124" w:line="183" w:lineRule="auto"/>
              <w:ind w:left="560"/>
              <w:rPr>
                <w:sz w:val="17"/>
                <w:szCs w:val="17"/>
              </w:rPr>
            </w:pPr>
            <w:r>
              <w:rPr>
                <w:spacing w:val="-2"/>
                <w:sz w:val="17"/>
                <w:szCs w:val="17"/>
              </w:rPr>
              <w:t>60</w:t>
            </w:r>
          </w:p>
        </w:tc>
        <w:tc>
          <w:tcPr>
            <w:tcW w:w="1340" w:type="dxa"/>
            <w:tcBorders>
              <w:left w:val="single" w:color="000000" w:sz="4" w:space="0"/>
              <w:right w:val="single" w:color="000000" w:sz="4" w:space="0"/>
            </w:tcBorders>
            <w:vAlign w:val="top"/>
          </w:tcPr>
          <w:p w14:paraId="14B96AE0">
            <w:pPr>
              <w:pStyle w:val="6"/>
              <w:spacing w:before="154" w:line="183" w:lineRule="auto"/>
              <w:ind w:left="405"/>
              <w:rPr>
                <w:sz w:val="17"/>
                <w:szCs w:val="17"/>
              </w:rPr>
            </w:pPr>
            <w:r>
              <w:rPr>
                <w:spacing w:val="-2"/>
                <w:sz w:val="17"/>
                <w:szCs w:val="17"/>
              </w:rPr>
              <w:t>256.90</w:t>
            </w:r>
          </w:p>
        </w:tc>
        <w:tc>
          <w:tcPr>
            <w:tcW w:w="1350" w:type="dxa"/>
            <w:tcBorders>
              <w:left w:val="single" w:color="000000" w:sz="4" w:space="0"/>
              <w:right w:val="single" w:color="000000" w:sz="4" w:space="0"/>
            </w:tcBorders>
            <w:vAlign w:val="top"/>
          </w:tcPr>
          <w:p w14:paraId="714569FB">
            <w:pPr>
              <w:pStyle w:val="6"/>
              <w:spacing w:before="154" w:line="183" w:lineRule="auto"/>
              <w:ind w:left="455"/>
              <w:rPr>
                <w:sz w:val="17"/>
                <w:szCs w:val="17"/>
              </w:rPr>
            </w:pPr>
            <w:r>
              <w:rPr>
                <w:spacing w:val="-2"/>
                <w:sz w:val="17"/>
                <w:szCs w:val="17"/>
              </w:rPr>
              <w:t>259.4</w:t>
            </w:r>
          </w:p>
        </w:tc>
        <w:tc>
          <w:tcPr>
            <w:tcW w:w="1350" w:type="dxa"/>
            <w:tcBorders>
              <w:left w:val="single" w:color="000000" w:sz="4" w:space="0"/>
              <w:right w:val="single" w:color="000000" w:sz="4" w:space="0"/>
            </w:tcBorders>
            <w:vAlign w:val="top"/>
          </w:tcPr>
          <w:p w14:paraId="4A7FE727">
            <w:pPr>
              <w:pStyle w:val="6"/>
              <w:spacing w:before="123" w:line="183" w:lineRule="auto"/>
              <w:ind w:left="457"/>
              <w:rPr>
                <w:sz w:val="17"/>
                <w:szCs w:val="17"/>
              </w:rPr>
            </w:pPr>
            <w:r>
              <w:rPr>
                <w:b/>
                <w:bCs/>
                <w:spacing w:val="-4"/>
                <w:sz w:val="17"/>
                <w:szCs w:val="17"/>
              </w:rPr>
              <w:t>262.8</w:t>
            </w:r>
          </w:p>
        </w:tc>
        <w:tc>
          <w:tcPr>
            <w:tcW w:w="1340" w:type="dxa"/>
            <w:tcBorders>
              <w:left w:val="single" w:color="000000" w:sz="4" w:space="0"/>
              <w:right w:val="single" w:color="000000" w:sz="4" w:space="0"/>
            </w:tcBorders>
            <w:vAlign w:val="top"/>
          </w:tcPr>
          <w:p w14:paraId="344E2C81">
            <w:pPr>
              <w:pStyle w:val="6"/>
              <w:spacing w:before="154" w:line="183" w:lineRule="auto"/>
              <w:ind w:left="445"/>
              <w:rPr>
                <w:sz w:val="17"/>
                <w:szCs w:val="17"/>
              </w:rPr>
            </w:pPr>
            <w:r>
              <w:rPr>
                <w:spacing w:val="-2"/>
                <w:sz w:val="17"/>
                <w:szCs w:val="17"/>
              </w:rPr>
              <w:t>267.8</w:t>
            </w:r>
          </w:p>
        </w:tc>
        <w:tc>
          <w:tcPr>
            <w:tcW w:w="1350" w:type="dxa"/>
            <w:tcBorders>
              <w:left w:val="single" w:color="000000" w:sz="4" w:space="0"/>
              <w:right w:val="single" w:color="000000" w:sz="4" w:space="0"/>
            </w:tcBorders>
            <w:vAlign w:val="top"/>
          </w:tcPr>
          <w:p w14:paraId="6528CFA3">
            <w:pPr>
              <w:pStyle w:val="6"/>
              <w:spacing w:before="154" w:line="183" w:lineRule="auto"/>
              <w:ind w:left="455"/>
              <w:rPr>
                <w:sz w:val="17"/>
                <w:szCs w:val="17"/>
              </w:rPr>
            </w:pPr>
            <w:r>
              <w:rPr>
                <w:spacing w:val="-2"/>
                <w:sz w:val="17"/>
                <w:szCs w:val="17"/>
              </w:rPr>
              <w:t>272.0</w:t>
            </w:r>
          </w:p>
        </w:tc>
        <w:tc>
          <w:tcPr>
            <w:tcW w:w="1340" w:type="dxa"/>
            <w:tcBorders>
              <w:left w:val="single" w:color="000000" w:sz="4" w:space="0"/>
            </w:tcBorders>
            <w:vAlign w:val="top"/>
          </w:tcPr>
          <w:p w14:paraId="661800CA">
            <w:pPr>
              <w:pStyle w:val="6"/>
              <w:spacing w:before="164" w:line="184" w:lineRule="auto"/>
              <w:ind w:left="445"/>
              <w:rPr>
                <w:sz w:val="17"/>
                <w:szCs w:val="17"/>
              </w:rPr>
            </w:pPr>
            <w:r>
              <w:rPr>
                <w:spacing w:val="-2"/>
                <w:sz w:val="17"/>
                <w:szCs w:val="17"/>
              </w:rPr>
              <w:t>276.1</w:t>
            </w:r>
          </w:p>
        </w:tc>
      </w:tr>
      <w:tr w14:paraId="08AC1E0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80" w:hRule="atLeast"/>
        </w:trPr>
        <w:tc>
          <w:tcPr>
            <w:tcW w:w="1300" w:type="dxa"/>
            <w:tcBorders>
              <w:right w:val="single" w:color="000000" w:sz="4" w:space="0"/>
            </w:tcBorders>
            <w:vAlign w:val="top"/>
          </w:tcPr>
          <w:p w14:paraId="1F348B27">
            <w:pPr>
              <w:pStyle w:val="6"/>
              <w:spacing w:before="138" w:line="183" w:lineRule="auto"/>
              <w:ind w:left="560"/>
              <w:rPr>
                <w:sz w:val="17"/>
                <w:szCs w:val="17"/>
              </w:rPr>
            </w:pPr>
            <w:r>
              <w:rPr>
                <w:spacing w:val="-2"/>
                <w:sz w:val="17"/>
                <w:szCs w:val="17"/>
              </w:rPr>
              <w:t>80</w:t>
            </w:r>
          </w:p>
        </w:tc>
        <w:tc>
          <w:tcPr>
            <w:tcW w:w="1340" w:type="dxa"/>
            <w:tcBorders>
              <w:left w:val="single" w:color="000000" w:sz="4" w:space="0"/>
              <w:right w:val="single" w:color="000000" w:sz="4" w:space="0"/>
            </w:tcBorders>
            <w:vAlign w:val="top"/>
          </w:tcPr>
          <w:p w14:paraId="66D3C5A8">
            <w:pPr>
              <w:pStyle w:val="6"/>
              <w:spacing w:before="118" w:line="183" w:lineRule="auto"/>
              <w:ind w:left="405"/>
              <w:rPr>
                <w:sz w:val="17"/>
                <w:szCs w:val="17"/>
              </w:rPr>
            </w:pPr>
            <w:r>
              <w:rPr>
                <w:spacing w:val="-2"/>
                <w:sz w:val="17"/>
                <w:szCs w:val="17"/>
              </w:rPr>
              <w:t>340.40</w:t>
            </w:r>
          </w:p>
        </w:tc>
        <w:tc>
          <w:tcPr>
            <w:tcW w:w="1350" w:type="dxa"/>
            <w:tcBorders>
              <w:left w:val="single" w:color="000000" w:sz="4" w:space="0"/>
              <w:right w:val="single" w:color="000000" w:sz="4" w:space="0"/>
            </w:tcBorders>
            <w:vAlign w:val="top"/>
          </w:tcPr>
          <w:p w14:paraId="39EE2069">
            <w:pPr>
              <w:pStyle w:val="6"/>
              <w:spacing w:before="128" w:line="183" w:lineRule="auto"/>
              <w:ind w:left="455"/>
              <w:rPr>
                <w:sz w:val="17"/>
                <w:szCs w:val="17"/>
              </w:rPr>
            </w:pPr>
            <w:r>
              <w:rPr>
                <w:spacing w:val="-2"/>
                <w:sz w:val="17"/>
                <w:szCs w:val="17"/>
              </w:rPr>
              <w:t>342.8</w:t>
            </w:r>
          </w:p>
        </w:tc>
        <w:tc>
          <w:tcPr>
            <w:tcW w:w="1350" w:type="dxa"/>
            <w:tcBorders>
              <w:left w:val="single" w:color="000000" w:sz="4" w:space="0"/>
              <w:right w:val="single" w:color="000000" w:sz="4" w:space="0"/>
            </w:tcBorders>
            <w:vAlign w:val="top"/>
          </w:tcPr>
          <w:p w14:paraId="7EB3B355">
            <w:pPr>
              <w:pStyle w:val="6"/>
              <w:spacing w:before="127" w:line="183" w:lineRule="auto"/>
              <w:ind w:left="457"/>
              <w:rPr>
                <w:sz w:val="17"/>
                <w:szCs w:val="17"/>
              </w:rPr>
            </w:pPr>
            <w:r>
              <w:rPr>
                <w:b/>
                <w:bCs/>
                <w:spacing w:val="-4"/>
                <w:sz w:val="17"/>
                <w:szCs w:val="17"/>
              </w:rPr>
              <w:t>346.0</w:t>
            </w:r>
          </w:p>
        </w:tc>
        <w:tc>
          <w:tcPr>
            <w:tcW w:w="1340" w:type="dxa"/>
            <w:tcBorders>
              <w:left w:val="single" w:color="000000" w:sz="4" w:space="0"/>
              <w:right w:val="single" w:color="000000" w:sz="4" w:space="0"/>
            </w:tcBorders>
            <w:vAlign w:val="top"/>
          </w:tcPr>
          <w:p w14:paraId="74F4B066">
            <w:pPr>
              <w:pStyle w:val="6"/>
              <w:spacing w:before="128" w:line="183" w:lineRule="auto"/>
              <w:ind w:left="445"/>
              <w:rPr>
                <w:sz w:val="17"/>
                <w:szCs w:val="17"/>
              </w:rPr>
            </w:pPr>
            <w:r>
              <w:rPr>
                <w:spacing w:val="-2"/>
                <w:sz w:val="17"/>
                <w:szCs w:val="17"/>
              </w:rPr>
              <w:t>350.8</w:t>
            </w:r>
          </w:p>
        </w:tc>
        <w:tc>
          <w:tcPr>
            <w:tcW w:w="1350" w:type="dxa"/>
            <w:tcBorders>
              <w:left w:val="single" w:color="000000" w:sz="4" w:space="0"/>
              <w:right w:val="single" w:color="000000" w:sz="4" w:space="0"/>
            </w:tcBorders>
            <w:vAlign w:val="top"/>
          </w:tcPr>
          <w:p w14:paraId="6C98B029">
            <w:pPr>
              <w:pStyle w:val="6"/>
              <w:spacing w:before="128" w:line="183" w:lineRule="auto"/>
              <w:ind w:left="455"/>
              <w:rPr>
                <w:sz w:val="17"/>
                <w:szCs w:val="17"/>
              </w:rPr>
            </w:pPr>
            <w:r>
              <w:rPr>
                <w:spacing w:val="-2"/>
                <w:sz w:val="17"/>
                <w:szCs w:val="17"/>
              </w:rPr>
              <w:t>354.8</w:t>
            </w:r>
          </w:p>
        </w:tc>
        <w:tc>
          <w:tcPr>
            <w:tcW w:w="1340" w:type="dxa"/>
            <w:tcBorders>
              <w:left w:val="single" w:color="000000" w:sz="4" w:space="0"/>
            </w:tcBorders>
            <w:vAlign w:val="top"/>
          </w:tcPr>
          <w:p w14:paraId="62F46563">
            <w:pPr>
              <w:pStyle w:val="6"/>
              <w:spacing w:before="138" w:line="183" w:lineRule="auto"/>
              <w:ind w:left="445"/>
              <w:rPr>
                <w:sz w:val="17"/>
                <w:szCs w:val="17"/>
              </w:rPr>
            </w:pPr>
            <w:r>
              <w:rPr>
                <w:spacing w:val="-2"/>
                <w:sz w:val="17"/>
                <w:szCs w:val="17"/>
              </w:rPr>
              <w:t>358.7</w:t>
            </w:r>
          </w:p>
        </w:tc>
      </w:tr>
      <w:tr w14:paraId="78B7C46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89" w:hRule="atLeast"/>
        </w:trPr>
        <w:tc>
          <w:tcPr>
            <w:tcW w:w="1300" w:type="dxa"/>
            <w:tcBorders>
              <w:right w:val="single" w:color="000000" w:sz="4" w:space="0"/>
            </w:tcBorders>
            <w:vAlign w:val="top"/>
          </w:tcPr>
          <w:p w14:paraId="5444E2F8">
            <w:pPr>
              <w:pStyle w:val="6"/>
              <w:spacing w:before="137" w:line="184" w:lineRule="auto"/>
              <w:ind w:left="519"/>
              <w:rPr>
                <w:sz w:val="17"/>
                <w:szCs w:val="17"/>
              </w:rPr>
            </w:pPr>
            <w:r>
              <w:rPr>
                <w:spacing w:val="-5"/>
                <w:sz w:val="17"/>
                <w:szCs w:val="17"/>
              </w:rPr>
              <w:t>100</w:t>
            </w:r>
          </w:p>
        </w:tc>
        <w:tc>
          <w:tcPr>
            <w:tcW w:w="1340" w:type="dxa"/>
            <w:tcBorders>
              <w:left w:val="single" w:color="000000" w:sz="4" w:space="0"/>
              <w:right w:val="single" w:color="000000" w:sz="4" w:space="0"/>
            </w:tcBorders>
            <w:vAlign w:val="top"/>
          </w:tcPr>
          <w:p w14:paraId="6DE96CD8">
            <w:pPr>
              <w:pStyle w:val="6"/>
              <w:spacing w:before="128" w:line="183" w:lineRule="auto"/>
              <w:ind w:left="405"/>
              <w:rPr>
                <w:sz w:val="17"/>
                <w:szCs w:val="17"/>
              </w:rPr>
            </w:pPr>
            <w:r>
              <w:rPr>
                <w:spacing w:val="-1"/>
                <w:sz w:val="17"/>
                <w:szCs w:val="17"/>
              </w:rPr>
              <w:t>424.20</w:t>
            </w:r>
          </w:p>
        </w:tc>
        <w:tc>
          <w:tcPr>
            <w:tcW w:w="1350" w:type="dxa"/>
            <w:tcBorders>
              <w:left w:val="single" w:color="000000" w:sz="4" w:space="0"/>
              <w:right w:val="single" w:color="000000" w:sz="4" w:space="0"/>
            </w:tcBorders>
            <w:vAlign w:val="top"/>
          </w:tcPr>
          <w:p w14:paraId="3A963AB2">
            <w:pPr>
              <w:pStyle w:val="6"/>
              <w:spacing w:before="138" w:line="183" w:lineRule="auto"/>
              <w:ind w:left="455"/>
              <w:rPr>
                <w:sz w:val="17"/>
                <w:szCs w:val="17"/>
              </w:rPr>
            </w:pPr>
            <w:r>
              <w:rPr>
                <w:spacing w:val="-1"/>
                <w:sz w:val="17"/>
                <w:szCs w:val="17"/>
              </w:rPr>
              <w:t>426.5</w:t>
            </w:r>
          </w:p>
        </w:tc>
        <w:tc>
          <w:tcPr>
            <w:tcW w:w="1350" w:type="dxa"/>
            <w:tcBorders>
              <w:left w:val="single" w:color="000000" w:sz="4" w:space="0"/>
              <w:right w:val="single" w:color="000000" w:sz="4" w:space="0"/>
            </w:tcBorders>
            <w:vAlign w:val="top"/>
          </w:tcPr>
          <w:p w14:paraId="6EFD79EF">
            <w:pPr>
              <w:pStyle w:val="6"/>
              <w:spacing w:before="138" w:line="183" w:lineRule="auto"/>
              <w:ind w:left="455"/>
              <w:rPr>
                <w:sz w:val="17"/>
                <w:szCs w:val="17"/>
              </w:rPr>
            </w:pPr>
            <w:r>
              <w:rPr>
                <w:spacing w:val="-1"/>
                <w:sz w:val="17"/>
                <w:szCs w:val="17"/>
              </w:rPr>
              <w:t>429.5</w:t>
            </w:r>
          </w:p>
        </w:tc>
        <w:tc>
          <w:tcPr>
            <w:tcW w:w="1340" w:type="dxa"/>
            <w:tcBorders>
              <w:left w:val="single" w:color="000000" w:sz="4" w:space="0"/>
              <w:right w:val="single" w:color="000000" w:sz="4" w:space="0"/>
            </w:tcBorders>
            <w:vAlign w:val="top"/>
          </w:tcPr>
          <w:p w14:paraId="53518451">
            <w:pPr>
              <w:pStyle w:val="6"/>
              <w:spacing w:before="138" w:line="183" w:lineRule="auto"/>
              <w:ind w:left="445"/>
              <w:rPr>
                <w:sz w:val="17"/>
                <w:szCs w:val="17"/>
              </w:rPr>
            </w:pPr>
            <w:r>
              <w:rPr>
                <w:spacing w:val="-1"/>
                <w:sz w:val="17"/>
                <w:szCs w:val="17"/>
              </w:rPr>
              <w:t>434.0</w:t>
            </w:r>
          </w:p>
        </w:tc>
        <w:tc>
          <w:tcPr>
            <w:tcW w:w="1350" w:type="dxa"/>
            <w:tcBorders>
              <w:left w:val="single" w:color="000000" w:sz="4" w:space="0"/>
              <w:right w:val="single" w:color="000000" w:sz="4" w:space="0"/>
            </w:tcBorders>
            <w:vAlign w:val="top"/>
          </w:tcPr>
          <w:p w14:paraId="062E19DF">
            <w:pPr>
              <w:pStyle w:val="6"/>
              <w:spacing w:before="138" w:line="183" w:lineRule="auto"/>
              <w:ind w:left="455"/>
              <w:rPr>
                <w:sz w:val="17"/>
                <w:szCs w:val="17"/>
              </w:rPr>
            </w:pPr>
            <w:r>
              <w:rPr>
                <w:spacing w:val="-1"/>
                <w:sz w:val="17"/>
                <w:szCs w:val="17"/>
              </w:rPr>
              <w:t>437.8</w:t>
            </w:r>
          </w:p>
        </w:tc>
        <w:tc>
          <w:tcPr>
            <w:tcW w:w="1340" w:type="dxa"/>
            <w:tcBorders>
              <w:left w:val="single" w:color="000000" w:sz="4" w:space="0"/>
            </w:tcBorders>
            <w:vAlign w:val="top"/>
          </w:tcPr>
          <w:p w14:paraId="16BACEB0">
            <w:pPr>
              <w:pStyle w:val="6"/>
              <w:spacing w:before="137" w:line="184" w:lineRule="auto"/>
              <w:ind w:left="445"/>
              <w:rPr>
                <w:sz w:val="17"/>
                <w:szCs w:val="17"/>
              </w:rPr>
            </w:pPr>
            <w:r>
              <w:rPr>
                <w:spacing w:val="-1"/>
                <w:sz w:val="17"/>
                <w:szCs w:val="17"/>
              </w:rPr>
              <w:t>441.6</w:t>
            </w:r>
          </w:p>
        </w:tc>
      </w:tr>
      <w:tr w14:paraId="64801A6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0" w:hRule="atLeast"/>
        </w:trPr>
        <w:tc>
          <w:tcPr>
            <w:tcW w:w="1300" w:type="dxa"/>
            <w:tcBorders>
              <w:right w:val="single" w:color="000000" w:sz="4" w:space="0"/>
            </w:tcBorders>
            <w:vAlign w:val="top"/>
          </w:tcPr>
          <w:p w14:paraId="35B2F0ED">
            <w:pPr>
              <w:pStyle w:val="6"/>
              <w:spacing w:before="138" w:line="184" w:lineRule="auto"/>
              <w:ind w:left="519"/>
              <w:rPr>
                <w:sz w:val="17"/>
                <w:szCs w:val="17"/>
              </w:rPr>
            </w:pPr>
            <w:r>
              <w:rPr>
                <w:spacing w:val="-5"/>
                <w:sz w:val="17"/>
                <w:szCs w:val="17"/>
              </w:rPr>
              <w:t>120</w:t>
            </w:r>
          </w:p>
        </w:tc>
        <w:tc>
          <w:tcPr>
            <w:tcW w:w="1340" w:type="dxa"/>
            <w:tcBorders>
              <w:left w:val="single" w:color="000000" w:sz="4" w:space="0"/>
              <w:right w:val="single" w:color="000000" w:sz="4" w:space="0"/>
            </w:tcBorders>
            <w:vAlign w:val="top"/>
          </w:tcPr>
          <w:p w14:paraId="7ABC83B8">
            <w:pPr>
              <w:pStyle w:val="6"/>
              <w:spacing w:before="149" w:line="183" w:lineRule="auto"/>
              <w:ind w:left="405"/>
              <w:rPr>
                <w:sz w:val="17"/>
                <w:szCs w:val="17"/>
              </w:rPr>
            </w:pPr>
            <w:r>
              <w:rPr>
                <w:spacing w:val="-2"/>
                <w:sz w:val="17"/>
                <w:szCs w:val="17"/>
              </w:rPr>
              <w:t>508.50</w:t>
            </w:r>
          </w:p>
        </w:tc>
        <w:tc>
          <w:tcPr>
            <w:tcW w:w="1350" w:type="dxa"/>
            <w:tcBorders>
              <w:left w:val="single" w:color="000000" w:sz="4" w:space="0"/>
              <w:right w:val="single" w:color="000000" w:sz="4" w:space="0"/>
            </w:tcBorders>
            <w:vAlign w:val="top"/>
          </w:tcPr>
          <w:p w14:paraId="57828AB4">
            <w:pPr>
              <w:pStyle w:val="6"/>
              <w:spacing w:before="149" w:line="184" w:lineRule="auto"/>
              <w:ind w:left="455"/>
              <w:rPr>
                <w:sz w:val="17"/>
                <w:szCs w:val="17"/>
              </w:rPr>
            </w:pPr>
            <w:r>
              <w:rPr>
                <w:spacing w:val="-2"/>
                <w:sz w:val="17"/>
                <w:szCs w:val="17"/>
              </w:rPr>
              <w:t>510.6</w:t>
            </w:r>
          </w:p>
        </w:tc>
        <w:tc>
          <w:tcPr>
            <w:tcW w:w="1350" w:type="dxa"/>
            <w:tcBorders>
              <w:left w:val="single" w:color="000000" w:sz="4" w:space="0"/>
              <w:right w:val="single" w:color="000000" w:sz="4" w:space="0"/>
            </w:tcBorders>
            <w:vAlign w:val="top"/>
          </w:tcPr>
          <w:p w14:paraId="67A40D0A">
            <w:pPr>
              <w:pStyle w:val="6"/>
              <w:spacing w:before="138" w:line="184" w:lineRule="auto"/>
              <w:ind w:left="455"/>
              <w:rPr>
                <w:sz w:val="17"/>
                <w:szCs w:val="17"/>
              </w:rPr>
            </w:pPr>
            <w:r>
              <w:rPr>
                <w:spacing w:val="-2"/>
                <w:sz w:val="17"/>
                <w:szCs w:val="17"/>
              </w:rPr>
              <w:t>513.5</w:t>
            </w:r>
          </w:p>
        </w:tc>
        <w:tc>
          <w:tcPr>
            <w:tcW w:w="1340" w:type="dxa"/>
            <w:tcBorders>
              <w:left w:val="single" w:color="000000" w:sz="4" w:space="0"/>
              <w:right w:val="single" w:color="000000" w:sz="4" w:space="0"/>
            </w:tcBorders>
            <w:vAlign w:val="top"/>
          </w:tcPr>
          <w:p w14:paraId="26AEFAD2">
            <w:pPr>
              <w:pStyle w:val="6"/>
              <w:spacing w:before="138" w:line="184" w:lineRule="auto"/>
              <w:ind w:left="445"/>
              <w:rPr>
                <w:sz w:val="17"/>
                <w:szCs w:val="17"/>
              </w:rPr>
            </w:pPr>
            <w:r>
              <w:rPr>
                <w:spacing w:val="-2"/>
                <w:sz w:val="17"/>
                <w:szCs w:val="17"/>
              </w:rPr>
              <w:t>517.7</w:t>
            </w:r>
          </w:p>
        </w:tc>
        <w:tc>
          <w:tcPr>
            <w:tcW w:w="1350" w:type="dxa"/>
            <w:tcBorders>
              <w:left w:val="single" w:color="000000" w:sz="4" w:space="0"/>
              <w:right w:val="single" w:color="000000" w:sz="4" w:space="0"/>
            </w:tcBorders>
            <w:vAlign w:val="top"/>
          </w:tcPr>
          <w:p w14:paraId="4629F1C0">
            <w:pPr>
              <w:pStyle w:val="6"/>
              <w:spacing w:before="138" w:line="184" w:lineRule="auto"/>
              <w:ind w:left="455"/>
              <w:rPr>
                <w:sz w:val="17"/>
                <w:szCs w:val="17"/>
              </w:rPr>
            </w:pPr>
            <w:r>
              <w:rPr>
                <w:spacing w:val="-2"/>
                <w:sz w:val="17"/>
                <w:szCs w:val="17"/>
              </w:rPr>
              <w:t>521.3</w:t>
            </w:r>
          </w:p>
        </w:tc>
        <w:tc>
          <w:tcPr>
            <w:tcW w:w="1340" w:type="dxa"/>
            <w:tcBorders>
              <w:left w:val="single" w:color="000000" w:sz="4" w:space="0"/>
            </w:tcBorders>
            <w:vAlign w:val="top"/>
          </w:tcPr>
          <w:p w14:paraId="44691F26">
            <w:pPr>
              <w:pStyle w:val="6"/>
              <w:spacing w:before="139" w:line="183" w:lineRule="auto"/>
              <w:ind w:left="445"/>
              <w:rPr>
                <w:sz w:val="17"/>
                <w:szCs w:val="17"/>
              </w:rPr>
            </w:pPr>
            <w:r>
              <w:rPr>
                <w:spacing w:val="-2"/>
                <w:sz w:val="17"/>
                <w:szCs w:val="17"/>
              </w:rPr>
              <w:t>524.9</w:t>
            </w:r>
          </w:p>
        </w:tc>
      </w:tr>
      <w:tr w14:paraId="1E3C353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5" w:hRule="atLeast"/>
        </w:trPr>
        <w:tc>
          <w:tcPr>
            <w:tcW w:w="1300" w:type="dxa"/>
            <w:tcBorders>
              <w:right w:val="single" w:color="000000" w:sz="4" w:space="0"/>
            </w:tcBorders>
            <w:vAlign w:val="top"/>
          </w:tcPr>
          <w:p w14:paraId="708A4975">
            <w:pPr>
              <w:pStyle w:val="6"/>
              <w:spacing w:before="128" w:line="184" w:lineRule="auto"/>
              <w:ind w:left="519"/>
              <w:rPr>
                <w:sz w:val="17"/>
                <w:szCs w:val="17"/>
              </w:rPr>
            </w:pPr>
            <w:r>
              <w:rPr>
                <w:spacing w:val="-5"/>
                <w:sz w:val="17"/>
                <w:szCs w:val="17"/>
              </w:rPr>
              <w:t>140</w:t>
            </w:r>
          </w:p>
        </w:tc>
        <w:tc>
          <w:tcPr>
            <w:tcW w:w="1340" w:type="dxa"/>
            <w:tcBorders>
              <w:left w:val="single" w:color="000000" w:sz="4" w:space="0"/>
              <w:right w:val="single" w:color="000000" w:sz="4" w:space="0"/>
            </w:tcBorders>
            <w:vAlign w:val="top"/>
          </w:tcPr>
          <w:p w14:paraId="6CA9A295">
            <w:pPr>
              <w:pStyle w:val="6"/>
              <w:spacing w:before="159" w:line="183" w:lineRule="auto"/>
              <w:ind w:left="405"/>
              <w:rPr>
                <w:sz w:val="17"/>
                <w:szCs w:val="17"/>
              </w:rPr>
            </w:pPr>
            <w:r>
              <w:rPr>
                <w:spacing w:val="-2"/>
                <w:sz w:val="17"/>
                <w:szCs w:val="17"/>
              </w:rPr>
              <w:t>593.40</w:t>
            </w:r>
          </w:p>
        </w:tc>
        <w:tc>
          <w:tcPr>
            <w:tcW w:w="1350" w:type="dxa"/>
            <w:tcBorders>
              <w:left w:val="single" w:color="000000" w:sz="4" w:space="0"/>
              <w:right w:val="single" w:color="000000" w:sz="4" w:space="0"/>
            </w:tcBorders>
            <w:vAlign w:val="top"/>
          </w:tcPr>
          <w:p w14:paraId="167EF438">
            <w:pPr>
              <w:pStyle w:val="6"/>
              <w:spacing w:before="149" w:line="183" w:lineRule="auto"/>
              <w:ind w:left="455"/>
              <w:rPr>
                <w:sz w:val="17"/>
                <w:szCs w:val="17"/>
              </w:rPr>
            </w:pPr>
            <w:r>
              <w:rPr>
                <w:spacing w:val="-2"/>
                <w:sz w:val="17"/>
                <w:szCs w:val="17"/>
              </w:rPr>
              <w:t>595.4</w:t>
            </w:r>
          </w:p>
        </w:tc>
        <w:tc>
          <w:tcPr>
            <w:tcW w:w="1350" w:type="dxa"/>
            <w:tcBorders>
              <w:left w:val="single" w:color="000000" w:sz="4" w:space="0"/>
              <w:right w:val="single" w:color="000000" w:sz="4" w:space="0"/>
            </w:tcBorders>
            <w:vAlign w:val="top"/>
          </w:tcPr>
          <w:p w14:paraId="45D193CB">
            <w:pPr>
              <w:pStyle w:val="6"/>
              <w:spacing w:before="159" w:line="183" w:lineRule="auto"/>
              <w:ind w:left="455"/>
              <w:rPr>
                <w:sz w:val="17"/>
                <w:szCs w:val="17"/>
              </w:rPr>
            </w:pPr>
            <w:r>
              <w:rPr>
                <w:spacing w:val="-2"/>
                <w:sz w:val="17"/>
                <w:szCs w:val="17"/>
              </w:rPr>
              <w:t>598.0</w:t>
            </w:r>
          </w:p>
        </w:tc>
        <w:tc>
          <w:tcPr>
            <w:tcW w:w="1340" w:type="dxa"/>
            <w:tcBorders>
              <w:left w:val="single" w:color="000000" w:sz="4" w:space="0"/>
              <w:right w:val="single" w:color="000000" w:sz="4" w:space="0"/>
            </w:tcBorders>
            <w:vAlign w:val="top"/>
          </w:tcPr>
          <w:p w14:paraId="1988335B">
            <w:pPr>
              <w:pStyle w:val="6"/>
              <w:spacing w:before="149" w:line="183" w:lineRule="auto"/>
              <w:ind w:left="445"/>
              <w:rPr>
                <w:sz w:val="17"/>
                <w:szCs w:val="17"/>
              </w:rPr>
            </w:pPr>
            <w:r>
              <w:rPr>
                <w:spacing w:val="-2"/>
                <w:sz w:val="17"/>
                <w:szCs w:val="17"/>
              </w:rPr>
              <w:t>602.0</w:t>
            </w:r>
          </w:p>
        </w:tc>
        <w:tc>
          <w:tcPr>
            <w:tcW w:w="1350" w:type="dxa"/>
            <w:tcBorders>
              <w:left w:val="single" w:color="000000" w:sz="4" w:space="0"/>
              <w:right w:val="single" w:color="000000" w:sz="4" w:space="0"/>
            </w:tcBorders>
            <w:vAlign w:val="top"/>
          </w:tcPr>
          <w:p w14:paraId="7D164158">
            <w:pPr>
              <w:pStyle w:val="6"/>
              <w:spacing w:before="159" w:line="183" w:lineRule="auto"/>
              <w:ind w:left="455"/>
              <w:rPr>
                <w:sz w:val="17"/>
                <w:szCs w:val="17"/>
              </w:rPr>
            </w:pPr>
            <w:r>
              <w:rPr>
                <w:spacing w:val="-2"/>
                <w:sz w:val="17"/>
                <w:szCs w:val="17"/>
              </w:rPr>
              <w:t>605.4</w:t>
            </w:r>
          </w:p>
        </w:tc>
        <w:tc>
          <w:tcPr>
            <w:tcW w:w="1340" w:type="dxa"/>
            <w:tcBorders>
              <w:left w:val="single" w:color="000000" w:sz="4" w:space="0"/>
            </w:tcBorders>
            <w:vAlign w:val="top"/>
          </w:tcPr>
          <w:p w14:paraId="4C4CB1CD">
            <w:pPr>
              <w:pStyle w:val="6"/>
              <w:spacing w:before="158" w:line="184" w:lineRule="auto"/>
              <w:ind w:left="445"/>
              <w:rPr>
                <w:sz w:val="17"/>
                <w:szCs w:val="17"/>
              </w:rPr>
            </w:pPr>
            <w:r>
              <w:rPr>
                <w:spacing w:val="-2"/>
                <w:sz w:val="17"/>
                <w:szCs w:val="17"/>
              </w:rPr>
              <w:t>603.1</w:t>
            </w:r>
          </w:p>
        </w:tc>
      </w:tr>
      <w:tr w14:paraId="4A22927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84" w:hRule="atLeast"/>
        </w:trPr>
        <w:tc>
          <w:tcPr>
            <w:tcW w:w="1300" w:type="dxa"/>
            <w:tcBorders>
              <w:right w:val="single" w:color="000000" w:sz="4" w:space="0"/>
            </w:tcBorders>
            <w:vAlign w:val="top"/>
          </w:tcPr>
          <w:p w14:paraId="0E9EBBA8">
            <w:pPr>
              <w:pStyle w:val="6"/>
              <w:spacing w:before="143" w:line="184" w:lineRule="auto"/>
              <w:ind w:left="519"/>
              <w:rPr>
                <w:sz w:val="17"/>
                <w:szCs w:val="17"/>
              </w:rPr>
            </w:pPr>
            <w:r>
              <w:rPr>
                <w:spacing w:val="-5"/>
                <w:sz w:val="17"/>
                <w:szCs w:val="17"/>
              </w:rPr>
              <w:t>160</w:t>
            </w:r>
          </w:p>
        </w:tc>
        <w:tc>
          <w:tcPr>
            <w:tcW w:w="1340" w:type="dxa"/>
            <w:tcBorders>
              <w:left w:val="single" w:color="000000" w:sz="4" w:space="0"/>
              <w:right w:val="single" w:color="000000" w:sz="4" w:space="0"/>
            </w:tcBorders>
            <w:vAlign w:val="top"/>
          </w:tcPr>
          <w:p w14:paraId="30C23CF4">
            <w:pPr>
              <w:pStyle w:val="6"/>
              <w:spacing w:before="124" w:line="183" w:lineRule="auto"/>
              <w:ind w:left="405"/>
              <w:rPr>
                <w:sz w:val="17"/>
                <w:szCs w:val="17"/>
              </w:rPr>
            </w:pPr>
            <w:r>
              <w:rPr>
                <w:spacing w:val="-2"/>
                <w:sz w:val="17"/>
                <w:szCs w:val="17"/>
              </w:rPr>
              <w:t>679.20</w:t>
            </w:r>
          </w:p>
        </w:tc>
        <w:tc>
          <w:tcPr>
            <w:tcW w:w="1350" w:type="dxa"/>
            <w:tcBorders>
              <w:left w:val="single" w:color="000000" w:sz="4" w:space="0"/>
              <w:right w:val="single" w:color="000000" w:sz="4" w:space="0"/>
            </w:tcBorders>
            <w:vAlign w:val="top"/>
          </w:tcPr>
          <w:p w14:paraId="69C7F9E9">
            <w:pPr>
              <w:pStyle w:val="6"/>
              <w:spacing w:before="133" w:line="184" w:lineRule="auto"/>
              <w:ind w:left="455"/>
              <w:rPr>
                <w:sz w:val="17"/>
                <w:szCs w:val="17"/>
              </w:rPr>
            </w:pPr>
            <w:r>
              <w:rPr>
                <w:spacing w:val="-2"/>
                <w:sz w:val="17"/>
                <w:szCs w:val="17"/>
              </w:rPr>
              <w:t>681.0</w:t>
            </w:r>
          </w:p>
        </w:tc>
        <w:tc>
          <w:tcPr>
            <w:tcW w:w="1350" w:type="dxa"/>
            <w:tcBorders>
              <w:left w:val="single" w:color="000000" w:sz="4" w:space="0"/>
              <w:right w:val="single" w:color="000000" w:sz="4" w:space="0"/>
            </w:tcBorders>
            <w:vAlign w:val="top"/>
          </w:tcPr>
          <w:p w14:paraId="3C543E95">
            <w:pPr>
              <w:pStyle w:val="6"/>
              <w:spacing w:before="134" w:line="183" w:lineRule="auto"/>
              <w:ind w:left="455"/>
              <w:rPr>
                <w:sz w:val="17"/>
                <w:szCs w:val="17"/>
              </w:rPr>
            </w:pPr>
            <w:r>
              <w:rPr>
                <w:spacing w:val="-2"/>
                <w:sz w:val="17"/>
                <w:szCs w:val="17"/>
              </w:rPr>
              <w:t>683.4</w:t>
            </w:r>
          </w:p>
        </w:tc>
        <w:tc>
          <w:tcPr>
            <w:tcW w:w="1340" w:type="dxa"/>
            <w:tcBorders>
              <w:left w:val="single" w:color="000000" w:sz="4" w:space="0"/>
              <w:right w:val="single" w:color="000000" w:sz="4" w:space="0"/>
            </w:tcBorders>
            <w:vAlign w:val="top"/>
          </w:tcPr>
          <w:p w14:paraId="78B7A184">
            <w:pPr>
              <w:pStyle w:val="6"/>
              <w:spacing w:before="133" w:line="184" w:lineRule="auto"/>
              <w:ind w:left="445"/>
              <w:rPr>
                <w:sz w:val="17"/>
                <w:szCs w:val="17"/>
              </w:rPr>
            </w:pPr>
            <w:r>
              <w:rPr>
                <w:spacing w:val="-2"/>
                <w:sz w:val="17"/>
                <w:szCs w:val="17"/>
              </w:rPr>
              <w:t>687.1</w:t>
            </w:r>
          </w:p>
        </w:tc>
        <w:tc>
          <w:tcPr>
            <w:tcW w:w="1350" w:type="dxa"/>
            <w:tcBorders>
              <w:left w:val="single" w:color="000000" w:sz="4" w:space="0"/>
              <w:right w:val="single" w:color="000000" w:sz="4" w:space="0"/>
            </w:tcBorders>
            <w:vAlign w:val="top"/>
          </w:tcPr>
          <w:p w14:paraId="5827E5E1">
            <w:pPr>
              <w:pStyle w:val="6"/>
              <w:spacing w:before="134" w:line="183" w:lineRule="auto"/>
              <w:ind w:left="455"/>
              <w:rPr>
                <w:sz w:val="17"/>
                <w:szCs w:val="17"/>
              </w:rPr>
            </w:pPr>
            <w:r>
              <w:rPr>
                <w:spacing w:val="-2"/>
                <w:sz w:val="17"/>
                <w:szCs w:val="17"/>
              </w:rPr>
              <w:t>690.2</w:t>
            </w:r>
          </w:p>
        </w:tc>
        <w:tc>
          <w:tcPr>
            <w:tcW w:w="1340" w:type="dxa"/>
            <w:tcBorders>
              <w:left w:val="single" w:color="000000" w:sz="4" w:space="0"/>
            </w:tcBorders>
            <w:vAlign w:val="top"/>
          </w:tcPr>
          <w:p w14:paraId="2777534E">
            <w:pPr>
              <w:pStyle w:val="6"/>
              <w:spacing w:before="144" w:line="183" w:lineRule="auto"/>
              <w:ind w:left="445"/>
              <w:rPr>
                <w:sz w:val="17"/>
                <w:szCs w:val="17"/>
              </w:rPr>
            </w:pPr>
            <w:r>
              <w:rPr>
                <w:spacing w:val="-2"/>
                <w:sz w:val="17"/>
                <w:szCs w:val="17"/>
              </w:rPr>
              <w:t>693.3</w:t>
            </w:r>
          </w:p>
        </w:tc>
      </w:tr>
      <w:tr w14:paraId="107103F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00" w:hRule="atLeast"/>
        </w:trPr>
        <w:tc>
          <w:tcPr>
            <w:tcW w:w="1300" w:type="dxa"/>
            <w:tcBorders>
              <w:right w:val="single" w:color="000000" w:sz="4" w:space="0"/>
            </w:tcBorders>
            <w:vAlign w:val="top"/>
          </w:tcPr>
          <w:p w14:paraId="77A2FDDB">
            <w:pPr>
              <w:pStyle w:val="6"/>
              <w:spacing w:before="139" w:line="184" w:lineRule="auto"/>
              <w:ind w:left="519"/>
              <w:rPr>
                <w:sz w:val="17"/>
                <w:szCs w:val="17"/>
              </w:rPr>
            </w:pPr>
            <w:r>
              <w:rPr>
                <w:spacing w:val="-5"/>
                <w:sz w:val="17"/>
                <w:szCs w:val="17"/>
              </w:rPr>
              <w:t>180</w:t>
            </w:r>
          </w:p>
        </w:tc>
        <w:tc>
          <w:tcPr>
            <w:tcW w:w="1340" w:type="dxa"/>
            <w:tcBorders>
              <w:left w:val="single" w:color="000000" w:sz="4" w:space="0"/>
              <w:right w:val="single" w:color="000000" w:sz="4" w:space="0"/>
            </w:tcBorders>
            <w:vAlign w:val="top"/>
          </w:tcPr>
          <w:p w14:paraId="291F7519">
            <w:pPr>
              <w:pStyle w:val="6"/>
              <w:spacing w:before="130" w:line="183" w:lineRule="auto"/>
              <w:ind w:left="405"/>
              <w:rPr>
                <w:sz w:val="17"/>
                <w:szCs w:val="17"/>
              </w:rPr>
            </w:pPr>
            <w:r>
              <w:rPr>
                <w:spacing w:val="-2"/>
                <w:sz w:val="17"/>
                <w:szCs w:val="17"/>
              </w:rPr>
              <w:t>766.20</w:t>
            </w:r>
          </w:p>
        </w:tc>
        <w:tc>
          <w:tcPr>
            <w:tcW w:w="1350" w:type="dxa"/>
            <w:tcBorders>
              <w:left w:val="single" w:color="000000" w:sz="4" w:space="0"/>
              <w:right w:val="single" w:color="000000" w:sz="4" w:space="0"/>
            </w:tcBorders>
            <w:vAlign w:val="top"/>
          </w:tcPr>
          <w:p w14:paraId="071A95D0">
            <w:pPr>
              <w:pStyle w:val="6"/>
              <w:spacing w:before="140" w:line="183" w:lineRule="auto"/>
              <w:ind w:left="455"/>
              <w:rPr>
                <w:sz w:val="17"/>
                <w:szCs w:val="17"/>
              </w:rPr>
            </w:pPr>
            <w:r>
              <w:rPr>
                <w:spacing w:val="-2"/>
                <w:sz w:val="17"/>
                <w:szCs w:val="17"/>
              </w:rPr>
              <w:t>767.8</w:t>
            </w:r>
          </w:p>
        </w:tc>
        <w:tc>
          <w:tcPr>
            <w:tcW w:w="1350" w:type="dxa"/>
            <w:tcBorders>
              <w:left w:val="single" w:color="000000" w:sz="4" w:space="0"/>
              <w:right w:val="single" w:color="000000" w:sz="4" w:space="0"/>
            </w:tcBorders>
            <w:vAlign w:val="top"/>
          </w:tcPr>
          <w:p w14:paraId="581027AA">
            <w:pPr>
              <w:pStyle w:val="6"/>
              <w:spacing w:before="140" w:line="183" w:lineRule="auto"/>
              <w:ind w:left="455"/>
              <w:rPr>
                <w:sz w:val="17"/>
                <w:szCs w:val="17"/>
              </w:rPr>
            </w:pPr>
            <w:r>
              <w:rPr>
                <w:spacing w:val="-2"/>
                <w:sz w:val="17"/>
                <w:szCs w:val="17"/>
              </w:rPr>
              <w:t>769.9</w:t>
            </w:r>
          </w:p>
        </w:tc>
        <w:tc>
          <w:tcPr>
            <w:tcW w:w="1340" w:type="dxa"/>
            <w:tcBorders>
              <w:left w:val="single" w:color="000000" w:sz="4" w:space="0"/>
              <w:right w:val="single" w:color="000000" w:sz="4" w:space="0"/>
            </w:tcBorders>
            <w:vAlign w:val="top"/>
          </w:tcPr>
          <w:p w14:paraId="52B6CDBA">
            <w:pPr>
              <w:pStyle w:val="6"/>
              <w:spacing w:before="139" w:line="184" w:lineRule="auto"/>
              <w:ind w:left="445"/>
              <w:rPr>
                <w:sz w:val="17"/>
                <w:szCs w:val="17"/>
              </w:rPr>
            </w:pPr>
            <w:r>
              <w:rPr>
                <w:spacing w:val="-2"/>
                <w:sz w:val="17"/>
                <w:szCs w:val="17"/>
              </w:rPr>
              <w:t>773.1</w:t>
            </w:r>
          </w:p>
        </w:tc>
        <w:tc>
          <w:tcPr>
            <w:tcW w:w="1350" w:type="dxa"/>
            <w:tcBorders>
              <w:left w:val="single" w:color="000000" w:sz="4" w:space="0"/>
              <w:right w:val="single" w:color="000000" w:sz="4" w:space="0"/>
            </w:tcBorders>
            <w:vAlign w:val="top"/>
          </w:tcPr>
          <w:p w14:paraId="7706BD00">
            <w:pPr>
              <w:pStyle w:val="6"/>
              <w:spacing w:before="140" w:line="183" w:lineRule="auto"/>
              <w:ind w:left="455"/>
              <w:rPr>
                <w:sz w:val="17"/>
                <w:szCs w:val="17"/>
              </w:rPr>
            </w:pPr>
            <w:r>
              <w:rPr>
                <w:spacing w:val="-2"/>
                <w:sz w:val="17"/>
                <w:szCs w:val="17"/>
              </w:rPr>
              <w:t>775.9</w:t>
            </w:r>
          </w:p>
        </w:tc>
        <w:tc>
          <w:tcPr>
            <w:tcW w:w="1340" w:type="dxa"/>
            <w:tcBorders>
              <w:left w:val="single" w:color="000000" w:sz="4" w:space="0"/>
            </w:tcBorders>
            <w:vAlign w:val="top"/>
          </w:tcPr>
          <w:p w14:paraId="0FD8F334">
            <w:pPr>
              <w:pStyle w:val="6"/>
              <w:spacing w:before="150" w:line="183" w:lineRule="auto"/>
              <w:ind w:left="445"/>
              <w:rPr>
                <w:sz w:val="17"/>
                <w:szCs w:val="17"/>
              </w:rPr>
            </w:pPr>
            <w:r>
              <w:rPr>
                <w:spacing w:val="-2"/>
                <w:sz w:val="17"/>
                <w:szCs w:val="17"/>
              </w:rPr>
              <w:t>778.7</w:t>
            </w:r>
          </w:p>
        </w:tc>
      </w:tr>
      <w:tr w14:paraId="22B6260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0" w:hRule="atLeast"/>
        </w:trPr>
        <w:tc>
          <w:tcPr>
            <w:tcW w:w="1300" w:type="dxa"/>
            <w:tcBorders>
              <w:right w:val="single" w:color="000000" w:sz="4" w:space="0"/>
            </w:tcBorders>
            <w:vAlign w:val="top"/>
          </w:tcPr>
          <w:p w14:paraId="5FC868E0">
            <w:pPr>
              <w:pStyle w:val="6"/>
              <w:spacing w:before="140" w:line="183" w:lineRule="auto"/>
              <w:ind w:left="519"/>
              <w:rPr>
                <w:sz w:val="17"/>
                <w:szCs w:val="17"/>
              </w:rPr>
            </w:pPr>
            <w:r>
              <w:rPr>
                <w:spacing w:val="-2"/>
                <w:sz w:val="17"/>
                <w:szCs w:val="17"/>
              </w:rPr>
              <w:t>200</w:t>
            </w:r>
          </w:p>
        </w:tc>
        <w:tc>
          <w:tcPr>
            <w:tcW w:w="1340" w:type="dxa"/>
            <w:tcBorders>
              <w:left w:val="single" w:color="000000" w:sz="4" w:space="0"/>
              <w:right w:val="single" w:color="000000" w:sz="4" w:space="0"/>
            </w:tcBorders>
            <w:vAlign w:val="top"/>
          </w:tcPr>
          <w:p w14:paraId="1CA7169B">
            <w:pPr>
              <w:pStyle w:val="6"/>
              <w:spacing w:before="140" w:line="183" w:lineRule="auto"/>
              <w:ind w:left="405"/>
              <w:rPr>
                <w:sz w:val="17"/>
                <w:szCs w:val="17"/>
              </w:rPr>
            </w:pPr>
            <w:r>
              <w:rPr>
                <w:spacing w:val="-2"/>
                <w:sz w:val="17"/>
                <w:szCs w:val="17"/>
              </w:rPr>
              <w:t>854.63</w:t>
            </w:r>
          </w:p>
        </w:tc>
        <w:tc>
          <w:tcPr>
            <w:tcW w:w="1350" w:type="dxa"/>
            <w:tcBorders>
              <w:left w:val="single" w:color="000000" w:sz="4" w:space="0"/>
              <w:right w:val="single" w:color="000000" w:sz="4" w:space="0"/>
            </w:tcBorders>
            <w:vAlign w:val="top"/>
          </w:tcPr>
          <w:p w14:paraId="5D079535">
            <w:pPr>
              <w:pStyle w:val="6"/>
              <w:spacing w:before="140" w:line="183" w:lineRule="auto"/>
              <w:ind w:left="455"/>
              <w:rPr>
                <w:sz w:val="17"/>
                <w:szCs w:val="17"/>
              </w:rPr>
            </w:pPr>
            <w:r>
              <w:rPr>
                <w:spacing w:val="-2"/>
                <w:sz w:val="17"/>
                <w:szCs w:val="17"/>
              </w:rPr>
              <w:t>855.9</w:t>
            </w:r>
          </w:p>
        </w:tc>
        <w:tc>
          <w:tcPr>
            <w:tcW w:w="1350" w:type="dxa"/>
            <w:tcBorders>
              <w:left w:val="single" w:color="000000" w:sz="4" w:space="0"/>
              <w:right w:val="single" w:color="000000" w:sz="4" w:space="0"/>
            </w:tcBorders>
            <w:vAlign w:val="top"/>
          </w:tcPr>
          <w:p w14:paraId="1833CDA9">
            <w:pPr>
              <w:pStyle w:val="6"/>
              <w:spacing w:before="140" w:line="183" w:lineRule="auto"/>
              <w:ind w:left="455"/>
              <w:rPr>
                <w:sz w:val="17"/>
                <w:szCs w:val="17"/>
              </w:rPr>
            </w:pPr>
            <w:r>
              <w:rPr>
                <w:spacing w:val="-2"/>
                <w:sz w:val="17"/>
                <w:szCs w:val="17"/>
              </w:rPr>
              <w:t>857.7</w:t>
            </w:r>
          </w:p>
        </w:tc>
        <w:tc>
          <w:tcPr>
            <w:tcW w:w="1340" w:type="dxa"/>
            <w:tcBorders>
              <w:left w:val="single" w:color="000000" w:sz="4" w:space="0"/>
              <w:right w:val="single" w:color="000000" w:sz="4" w:space="0"/>
            </w:tcBorders>
            <w:vAlign w:val="top"/>
          </w:tcPr>
          <w:p w14:paraId="2B500DC9">
            <w:pPr>
              <w:pStyle w:val="6"/>
              <w:spacing w:before="140" w:line="183" w:lineRule="auto"/>
              <w:ind w:left="445"/>
              <w:rPr>
                <w:sz w:val="17"/>
                <w:szCs w:val="17"/>
              </w:rPr>
            </w:pPr>
            <w:r>
              <w:rPr>
                <w:spacing w:val="-2"/>
                <w:sz w:val="17"/>
                <w:szCs w:val="17"/>
              </w:rPr>
              <w:t>860.4</w:t>
            </w:r>
          </w:p>
        </w:tc>
        <w:tc>
          <w:tcPr>
            <w:tcW w:w="1350" w:type="dxa"/>
            <w:tcBorders>
              <w:left w:val="single" w:color="000000" w:sz="4" w:space="0"/>
              <w:right w:val="single" w:color="000000" w:sz="4" w:space="0"/>
            </w:tcBorders>
            <w:vAlign w:val="top"/>
          </w:tcPr>
          <w:p w14:paraId="3680C33C">
            <w:pPr>
              <w:pStyle w:val="6"/>
              <w:spacing w:before="140" w:line="183" w:lineRule="auto"/>
              <w:ind w:left="455"/>
              <w:rPr>
                <w:sz w:val="17"/>
                <w:szCs w:val="17"/>
              </w:rPr>
            </w:pPr>
            <w:r>
              <w:rPr>
                <w:spacing w:val="-2"/>
                <w:sz w:val="17"/>
                <w:szCs w:val="17"/>
              </w:rPr>
              <w:t>862.8</w:t>
            </w:r>
          </w:p>
        </w:tc>
        <w:tc>
          <w:tcPr>
            <w:tcW w:w="1340" w:type="dxa"/>
            <w:tcBorders>
              <w:left w:val="single" w:color="000000" w:sz="4" w:space="0"/>
            </w:tcBorders>
            <w:vAlign w:val="top"/>
          </w:tcPr>
          <w:p w14:paraId="39C79375">
            <w:pPr>
              <w:pStyle w:val="6"/>
              <w:spacing w:before="150" w:line="183" w:lineRule="auto"/>
              <w:ind w:left="445"/>
              <w:rPr>
                <w:sz w:val="17"/>
                <w:szCs w:val="17"/>
              </w:rPr>
            </w:pPr>
            <w:r>
              <w:rPr>
                <w:spacing w:val="-2"/>
                <w:sz w:val="17"/>
                <w:szCs w:val="17"/>
              </w:rPr>
              <w:t>856.2</w:t>
            </w:r>
          </w:p>
        </w:tc>
      </w:tr>
      <w:tr w14:paraId="2206202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84" w:hRule="atLeast"/>
        </w:trPr>
        <w:tc>
          <w:tcPr>
            <w:tcW w:w="1300" w:type="dxa"/>
            <w:tcBorders>
              <w:right w:val="single" w:color="000000" w:sz="4" w:space="0"/>
            </w:tcBorders>
            <w:vAlign w:val="top"/>
          </w:tcPr>
          <w:p w14:paraId="7073FF5C">
            <w:pPr>
              <w:pStyle w:val="6"/>
              <w:spacing w:before="140" w:line="183" w:lineRule="auto"/>
              <w:ind w:left="519"/>
              <w:rPr>
                <w:sz w:val="17"/>
                <w:szCs w:val="17"/>
              </w:rPr>
            </w:pPr>
            <w:r>
              <w:rPr>
                <w:spacing w:val="-2"/>
                <w:sz w:val="17"/>
                <w:szCs w:val="17"/>
              </w:rPr>
              <w:t>220</w:t>
            </w:r>
          </w:p>
        </w:tc>
        <w:tc>
          <w:tcPr>
            <w:tcW w:w="1340" w:type="dxa"/>
            <w:tcBorders>
              <w:left w:val="single" w:color="000000" w:sz="4" w:space="0"/>
              <w:right w:val="single" w:color="000000" w:sz="4" w:space="0"/>
            </w:tcBorders>
            <w:vAlign w:val="top"/>
          </w:tcPr>
          <w:p w14:paraId="089EEC1E">
            <w:pPr>
              <w:pStyle w:val="6"/>
              <w:spacing w:before="130" w:line="183" w:lineRule="auto"/>
              <w:ind w:left="405"/>
              <w:rPr>
                <w:sz w:val="17"/>
                <w:szCs w:val="17"/>
              </w:rPr>
            </w:pPr>
            <w:r>
              <w:rPr>
                <w:spacing w:val="-2"/>
                <w:sz w:val="17"/>
                <w:szCs w:val="17"/>
              </w:rPr>
              <w:t>945.00</w:t>
            </w:r>
          </w:p>
        </w:tc>
        <w:tc>
          <w:tcPr>
            <w:tcW w:w="1350" w:type="dxa"/>
            <w:tcBorders>
              <w:left w:val="single" w:color="000000" w:sz="4" w:space="0"/>
              <w:right w:val="single" w:color="000000" w:sz="4" w:space="0"/>
            </w:tcBorders>
            <w:vAlign w:val="top"/>
          </w:tcPr>
          <w:p w14:paraId="7B878C3A">
            <w:pPr>
              <w:pStyle w:val="6"/>
              <w:spacing w:before="140" w:line="183" w:lineRule="auto"/>
              <w:ind w:left="455"/>
              <w:rPr>
                <w:sz w:val="17"/>
                <w:szCs w:val="17"/>
              </w:rPr>
            </w:pPr>
            <w:r>
              <w:rPr>
                <w:spacing w:val="-2"/>
                <w:sz w:val="17"/>
                <w:szCs w:val="17"/>
              </w:rPr>
              <w:t>946.0</w:t>
            </w:r>
          </w:p>
        </w:tc>
        <w:tc>
          <w:tcPr>
            <w:tcW w:w="1350" w:type="dxa"/>
            <w:tcBorders>
              <w:left w:val="single" w:color="000000" w:sz="4" w:space="0"/>
              <w:right w:val="single" w:color="000000" w:sz="4" w:space="0"/>
            </w:tcBorders>
            <w:vAlign w:val="top"/>
          </w:tcPr>
          <w:p w14:paraId="1B58EE18">
            <w:pPr>
              <w:pStyle w:val="6"/>
              <w:spacing w:before="140" w:line="183" w:lineRule="auto"/>
              <w:ind w:left="455"/>
              <w:rPr>
                <w:sz w:val="17"/>
                <w:szCs w:val="17"/>
              </w:rPr>
            </w:pPr>
            <w:r>
              <w:rPr>
                <w:spacing w:val="-2"/>
                <w:sz w:val="17"/>
                <w:szCs w:val="17"/>
              </w:rPr>
              <w:t>947.2</w:t>
            </w:r>
          </w:p>
        </w:tc>
        <w:tc>
          <w:tcPr>
            <w:tcW w:w="1340" w:type="dxa"/>
            <w:tcBorders>
              <w:left w:val="single" w:color="000000" w:sz="4" w:space="0"/>
              <w:right w:val="single" w:color="000000" w:sz="4" w:space="0"/>
            </w:tcBorders>
            <w:vAlign w:val="top"/>
          </w:tcPr>
          <w:p w14:paraId="4923F56B">
            <w:pPr>
              <w:pStyle w:val="6"/>
              <w:spacing w:before="140" w:line="183" w:lineRule="auto"/>
              <w:ind w:left="445"/>
              <w:rPr>
                <w:sz w:val="17"/>
                <w:szCs w:val="17"/>
              </w:rPr>
            </w:pPr>
            <w:r>
              <w:rPr>
                <w:spacing w:val="-2"/>
                <w:sz w:val="17"/>
                <w:szCs w:val="17"/>
              </w:rPr>
              <w:t>949.3</w:t>
            </w:r>
          </w:p>
        </w:tc>
        <w:tc>
          <w:tcPr>
            <w:tcW w:w="1350" w:type="dxa"/>
            <w:tcBorders>
              <w:left w:val="single" w:color="000000" w:sz="4" w:space="0"/>
              <w:right w:val="single" w:color="000000" w:sz="4" w:space="0"/>
            </w:tcBorders>
            <w:vAlign w:val="top"/>
          </w:tcPr>
          <w:p w14:paraId="64010495">
            <w:pPr>
              <w:pStyle w:val="6"/>
              <w:spacing w:before="139" w:line="184" w:lineRule="auto"/>
              <w:ind w:left="455"/>
              <w:rPr>
                <w:sz w:val="17"/>
                <w:szCs w:val="17"/>
              </w:rPr>
            </w:pPr>
            <w:r>
              <w:rPr>
                <w:spacing w:val="-2"/>
                <w:sz w:val="17"/>
                <w:szCs w:val="17"/>
              </w:rPr>
              <w:t>951.2</w:t>
            </w:r>
          </w:p>
        </w:tc>
        <w:tc>
          <w:tcPr>
            <w:tcW w:w="1340" w:type="dxa"/>
            <w:tcBorders>
              <w:left w:val="single" w:color="000000" w:sz="4" w:space="0"/>
            </w:tcBorders>
            <w:vAlign w:val="top"/>
          </w:tcPr>
          <w:p w14:paraId="79633FBE">
            <w:pPr>
              <w:pStyle w:val="6"/>
              <w:spacing w:before="149" w:line="184" w:lineRule="auto"/>
              <w:ind w:left="445"/>
              <w:rPr>
                <w:sz w:val="17"/>
                <w:szCs w:val="17"/>
              </w:rPr>
            </w:pPr>
            <w:r>
              <w:rPr>
                <w:spacing w:val="-2"/>
                <w:sz w:val="17"/>
                <w:szCs w:val="17"/>
              </w:rPr>
              <w:t>953.1</w:t>
            </w:r>
          </w:p>
        </w:tc>
      </w:tr>
      <w:tr w14:paraId="546C129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84" w:hRule="atLeast"/>
        </w:trPr>
        <w:tc>
          <w:tcPr>
            <w:tcW w:w="1300" w:type="dxa"/>
            <w:tcBorders>
              <w:right w:val="single" w:color="000000" w:sz="4" w:space="0"/>
            </w:tcBorders>
            <w:vAlign w:val="top"/>
          </w:tcPr>
          <w:p w14:paraId="240A25E8">
            <w:pPr>
              <w:pStyle w:val="6"/>
              <w:spacing w:before="146" w:line="183" w:lineRule="auto"/>
              <w:ind w:left="519"/>
              <w:rPr>
                <w:sz w:val="17"/>
                <w:szCs w:val="17"/>
              </w:rPr>
            </w:pPr>
            <w:r>
              <w:rPr>
                <w:spacing w:val="-2"/>
                <w:sz w:val="17"/>
                <w:szCs w:val="17"/>
              </w:rPr>
              <w:t>240</w:t>
            </w:r>
          </w:p>
        </w:tc>
        <w:tc>
          <w:tcPr>
            <w:tcW w:w="1340" w:type="dxa"/>
            <w:tcBorders>
              <w:left w:val="single" w:color="000000" w:sz="4" w:space="0"/>
              <w:right w:val="single" w:color="000000" w:sz="4" w:space="0"/>
            </w:tcBorders>
            <w:vAlign w:val="top"/>
          </w:tcPr>
          <w:p w14:paraId="657E9FA0">
            <w:pPr>
              <w:pStyle w:val="6"/>
              <w:spacing w:before="125" w:line="184" w:lineRule="auto"/>
              <w:ind w:left="365"/>
              <w:rPr>
                <w:sz w:val="17"/>
                <w:szCs w:val="17"/>
              </w:rPr>
            </w:pPr>
            <w:r>
              <w:rPr>
                <w:spacing w:val="-3"/>
                <w:sz w:val="17"/>
                <w:szCs w:val="17"/>
              </w:rPr>
              <w:t>1038.00</w:t>
            </w:r>
          </w:p>
        </w:tc>
        <w:tc>
          <w:tcPr>
            <w:tcW w:w="1350" w:type="dxa"/>
            <w:tcBorders>
              <w:left w:val="single" w:color="000000" w:sz="4" w:space="0"/>
              <w:right w:val="single" w:color="000000" w:sz="4" w:space="0"/>
            </w:tcBorders>
            <w:vAlign w:val="top"/>
          </w:tcPr>
          <w:p w14:paraId="21F82EC8">
            <w:pPr>
              <w:pStyle w:val="6"/>
              <w:spacing w:before="125" w:line="184" w:lineRule="auto"/>
              <w:ind w:left="415"/>
              <w:rPr>
                <w:sz w:val="17"/>
                <w:szCs w:val="17"/>
              </w:rPr>
            </w:pPr>
            <w:r>
              <w:rPr>
                <w:spacing w:val="-3"/>
                <w:sz w:val="17"/>
                <w:szCs w:val="17"/>
              </w:rPr>
              <w:t>1038.4</w:t>
            </w:r>
          </w:p>
        </w:tc>
        <w:tc>
          <w:tcPr>
            <w:tcW w:w="1350" w:type="dxa"/>
            <w:tcBorders>
              <w:left w:val="single" w:color="000000" w:sz="4" w:space="0"/>
              <w:right w:val="single" w:color="000000" w:sz="4" w:space="0"/>
            </w:tcBorders>
            <w:vAlign w:val="top"/>
          </w:tcPr>
          <w:p w14:paraId="2DD27031">
            <w:pPr>
              <w:pStyle w:val="6"/>
              <w:spacing w:before="125" w:line="184" w:lineRule="auto"/>
              <w:ind w:left="415"/>
              <w:rPr>
                <w:sz w:val="17"/>
                <w:szCs w:val="17"/>
              </w:rPr>
            </w:pPr>
            <w:r>
              <w:rPr>
                <w:spacing w:val="-3"/>
                <w:sz w:val="17"/>
                <w:szCs w:val="17"/>
              </w:rPr>
              <w:t>1039.1</w:t>
            </w:r>
          </w:p>
        </w:tc>
        <w:tc>
          <w:tcPr>
            <w:tcW w:w="1340" w:type="dxa"/>
            <w:tcBorders>
              <w:left w:val="single" w:color="000000" w:sz="4" w:space="0"/>
              <w:right w:val="single" w:color="000000" w:sz="4" w:space="0"/>
            </w:tcBorders>
            <w:vAlign w:val="top"/>
          </w:tcPr>
          <w:p w14:paraId="79C9DE7C">
            <w:pPr>
              <w:pStyle w:val="6"/>
              <w:spacing w:before="125" w:line="184" w:lineRule="auto"/>
              <w:ind w:left="405"/>
              <w:rPr>
                <w:sz w:val="17"/>
                <w:szCs w:val="17"/>
              </w:rPr>
            </w:pPr>
            <w:r>
              <w:rPr>
                <w:spacing w:val="-3"/>
                <w:sz w:val="17"/>
                <w:szCs w:val="17"/>
              </w:rPr>
              <w:t>1040.3</w:t>
            </w:r>
          </w:p>
        </w:tc>
        <w:tc>
          <w:tcPr>
            <w:tcW w:w="1350" w:type="dxa"/>
            <w:tcBorders>
              <w:left w:val="single" w:color="000000" w:sz="4" w:space="0"/>
              <w:right w:val="single" w:color="000000" w:sz="4" w:space="0"/>
            </w:tcBorders>
            <w:vAlign w:val="top"/>
          </w:tcPr>
          <w:p w14:paraId="44D97900">
            <w:pPr>
              <w:pStyle w:val="6"/>
              <w:spacing w:before="125" w:line="184" w:lineRule="auto"/>
              <w:ind w:left="415"/>
              <w:rPr>
                <w:sz w:val="17"/>
                <w:szCs w:val="17"/>
              </w:rPr>
            </w:pPr>
            <w:r>
              <w:rPr>
                <w:spacing w:val="-3"/>
                <w:sz w:val="17"/>
                <w:szCs w:val="17"/>
              </w:rPr>
              <w:t>1041.5</w:t>
            </w:r>
          </w:p>
        </w:tc>
        <w:tc>
          <w:tcPr>
            <w:tcW w:w="1340" w:type="dxa"/>
            <w:tcBorders>
              <w:left w:val="single" w:color="000000" w:sz="4" w:space="0"/>
            </w:tcBorders>
            <w:vAlign w:val="top"/>
          </w:tcPr>
          <w:p w14:paraId="1CEEA64A">
            <w:pPr>
              <w:pStyle w:val="6"/>
              <w:spacing w:before="135" w:line="184" w:lineRule="auto"/>
              <w:ind w:left="405"/>
              <w:rPr>
                <w:sz w:val="17"/>
                <w:szCs w:val="17"/>
              </w:rPr>
            </w:pPr>
            <w:r>
              <w:rPr>
                <w:spacing w:val="-3"/>
                <w:sz w:val="17"/>
                <w:szCs w:val="17"/>
              </w:rPr>
              <w:t>1024.8</w:t>
            </w:r>
          </w:p>
        </w:tc>
      </w:tr>
      <w:tr w14:paraId="1D1EE5C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85" w:hRule="atLeast"/>
        </w:trPr>
        <w:tc>
          <w:tcPr>
            <w:tcW w:w="1300" w:type="dxa"/>
            <w:tcBorders>
              <w:right w:val="single" w:color="000000" w:sz="4" w:space="0"/>
            </w:tcBorders>
            <w:vAlign w:val="top"/>
          </w:tcPr>
          <w:p w14:paraId="19533232">
            <w:pPr>
              <w:pStyle w:val="6"/>
              <w:spacing w:before="142" w:line="183" w:lineRule="auto"/>
              <w:ind w:left="519"/>
              <w:rPr>
                <w:sz w:val="17"/>
                <w:szCs w:val="17"/>
              </w:rPr>
            </w:pPr>
            <w:r>
              <w:rPr>
                <w:spacing w:val="-2"/>
                <w:sz w:val="17"/>
                <w:szCs w:val="17"/>
              </w:rPr>
              <w:t>260</w:t>
            </w:r>
          </w:p>
        </w:tc>
        <w:tc>
          <w:tcPr>
            <w:tcW w:w="1340" w:type="dxa"/>
            <w:tcBorders>
              <w:left w:val="single" w:color="000000" w:sz="4" w:space="0"/>
              <w:right w:val="single" w:color="000000" w:sz="4" w:space="0"/>
            </w:tcBorders>
            <w:vAlign w:val="top"/>
          </w:tcPr>
          <w:p w14:paraId="74F104FA">
            <w:pPr>
              <w:pStyle w:val="6"/>
              <w:spacing w:before="151" w:line="184" w:lineRule="auto"/>
              <w:ind w:left="365"/>
              <w:rPr>
                <w:sz w:val="17"/>
                <w:szCs w:val="17"/>
              </w:rPr>
            </w:pPr>
            <w:r>
              <w:rPr>
                <w:spacing w:val="-3"/>
                <w:sz w:val="17"/>
                <w:szCs w:val="17"/>
              </w:rPr>
              <w:t>1134.70</w:t>
            </w:r>
          </w:p>
        </w:tc>
        <w:tc>
          <w:tcPr>
            <w:tcW w:w="1350" w:type="dxa"/>
            <w:tcBorders>
              <w:left w:val="single" w:color="000000" w:sz="4" w:space="0"/>
              <w:right w:val="single" w:color="000000" w:sz="4" w:space="0"/>
            </w:tcBorders>
            <w:vAlign w:val="top"/>
          </w:tcPr>
          <w:p w14:paraId="74CD458C">
            <w:pPr>
              <w:pStyle w:val="6"/>
              <w:spacing w:before="131" w:line="184" w:lineRule="auto"/>
              <w:ind w:left="415"/>
              <w:rPr>
                <w:sz w:val="17"/>
                <w:szCs w:val="17"/>
              </w:rPr>
            </w:pPr>
            <w:r>
              <w:rPr>
                <w:spacing w:val="-3"/>
                <w:sz w:val="17"/>
                <w:szCs w:val="17"/>
              </w:rPr>
              <w:t>1134.3</w:t>
            </w:r>
          </w:p>
        </w:tc>
        <w:tc>
          <w:tcPr>
            <w:tcW w:w="1350" w:type="dxa"/>
            <w:tcBorders>
              <w:left w:val="single" w:color="000000" w:sz="4" w:space="0"/>
              <w:right w:val="single" w:color="000000" w:sz="4" w:space="0"/>
            </w:tcBorders>
            <w:vAlign w:val="top"/>
          </w:tcPr>
          <w:p w14:paraId="52A3CABD">
            <w:pPr>
              <w:pStyle w:val="6"/>
              <w:spacing w:before="131" w:line="184" w:lineRule="auto"/>
              <w:ind w:left="415"/>
              <w:rPr>
                <w:sz w:val="17"/>
                <w:szCs w:val="17"/>
              </w:rPr>
            </w:pPr>
            <w:r>
              <w:rPr>
                <w:spacing w:val="-3"/>
                <w:sz w:val="17"/>
                <w:szCs w:val="17"/>
              </w:rPr>
              <w:t>1134.1</w:t>
            </w:r>
          </w:p>
        </w:tc>
        <w:tc>
          <w:tcPr>
            <w:tcW w:w="1340" w:type="dxa"/>
            <w:tcBorders>
              <w:left w:val="single" w:color="000000" w:sz="4" w:space="0"/>
              <w:right w:val="single" w:color="000000" w:sz="4" w:space="0"/>
            </w:tcBorders>
            <w:vAlign w:val="top"/>
          </w:tcPr>
          <w:p w14:paraId="2E7DCBEF">
            <w:pPr>
              <w:pStyle w:val="6"/>
              <w:spacing w:before="131" w:line="184" w:lineRule="auto"/>
              <w:ind w:left="405"/>
              <w:rPr>
                <w:sz w:val="17"/>
                <w:szCs w:val="17"/>
              </w:rPr>
            </w:pPr>
            <w:r>
              <w:rPr>
                <w:spacing w:val="-3"/>
                <w:sz w:val="17"/>
                <w:szCs w:val="17"/>
              </w:rPr>
              <w:t>1134.0</w:t>
            </w:r>
          </w:p>
        </w:tc>
        <w:tc>
          <w:tcPr>
            <w:tcW w:w="1350" w:type="dxa"/>
            <w:tcBorders>
              <w:left w:val="single" w:color="000000" w:sz="4" w:space="0"/>
              <w:right w:val="single" w:color="000000" w:sz="4" w:space="0"/>
            </w:tcBorders>
            <w:vAlign w:val="top"/>
          </w:tcPr>
          <w:p w14:paraId="320CB6D7">
            <w:pPr>
              <w:pStyle w:val="6"/>
              <w:spacing w:before="131" w:line="184" w:lineRule="auto"/>
              <w:ind w:left="415"/>
              <w:rPr>
                <w:sz w:val="17"/>
                <w:szCs w:val="17"/>
              </w:rPr>
            </w:pPr>
            <w:r>
              <w:rPr>
                <w:spacing w:val="-3"/>
                <w:sz w:val="17"/>
                <w:szCs w:val="17"/>
              </w:rPr>
              <w:t>1134.3</w:t>
            </w:r>
          </w:p>
        </w:tc>
        <w:tc>
          <w:tcPr>
            <w:tcW w:w="1340" w:type="dxa"/>
            <w:tcBorders>
              <w:left w:val="single" w:color="000000" w:sz="4" w:space="0"/>
            </w:tcBorders>
            <w:vAlign w:val="top"/>
          </w:tcPr>
          <w:p w14:paraId="7C572446">
            <w:pPr>
              <w:pStyle w:val="6"/>
              <w:spacing w:before="142" w:line="184" w:lineRule="auto"/>
              <w:ind w:left="405"/>
              <w:rPr>
                <w:sz w:val="17"/>
                <w:szCs w:val="17"/>
              </w:rPr>
            </w:pPr>
            <w:r>
              <w:rPr>
                <w:spacing w:val="-3"/>
                <w:sz w:val="17"/>
                <w:szCs w:val="17"/>
              </w:rPr>
              <w:t>1134.8</w:t>
            </w:r>
          </w:p>
        </w:tc>
      </w:tr>
      <w:tr w14:paraId="5FA9E80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10" w:hRule="atLeast"/>
        </w:trPr>
        <w:tc>
          <w:tcPr>
            <w:tcW w:w="1300" w:type="dxa"/>
            <w:tcBorders>
              <w:right w:val="single" w:color="000000" w:sz="4" w:space="0"/>
            </w:tcBorders>
            <w:vAlign w:val="top"/>
          </w:tcPr>
          <w:p w14:paraId="5C7D088B">
            <w:pPr>
              <w:pStyle w:val="6"/>
              <w:spacing w:before="157" w:line="183" w:lineRule="auto"/>
              <w:ind w:left="519"/>
              <w:rPr>
                <w:sz w:val="17"/>
                <w:szCs w:val="17"/>
              </w:rPr>
            </w:pPr>
            <w:r>
              <w:rPr>
                <w:spacing w:val="-2"/>
                <w:sz w:val="17"/>
                <w:szCs w:val="17"/>
              </w:rPr>
              <w:t>280</w:t>
            </w:r>
          </w:p>
        </w:tc>
        <w:tc>
          <w:tcPr>
            <w:tcW w:w="1340" w:type="dxa"/>
            <w:tcBorders>
              <w:left w:val="single" w:color="000000" w:sz="4" w:space="0"/>
              <w:right w:val="single" w:color="000000" w:sz="4" w:space="0"/>
            </w:tcBorders>
            <w:vAlign w:val="top"/>
          </w:tcPr>
          <w:p w14:paraId="0987B3E0">
            <w:pPr>
              <w:pStyle w:val="6"/>
              <w:spacing w:before="166" w:line="184" w:lineRule="auto"/>
              <w:ind w:left="365"/>
              <w:rPr>
                <w:sz w:val="17"/>
                <w:szCs w:val="17"/>
              </w:rPr>
            </w:pPr>
            <w:r>
              <w:rPr>
                <w:spacing w:val="-3"/>
                <w:sz w:val="17"/>
                <w:szCs w:val="17"/>
              </w:rPr>
              <w:t>1236.70</w:t>
            </w:r>
          </w:p>
        </w:tc>
        <w:tc>
          <w:tcPr>
            <w:tcW w:w="1350" w:type="dxa"/>
            <w:tcBorders>
              <w:left w:val="single" w:color="000000" w:sz="4" w:space="0"/>
              <w:right w:val="single" w:color="000000" w:sz="4" w:space="0"/>
            </w:tcBorders>
            <w:vAlign w:val="top"/>
          </w:tcPr>
          <w:p w14:paraId="227A8E89">
            <w:pPr>
              <w:pStyle w:val="6"/>
              <w:spacing w:before="126" w:line="184" w:lineRule="auto"/>
              <w:ind w:left="415"/>
              <w:rPr>
                <w:sz w:val="17"/>
                <w:szCs w:val="17"/>
              </w:rPr>
            </w:pPr>
            <w:r>
              <w:rPr>
                <w:spacing w:val="-3"/>
                <w:sz w:val="17"/>
                <w:szCs w:val="17"/>
              </w:rPr>
              <w:t>1235.2</w:t>
            </w:r>
          </w:p>
        </w:tc>
        <w:tc>
          <w:tcPr>
            <w:tcW w:w="1350" w:type="dxa"/>
            <w:tcBorders>
              <w:left w:val="single" w:color="000000" w:sz="4" w:space="0"/>
              <w:right w:val="single" w:color="000000" w:sz="4" w:space="0"/>
            </w:tcBorders>
            <w:vAlign w:val="top"/>
          </w:tcPr>
          <w:p w14:paraId="42C01476">
            <w:pPr>
              <w:pStyle w:val="6"/>
              <w:spacing w:before="136" w:line="184" w:lineRule="auto"/>
              <w:ind w:left="415"/>
              <w:rPr>
                <w:sz w:val="17"/>
                <w:szCs w:val="17"/>
              </w:rPr>
            </w:pPr>
            <w:r>
              <w:rPr>
                <w:spacing w:val="-3"/>
                <w:sz w:val="17"/>
                <w:szCs w:val="17"/>
              </w:rPr>
              <w:t>1233.6</w:t>
            </w:r>
          </w:p>
        </w:tc>
        <w:tc>
          <w:tcPr>
            <w:tcW w:w="1340" w:type="dxa"/>
            <w:tcBorders>
              <w:left w:val="single" w:color="000000" w:sz="4" w:space="0"/>
              <w:right w:val="single" w:color="000000" w:sz="4" w:space="0"/>
            </w:tcBorders>
            <w:vAlign w:val="top"/>
          </w:tcPr>
          <w:p w14:paraId="18EACAE0">
            <w:pPr>
              <w:pStyle w:val="6"/>
              <w:spacing w:before="146" w:line="184" w:lineRule="auto"/>
              <w:ind w:left="405"/>
              <w:rPr>
                <w:sz w:val="17"/>
                <w:szCs w:val="17"/>
              </w:rPr>
            </w:pPr>
            <w:r>
              <w:rPr>
                <w:spacing w:val="-3"/>
                <w:sz w:val="17"/>
                <w:szCs w:val="17"/>
              </w:rPr>
              <w:t>1231.6</w:t>
            </w:r>
          </w:p>
        </w:tc>
        <w:tc>
          <w:tcPr>
            <w:tcW w:w="1350" w:type="dxa"/>
            <w:tcBorders>
              <w:left w:val="single" w:color="000000" w:sz="4" w:space="0"/>
              <w:right w:val="single" w:color="000000" w:sz="4" w:space="0"/>
            </w:tcBorders>
            <w:vAlign w:val="top"/>
          </w:tcPr>
          <w:p w14:paraId="1C106059">
            <w:pPr>
              <w:pStyle w:val="6"/>
              <w:spacing w:before="166" w:line="184" w:lineRule="auto"/>
              <w:ind w:left="415"/>
              <w:rPr>
                <w:sz w:val="17"/>
                <w:szCs w:val="17"/>
              </w:rPr>
            </w:pPr>
            <w:r>
              <w:rPr>
                <w:spacing w:val="-3"/>
                <w:sz w:val="17"/>
                <w:szCs w:val="17"/>
              </w:rPr>
              <w:t>1230.5</w:t>
            </w:r>
          </w:p>
        </w:tc>
        <w:tc>
          <w:tcPr>
            <w:tcW w:w="1340" w:type="dxa"/>
            <w:tcBorders>
              <w:left w:val="single" w:color="000000" w:sz="4" w:space="0"/>
            </w:tcBorders>
            <w:vAlign w:val="top"/>
          </w:tcPr>
          <w:p w14:paraId="6C9A5187">
            <w:pPr>
              <w:pStyle w:val="6"/>
              <w:spacing w:before="156" w:line="184" w:lineRule="auto"/>
              <w:ind w:left="405"/>
              <w:rPr>
                <w:sz w:val="17"/>
                <w:szCs w:val="17"/>
              </w:rPr>
            </w:pPr>
            <w:r>
              <w:rPr>
                <w:spacing w:val="-3"/>
                <w:sz w:val="17"/>
                <w:szCs w:val="17"/>
              </w:rPr>
              <w:t>1229.9</w:t>
            </w:r>
          </w:p>
        </w:tc>
      </w:tr>
      <w:tr w14:paraId="66501C8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80" w:hRule="atLeast"/>
        </w:trPr>
        <w:tc>
          <w:tcPr>
            <w:tcW w:w="1300" w:type="dxa"/>
            <w:tcBorders>
              <w:right w:val="single" w:color="000000" w:sz="4" w:space="0"/>
            </w:tcBorders>
            <w:vAlign w:val="top"/>
          </w:tcPr>
          <w:p w14:paraId="52FB96F0">
            <w:pPr>
              <w:pStyle w:val="6"/>
              <w:spacing w:before="137" w:line="183" w:lineRule="auto"/>
              <w:ind w:left="519"/>
              <w:rPr>
                <w:sz w:val="17"/>
                <w:szCs w:val="17"/>
              </w:rPr>
            </w:pPr>
            <w:r>
              <w:rPr>
                <w:spacing w:val="-3"/>
                <w:sz w:val="17"/>
                <w:szCs w:val="17"/>
              </w:rPr>
              <w:t>300</w:t>
            </w:r>
          </w:p>
        </w:tc>
        <w:tc>
          <w:tcPr>
            <w:tcW w:w="1340" w:type="dxa"/>
            <w:tcBorders>
              <w:left w:val="single" w:color="000000" w:sz="4" w:space="0"/>
              <w:right w:val="single" w:color="000000" w:sz="4" w:space="0"/>
            </w:tcBorders>
            <w:vAlign w:val="top"/>
          </w:tcPr>
          <w:p w14:paraId="69642DC4">
            <w:pPr>
              <w:pStyle w:val="6"/>
              <w:spacing w:before="147" w:line="183" w:lineRule="auto"/>
              <w:ind w:left="365"/>
              <w:rPr>
                <w:sz w:val="17"/>
                <w:szCs w:val="17"/>
              </w:rPr>
            </w:pPr>
            <w:r>
              <w:rPr>
                <w:spacing w:val="-2"/>
                <w:sz w:val="17"/>
                <w:szCs w:val="17"/>
              </w:rPr>
              <w:t>2839.20</w:t>
            </w:r>
          </w:p>
        </w:tc>
        <w:tc>
          <w:tcPr>
            <w:tcW w:w="1350" w:type="dxa"/>
            <w:tcBorders>
              <w:left w:val="single" w:color="000000" w:sz="4" w:space="0"/>
              <w:right w:val="single" w:color="000000" w:sz="4" w:space="0"/>
            </w:tcBorders>
            <w:vAlign w:val="top"/>
          </w:tcPr>
          <w:p w14:paraId="70214143">
            <w:pPr>
              <w:pStyle w:val="6"/>
              <w:spacing w:before="136" w:line="184" w:lineRule="auto"/>
              <w:ind w:left="415"/>
              <w:rPr>
                <w:sz w:val="17"/>
                <w:szCs w:val="17"/>
              </w:rPr>
            </w:pPr>
            <w:r>
              <w:rPr>
                <w:spacing w:val="-3"/>
                <w:sz w:val="17"/>
                <w:szCs w:val="17"/>
              </w:rPr>
              <w:t>1343.7</w:t>
            </w:r>
          </w:p>
        </w:tc>
        <w:tc>
          <w:tcPr>
            <w:tcW w:w="1350" w:type="dxa"/>
            <w:tcBorders>
              <w:left w:val="single" w:color="000000" w:sz="4" w:space="0"/>
              <w:right w:val="single" w:color="000000" w:sz="4" w:space="0"/>
            </w:tcBorders>
            <w:vAlign w:val="top"/>
          </w:tcPr>
          <w:p w14:paraId="1175A678">
            <w:pPr>
              <w:pStyle w:val="6"/>
              <w:spacing w:before="136" w:line="184" w:lineRule="auto"/>
              <w:ind w:left="415"/>
              <w:rPr>
                <w:sz w:val="17"/>
                <w:szCs w:val="17"/>
              </w:rPr>
            </w:pPr>
            <w:r>
              <w:rPr>
                <w:spacing w:val="-3"/>
                <w:sz w:val="17"/>
                <w:szCs w:val="17"/>
              </w:rPr>
              <w:t>1339.5</w:t>
            </w:r>
          </w:p>
        </w:tc>
        <w:tc>
          <w:tcPr>
            <w:tcW w:w="1340" w:type="dxa"/>
            <w:tcBorders>
              <w:left w:val="single" w:color="000000" w:sz="4" w:space="0"/>
              <w:right w:val="single" w:color="000000" w:sz="4" w:space="0"/>
            </w:tcBorders>
            <w:vAlign w:val="top"/>
          </w:tcPr>
          <w:p w14:paraId="4F5E6A6F">
            <w:pPr>
              <w:pStyle w:val="6"/>
              <w:spacing w:before="136" w:line="184" w:lineRule="auto"/>
              <w:ind w:left="405"/>
              <w:rPr>
                <w:sz w:val="17"/>
                <w:szCs w:val="17"/>
              </w:rPr>
            </w:pPr>
            <w:r>
              <w:rPr>
                <w:spacing w:val="-3"/>
                <w:sz w:val="17"/>
                <w:szCs w:val="17"/>
              </w:rPr>
              <w:t>1334.6</w:t>
            </w:r>
          </w:p>
        </w:tc>
        <w:tc>
          <w:tcPr>
            <w:tcW w:w="1350" w:type="dxa"/>
            <w:tcBorders>
              <w:left w:val="single" w:color="000000" w:sz="4" w:space="0"/>
              <w:right w:val="single" w:color="000000" w:sz="4" w:space="0"/>
            </w:tcBorders>
            <w:vAlign w:val="top"/>
          </w:tcPr>
          <w:p w14:paraId="74A9B9D3">
            <w:pPr>
              <w:pStyle w:val="6"/>
              <w:spacing w:before="136" w:line="184" w:lineRule="auto"/>
              <w:ind w:left="415"/>
              <w:rPr>
                <w:sz w:val="17"/>
                <w:szCs w:val="17"/>
              </w:rPr>
            </w:pPr>
            <w:r>
              <w:rPr>
                <w:spacing w:val="-3"/>
                <w:sz w:val="17"/>
                <w:szCs w:val="17"/>
              </w:rPr>
              <w:t>1331.5</w:t>
            </w:r>
          </w:p>
        </w:tc>
        <w:tc>
          <w:tcPr>
            <w:tcW w:w="1340" w:type="dxa"/>
            <w:tcBorders>
              <w:left w:val="single" w:color="000000" w:sz="4" w:space="0"/>
            </w:tcBorders>
            <w:vAlign w:val="top"/>
          </w:tcPr>
          <w:p w14:paraId="67D04165">
            <w:pPr>
              <w:pStyle w:val="6"/>
              <w:spacing w:before="146" w:line="184" w:lineRule="auto"/>
              <w:ind w:left="405"/>
              <w:rPr>
                <w:sz w:val="17"/>
                <w:szCs w:val="17"/>
              </w:rPr>
            </w:pPr>
            <w:r>
              <w:rPr>
                <w:spacing w:val="-3"/>
                <w:sz w:val="17"/>
                <w:szCs w:val="17"/>
              </w:rPr>
              <w:t>1329.0</w:t>
            </w:r>
          </w:p>
        </w:tc>
      </w:tr>
      <w:tr w14:paraId="7CA3116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89" w:hRule="atLeast"/>
        </w:trPr>
        <w:tc>
          <w:tcPr>
            <w:tcW w:w="1300" w:type="dxa"/>
            <w:tcBorders>
              <w:right w:val="single" w:color="000000" w:sz="4" w:space="0"/>
            </w:tcBorders>
            <w:vAlign w:val="top"/>
          </w:tcPr>
          <w:p w14:paraId="1C195FCE">
            <w:pPr>
              <w:pStyle w:val="6"/>
              <w:spacing w:before="157" w:line="183" w:lineRule="auto"/>
              <w:ind w:left="519"/>
              <w:rPr>
                <w:sz w:val="17"/>
                <w:szCs w:val="17"/>
              </w:rPr>
            </w:pPr>
            <w:r>
              <w:rPr>
                <w:spacing w:val="-3"/>
                <w:sz w:val="17"/>
                <w:szCs w:val="17"/>
              </w:rPr>
              <w:t>350</w:t>
            </w:r>
          </w:p>
        </w:tc>
        <w:tc>
          <w:tcPr>
            <w:tcW w:w="1340" w:type="dxa"/>
            <w:tcBorders>
              <w:left w:val="single" w:color="000000" w:sz="4" w:space="0"/>
              <w:right w:val="single" w:color="000000" w:sz="4" w:space="0"/>
            </w:tcBorders>
            <w:vAlign w:val="top"/>
          </w:tcPr>
          <w:p w14:paraId="06C07494">
            <w:pPr>
              <w:pStyle w:val="6"/>
              <w:spacing w:before="136" w:line="184" w:lineRule="auto"/>
              <w:ind w:left="405"/>
              <w:rPr>
                <w:sz w:val="17"/>
                <w:szCs w:val="17"/>
              </w:rPr>
            </w:pPr>
            <w:r>
              <w:rPr>
                <w:spacing w:val="-2"/>
                <w:sz w:val="17"/>
                <w:szCs w:val="17"/>
              </w:rPr>
              <w:t>3017.0</w:t>
            </w:r>
          </w:p>
        </w:tc>
        <w:tc>
          <w:tcPr>
            <w:tcW w:w="1350" w:type="dxa"/>
            <w:tcBorders>
              <w:left w:val="single" w:color="000000" w:sz="4" w:space="0"/>
              <w:right w:val="single" w:color="000000" w:sz="4" w:space="0"/>
            </w:tcBorders>
            <w:vAlign w:val="top"/>
          </w:tcPr>
          <w:p w14:paraId="370A30CC">
            <w:pPr>
              <w:pStyle w:val="6"/>
              <w:spacing w:before="127" w:line="183" w:lineRule="auto"/>
              <w:ind w:left="415"/>
              <w:rPr>
                <w:sz w:val="17"/>
                <w:szCs w:val="17"/>
              </w:rPr>
            </w:pPr>
            <w:r>
              <w:rPr>
                <w:spacing w:val="-2"/>
                <w:sz w:val="17"/>
                <w:szCs w:val="17"/>
              </w:rPr>
              <w:t>2924.2</w:t>
            </w:r>
          </w:p>
        </w:tc>
        <w:tc>
          <w:tcPr>
            <w:tcW w:w="1350" w:type="dxa"/>
            <w:tcBorders>
              <w:left w:val="single" w:color="000000" w:sz="4" w:space="0"/>
              <w:right w:val="single" w:color="000000" w:sz="4" w:space="0"/>
            </w:tcBorders>
            <w:vAlign w:val="top"/>
          </w:tcPr>
          <w:p w14:paraId="4FA03E38">
            <w:pPr>
              <w:pStyle w:val="6"/>
              <w:spacing w:before="127" w:line="183" w:lineRule="auto"/>
              <w:ind w:left="415"/>
              <w:rPr>
                <w:sz w:val="17"/>
                <w:szCs w:val="17"/>
              </w:rPr>
            </w:pPr>
            <w:r>
              <w:rPr>
                <w:spacing w:val="-2"/>
                <w:sz w:val="17"/>
                <w:szCs w:val="17"/>
              </w:rPr>
              <w:t>2753.5</w:t>
            </w:r>
          </w:p>
        </w:tc>
        <w:tc>
          <w:tcPr>
            <w:tcW w:w="1340" w:type="dxa"/>
            <w:tcBorders>
              <w:left w:val="single" w:color="000000" w:sz="4" w:space="0"/>
              <w:right w:val="single" w:color="000000" w:sz="4" w:space="0"/>
            </w:tcBorders>
            <w:vAlign w:val="top"/>
          </w:tcPr>
          <w:p w14:paraId="3C39ACB0">
            <w:pPr>
              <w:pStyle w:val="6"/>
              <w:spacing w:before="126" w:line="184" w:lineRule="auto"/>
              <w:ind w:left="405"/>
              <w:rPr>
                <w:sz w:val="17"/>
                <w:szCs w:val="17"/>
              </w:rPr>
            </w:pPr>
            <w:r>
              <w:rPr>
                <w:spacing w:val="-3"/>
                <w:sz w:val="17"/>
                <w:szCs w:val="17"/>
              </w:rPr>
              <w:t>1648.4</w:t>
            </w:r>
          </w:p>
        </w:tc>
        <w:tc>
          <w:tcPr>
            <w:tcW w:w="1350" w:type="dxa"/>
            <w:tcBorders>
              <w:left w:val="single" w:color="000000" w:sz="4" w:space="0"/>
              <w:right w:val="single" w:color="000000" w:sz="4" w:space="0"/>
            </w:tcBorders>
            <w:vAlign w:val="top"/>
          </w:tcPr>
          <w:p w14:paraId="3CBC8823">
            <w:pPr>
              <w:pStyle w:val="6"/>
              <w:spacing w:before="136" w:line="184" w:lineRule="auto"/>
              <w:ind w:left="455"/>
              <w:rPr>
                <w:sz w:val="17"/>
                <w:szCs w:val="17"/>
              </w:rPr>
            </w:pPr>
            <w:r>
              <w:rPr>
                <w:spacing w:val="-4"/>
                <w:sz w:val="17"/>
                <w:szCs w:val="17"/>
              </w:rPr>
              <w:t>16264</w:t>
            </w:r>
          </w:p>
        </w:tc>
        <w:tc>
          <w:tcPr>
            <w:tcW w:w="1340" w:type="dxa"/>
            <w:tcBorders>
              <w:left w:val="single" w:color="000000" w:sz="4" w:space="0"/>
            </w:tcBorders>
            <w:vAlign w:val="top"/>
          </w:tcPr>
          <w:p w14:paraId="2891623E">
            <w:pPr>
              <w:pStyle w:val="6"/>
              <w:spacing w:before="146" w:line="184" w:lineRule="auto"/>
              <w:ind w:left="445"/>
              <w:rPr>
                <w:sz w:val="17"/>
                <w:szCs w:val="17"/>
              </w:rPr>
            </w:pPr>
            <w:r>
              <w:rPr>
                <w:spacing w:val="-4"/>
                <w:sz w:val="17"/>
                <w:szCs w:val="17"/>
              </w:rPr>
              <w:t>1611:</w:t>
            </w:r>
          </w:p>
        </w:tc>
      </w:tr>
      <w:tr w14:paraId="55D2766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0" w:hRule="atLeast"/>
        </w:trPr>
        <w:tc>
          <w:tcPr>
            <w:tcW w:w="1300" w:type="dxa"/>
            <w:tcBorders>
              <w:right w:val="single" w:color="000000" w:sz="4" w:space="0"/>
            </w:tcBorders>
            <w:vAlign w:val="top"/>
          </w:tcPr>
          <w:p w14:paraId="5EB0ACB1">
            <w:pPr>
              <w:pStyle w:val="6"/>
              <w:spacing w:before="148" w:line="183" w:lineRule="auto"/>
              <w:ind w:left="519"/>
              <w:rPr>
                <w:sz w:val="17"/>
                <w:szCs w:val="17"/>
              </w:rPr>
            </w:pPr>
            <w:r>
              <w:rPr>
                <w:spacing w:val="-2"/>
                <w:sz w:val="17"/>
                <w:szCs w:val="17"/>
              </w:rPr>
              <w:t>400</w:t>
            </w:r>
          </w:p>
        </w:tc>
        <w:tc>
          <w:tcPr>
            <w:tcW w:w="1340" w:type="dxa"/>
            <w:tcBorders>
              <w:left w:val="single" w:color="000000" w:sz="4" w:space="0"/>
              <w:right w:val="single" w:color="000000" w:sz="4" w:space="0"/>
            </w:tcBorders>
            <w:vAlign w:val="top"/>
          </w:tcPr>
          <w:p w14:paraId="2F449B84">
            <w:pPr>
              <w:pStyle w:val="6"/>
              <w:spacing w:before="127" w:line="184" w:lineRule="auto"/>
              <w:ind w:left="365"/>
              <w:rPr>
                <w:sz w:val="17"/>
                <w:szCs w:val="17"/>
              </w:rPr>
            </w:pPr>
            <w:r>
              <w:rPr>
                <w:spacing w:val="-2"/>
                <w:sz w:val="17"/>
                <w:szCs w:val="17"/>
              </w:rPr>
              <w:t>3159.70</w:t>
            </w:r>
          </w:p>
        </w:tc>
        <w:tc>
          <w:tcPr>
            <w:tcW w:w="1350" w:type="dxa"/>
            <w:tcBorders>
              <w:left w:val="single" w:color="000000" w:sz="4" w:space="0"/>
              <w:right w:val="single" w:color="000000" w:sz="4" w:space="0"/>
            </w:tcBorders>
            <w:vAlign w:val="top"/>
          </w:tcPr>
          <w:p w14:paraId="3A332395">
            <w:pPr>
              <w:pStyle w:val="6"/>
              <w:spacing w:before="128" w:line="183" w:lineRule="auto"/>
              <w:ind w:left="415"/>
              <w:rPr>
                <w:sz w:val="17"/>
                <w:szCs w:val="17"/>
              </w:rPr>
            </w:pPr>
            <w:r>
              <w:rPr>
                <w:spacing w:val="-2"/>
                <w:sz w:val="17"/>
                <w:szCs w:val="17"/>
              </w:rPr>
              <w:t>3098.5</w:t>
            </w:r>
          </w:p>
        </w:tc>
        <w:tc>
          <w:tcPr>
            <w:tcW w:w="1350" w:type="dxa"/>
            <w:tcBorders>
              <w:left w:val="single" w:color="000000" w:sz="4" w:space="0"/>
              <w:right w:val="single" w:color="000000" w:sz="4" w:space="0"/>
            </w:tcBorders>
            <w:vAlign w:val="top"/>
          </w:tcPr>
          <w:p w14:paraId="59BEC248">
            <w:pPr>
              <w:pStyle w:val="6"/>
              <w:spacing w:before="128" w:line="183" w:lineRule="auto"/>
              <w:ind w:left="415"/>
              <w:rPr>
                <w:sz w:val="17"/>
                <w:szCs w:val="17"/>
              </w:rPr>
            </w:pPr>
            <w:r>
              <w:rPr>
                <w:spacing w:val="-2"/>
                <w:sz w:val="17"/>
                <w:szCs w:val="17"/>
              </w:rPr>
              <w:t>3004.0</w:t>
            </w:r>
          </w:p>
        </w:tc>
        <w:tc>
          <w:tcPr>
            <w:tcW w:w="1340" w:type="dxa"/>
            <w:tcBorders>
              <w:left w:val="single" w:color="000000" w:sz="4" w:space="0"/>
              <w:right w:val="single" w:color="000000" w:sz="4" w:space="0"/>
            </w:tcBorders>
            <w:vAlign w:val="top"/>
          </w:tcPr>
          <w:p w14:paraId="2F50816A">
            <w:pPr>
              <w:pStyle w:val="6"/>
              <w:spacing w:before="127" w:line="184" w:lineRule="auto"/>
              <w:ind w:left="405"/>
              <w:rPr>
                <w:sz w:val="17"/>
                <w:szCs w:val="17"/>
              </w:rPr>
            </w:pPr>
            <w:r>
              <w:rPr>
                <w:spacing w:val="-2"/>
                <w:sz w:val="17"/>
                <w:szCs w:val="17"/>
              </w:rPr>
              <w:t>2820.1</w:t>
            </w:r>
          </w:p>
        </w:tc>
        <w:tc>
          <w:tcPr>
            <w:tcW w:w="1350" w:type="dxa"/>
            <w:tcBorders>
              <w:left w:val="single" w:color="000000" w:sz="4" w:space="0"/>
              <w:right w:val="single" w:color="000000" w:sz="4" w:space="0"/>
            </w:tcBorders>
            <w:vAlign w:val="top"/>
          </w:tcPr>
          <w:p w14:paraId="5EB16044">
            <w:pPr>
              <w:pStyle w:val="6"/>
              <w:spacing w:before="128" w:line="183" w:lineRule="auto"/>
              <w:ind w:left="415"/>
              <w:rPr>
                <w:sz w:val="17"/>
                <w:szCs w:val="17"/>
              </w:rPr>
            </w:pPr>
            <w:r>
              <w:rPr>
                <w:spacing w:val="-2"/>
                <w:sz w:val="17"/>
                <w:szCs w:val="17"/>
              </w:rPr>
              <w:t>2583.2</w:t>
            </w:r>
          </w:p>
        </w:tc>
        <w:tc>
          <w:tcPr>
            <w:tcW w:w="1340" w:type="dxa"/>
            <w:tcBorders>
              <w:left w:val="single" w:color="000000" w:sz="4" w:space="0"/>
            </w:tcBorders>
            <w:vAlign w:val="top"/>
          </w:tcPr>
          <w:p w14:paraId="0481E40C">
            <w:pPr>
              <w:pStyle w:val="6"/>
              <w:spacing w:before="137" w:line="184" w:lineRule="auto"/>
              <w:ind w:left="405"/>
              <w:rPr>
                <w:sz w:val="17"/>
                <w:szCs w:val="17"/>
              </w:rPr>
            </w:pPr>
            <w:r>
              <w:rPr>
                <w:spacing w:val="-2"/>
                <w:sz w:val="17"/>
                <w:szCs w:val="17"/>
              </w:rPr>
              <w:t>2159.1</w:t>
            </w:r>
          </w:p>
        </w:tc>
      </w:tr>
      <w:tr w14:paraId="6E2BF59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05" w:hRule="atLeast"/>
        </w:trPr>
        <w:tc>
          <w:tcPr>
            <w:tcW w:w="1300" w:type="dxa"/>
            <w:tcBorders>
              <w:right w:val="single" w:color="000000" w:sz="4" w:space="0"/>
            </w:tcBorders>
            <w:vAlign w:val="top"/>
          </w:tcPr>
          <w:p w14:paraId="092F8553">
            <w:pPr>
              <w:pStyle w:val="6"/>
              <w:spacing w:before="148" w:line="183" w:lineRule="auto"/>
              <w:ind w:left="519"/>
              <w:rPr>
                <w:sz w:val="17"/>
                <w:szCs w:val="17"/>
              </w:rPr>
            </w:pPr>
            <w:r>
              <w:rPr>
                <w:spacing w:val="-2"/>
                <w:sz w:val="17"/>
                <w:szCs w:val="17"/>
              </w:rPr>
              <w:t>420</w:t>
            </w:r>
          </w:p>
        </w:tc>
        <w:tc>
          <w:tcPr>
            <w:tcW w:w="1340" w:type="dxa"/>
            <w:tcBorders>
              <w:left w:val="single" w:color="000000" w:sz="4" w:space="0"/>
              <w:right w:val="single" w:color="000000" w:sz="4" w:space="0"/>
            </w:tcBorders>
            <w:vAlign w:val="top"/>
          </w:tcPr>
          <w:p w14:paraId="2295BCE4">
            <w:pPr>
              <w:pStyle w:val="6"/>
              <w:spacing w:before="157" w:line="184" w:lineRule="auto"/>
              <w:ind w:left="365"/>
              <w:rPr>
                <w:sz w:val="17"/>
                <w:szCs w:val="17"/>
              </w:rPr>
            </w:pPr>
            <w:r>
              <w:rPr>
                <w:spacing w:val="-2"/>
                <w:sz w:val="17"/>
                <w:szCs w:val="17"/>
              </w:rPr>
              <w:t>3211.02</w:t>
            </w:r>
          </w:p>
        </w:tc>
        <w:tc>
          <w:tcPr>
            <w:tcW w:w="1350" w:type="dxa"/>
            <w:tcBorders>
              <w:left w:val="single" w:color="000000" w:sz="4" w:space="0"/>
              <w:right w:val="single" w:color="000000" w:sz="4" w:space="0"/>
            </w:tcBorders>
            <w:vAlign w:val="top"/>
          </w:tcPr>
          <w:p w14:paraId="1881FA62">
            <w:pPr>
              <w:pStyle w:val="6"/>
              <w:spacing w:before="157" w:line="184" w:lineRule="auto"/>
              <w:ind w:left="415"/>
              <w:rPr>
                <w:sz w:val="17"/>
                <w:szCs w:val="17"/>
              </w:rPr>
            </w:pPr>
            <w:r>
              <w:rPr>
                <w:spacing w:val="-2"/>
                <w:sz w:val="17"/>
                <w:szCs w:val="17"/>
              </w:rPr>
              <w:t>3156.0</w:t>
            </w:r>
          </w:p>
        </w:tc>
        <w:tc>
          <w:tcPr>
            <w:tcW w:w="1350" w:type="dxa"/>
            <w:tcBorders>
              <w:left w:val="single" w:color="000000" w:sz="4" w:space="0"/>
              <w:right w:val="single" w:color="000000" w:sz="4" w:space="0"/>
            </w:tcBorders>
            <w:vAlign w:val="top"/>
          </w:tcPr>
          <w:p w14:paraId="68689C1F">
            <w:pPr>
              <w:pStyle w:val="6"/>
              <w:spacing w:before="138" w:line="183" w:lineRule="auto"/>
              <w:ind w:left="415"/>
              <w:rPr>
                <w:sz w:val="17"/>
                <w:szCs w:val="17"/>
              </w:rPr>
            </w:pPr>
            <w:r>
              <w:rPr>
                <w:spacing w:val="-2"/>
                <w:sz w:val="17"/>
                <w:szCs w:val="17"/>
              </w:rPr>
              <w:t>3072.7</w:t>
            </w:r>
          </w:p>
        </w:tc>
        <w:tc>
          <w:tcPr>
            <w:tcW w:w="1340" w:type="dxa"/>
            <w:tcBorders>
              <w:left w:val="single" w:color="000000" w:sz="4" w:space="0"/>
              <w:right w:val="single" w:color="000000" w:sz="4" w:space="0"/>
            </w:tcBorders>
            <w:vAlign w:val="top"/>
          </w:tcPr>
          <w:p w14:paraId="07FC3A5F">
            <w:pPr>
              <w:pStyle w:val="6"/>
              <w:spacing w:before="157" w:line="184" w:lineRule="auto"/>
              <w:ind w:left="405"/>
              <w:rPr>
                <w:sz w:val="17"/>
                <w:szCs w:val="17"/>
              </w:rPr>
            </w:pPr>
            <w:r>
              <w:rPr>
                <w:spacing w:val="-2"/>
                <w:sz w:val="17"/>
                <w:szCs w:val="17"/>
              </w:rPr>
              <w:t>2917.0</w:t>
            </w:r>
          </w:p>
        </w:tc>
        <w:tc>
          <w:tcPr>
            <w:tcW w:w="1350" w:type="dxa"/>
            <w:tcBorders>
              <w:left w:val="single" w:color="000000" w:sz="4" w:space="0"/>
              <w:right w:val="single" w:color="000000" w:sz="4" w:space="0"/>
            </w:tcBorders>
            <w:vAlign w:val="top"/>
          </w:tcPr>
          <w:p w14:paraId="02CC24C8">
            <w:pPr>
              <w:pStyle w:val="6"/>
              <w:spacing w:before="158" w:line="183" w:lineRule="auto"/>
              <w:ind w:left="415"/>
              <w:rPr>
                <w:sz w:val="17"/>
                <w:szCs w:val="17"/>
              </w:rPr>
            </w:pPr>
            <w:r>
              <w:rPr>
                <w:spacing w:val="-2"/>
                <w:sz w:val="17"/>
                <w:szCs w:val="17"/>
              </w:rPr>
              <w:t>2730.8</w:t>
            </w:r>
          </w:p>
        </w:tc>
        <w:tc>
          <w:tcPr>
            <w:tcW w:w="1340" w:type="dxa"/>
            <w:tcBorders>
              <w:left w:val="single" w:color="000000" w:sz="4" w:space="0"/>
            </w:tcBorders>
            <w:vAlign w:val="top"/>
          </w:tcPr>
          <w:p w14:paraId="239AA2E7">
            <w:pPr>
              <w:pStyle w:val="6"/>
              <w:spacing w:before="168" w:line="183" w:lineRule="auto"/>
              <w:ind w:left="405"/>
              <w:rPr>
                <w:sz w:val="17"/>
                <w:szCs w:val="17"/>
              </w:rPr>
            </w:pPr>
            <w:r>
              <w:rPr>
                <w:spacing w:val="-2"/>
                <w:sz w:val="17"/>
                <w:szCs w:val="17"/>
              </w:rPr>
              <w:t>2424.7</w:t>
            </w:r>
          </w:p>
        </w:tc>
      </w:tr>
      <w:tr w14:paraId="6A858FD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79" w:hRule="atLeast"/>
        </w:trPr>
        <w:tc>
          <w:tcPr>
            <w:tcW w:w="1300" w:type="dxa"/>
            <w:tcBorders>
              <w:right w:val="single" w:color="000000" w:sz="4" w:space="0"/>
            </w:tcBorders>
            <w:vAlign w:val="top"/>
          </w:tcPr>
          <w:p w14:paraId="1A33299A">
            <w:pPr>
              <w:pStyle w:val="6"/>
              <w:spacing w:before="133" w:line="183" w:lineRule="auto"/>
              <w:ind w:left="519"/>
              <w:rPr>
                <w:sz w:val="17"/>
                <w:szCs w:val="17"/>
              </w:rPr>
            </w:pPr>
            <w:r>
              <w:rPr>
                <w:spacing w:val="-2"/>
                <w:sz w:val="17"/>
                <w:szCs w:val="17"/>
              </w:rPr>
              <w:t>440</w:t>
            </w:r>
          </w:p>
        </w:tc>
        <w:tc>
          <w:tcPr>
            <w:tcW w:w="1340" w:type="dxa"/>
            <w:tcBorders>
              <w:left w:val="single" w:color="000000" w:sz="4" w:space="0"/>
              <w:right w:val="single" w:color="000000" w:sz="4" w:space="0"/>
            </w:tcBorders>
            <w:vAlign w:val="top"/>
          </w:tcPr>
          <w:p w14:paraId="260A11C4">
            <w:pPr>
              <w:pStyle w:val="6"/>
              <w:spacing w:before="143" w:line="183" w:lineRule="auto"/>
              <w:ind w:left="365"/>
              <w:rPr>
                <w:sz w:val="17"/>
                <w:szCs w:val="17"/>
              </w:rPr>
            </w:pPr>
            <w:r>
              <w:rPr>
                <w:spacing w:val="-2"/>
                <w:sz w:val="17"/>
                <w:szCs w:val="17"/>
              </w:rPr>
              <w:t>3262.34</w:t>
            </w:r>
          </w:p>
        </w:tc>
        <w:tc>
          <w:tcPr>
            <w:tcW w:w="1350" w:type="dxa"/>
            <w:tcBorders>
              <w:left w:val="single" w:color="000000" w:sz="4" w:space="0"/>
              <w:right w:val="single" w:color="000000" w:sz="4" w:space="0"/>
            </w:tcBorders>
            <w:vAlign w:val="top"/>
          </w:tcPr>
          <w:p w14:paraId="7ACFC278">
            <w:pPr>
              <w:pStyle w:val="6"/>
              <w:spacing w:before="142" w:line="184" w:lineRule="auto"/>
              <w:ind w:left="415"/>
              <w:rPr>
                <w:sz w:val="17"/>
                <w:szCs w:val="17"/>
              </w:rPr>
            </w:pPr>
            <w:r>
              <w:rPr>
                <w:spacing w:val="-2"/>
                <w:sz w:val="17"/>
                <w:szCs w:val="17"/>
              </w:rPr>
              <w:t>3213.5</w:t>
            </w:r>
          </w:p>
        </w:tc>
        <w:tc>
          <w:tcPr>
            <w:tcW w:w="1350" w:type="dxa"/>
            <w:tcBorders>
              <w:left w:val="single" w:color="000000" w:sz="4" w:space="0"/>
              <w:right w:val="single" w:color="000000" w:sz="4" w:space="0"/>
            </w:tcBorders>
            <w:vAlign w:val="top"/>
          </w:tcPr>
          <w:p w14:paraId="724DE417">
            <w:pPr>
              <w:pStyle w:val="6"/>
              <w:spacing w:before="142" w:line="184" w:lineRule="auto"/>
              <w:ind w:left="415"/>
              <w:rPr>
                <w:sz w:val="17"/>
                <w:szCs w:val="17"/>
              </w:rPr>
            </w:pPr>
            <w:r>
              <w:rPr>
                <w:spacing w:val="-2"/>
                <w:sz w:val="17"/>
                <w:szCs w:val="17"/>
              </w:rPr>
              <w:t>3141.4</w:t>
            </w:r>
          </w:p>
        </w:tc>
        <w:tc>
          <w:tcPr>
            <w:tcW w:w="1340" w:type="dxa"/>
            <w:tcBorders>
              <w:left w:val="single" w:color="000000" w:sz="4" w:space="0"/>
              <w:right w:val="single" w:color="000000" w:sz="4" w:space="0"/>
            </w:tcBorders>
            <w:vAlign w:val="top"/>
          </w:tcPr>
          <w:p w14:paraId="0D875405">
            <w:pPr>
              <w:pStyle w:val="6"/>
              <w:spacing w:before="142" w:line="184" w:lineRule="auto"/>
              <w:ind w:left="405"/>
              <w:rPr>
                <w:sz w:val="17"/>
                <w:szCs w:val="17"/>
              </w:rPr>
            </w:pPr>
            <w:r>
              <w:rPr>
                <w:spacing w:val="-2"/>
                <w:sz w:val="17"/>
                <w:szCs w:val="17"/>
              </w:rPr>
              <w:t>3014.0</w:t>
            </w:r>
          </w:p>
        </w:tc>
        <w:tc>
          <w:tcPr>
            <w:tcW w:w="1350" w:type="dxa"/>
            <w:tcBorders>
              <w:left w:val="single" w:color="000000" w:sz="4" w:space="0"/>
              <w:right w:val="single" w:color="000000" w:sz="4" w:space="0"/>
            </w:tcBorders>
            <w:vAlign w:val="top"/>
          </w:tcPr>
          <w:p w14:paraId="6AE854C2">
            <w:pPr>
              <w:pStyle w:val="6"/>
              <w:spacing w:before="143" w:line="183" w:lineRule="auto"/>
              <w:ind w:left="415"/>
              <w:rPr>
                <w:sz w:val="17"/>
                <w:szCs w:val="17"/>
              </w:rPr>
            </w:pPr>
            <w:r>
              <w:rPr>
                <w:spacing w:val="-2"/>
                <w:sz w:val="17"/>
                <w:szCs w:val="17"/>
              </w:rPr>
              <w:t>2878.3</w:t>
            </w:r>
          </w:p>
        </w:tc>
        <w:tc>
          <w:tcPr>
            <w:tcW w:w="1340" w:type="dxa"/>
            <w:tcBorders>
              <w:left w:val="single" w:color="000000" w:sz="4" w:space="0"/>
            </w:tcBorders>
            <w:vAlign w:val="top"/>
          </w:tcPr>
          <w:p w14:paraId="27E6132F">
            <w:pPr>
              <w:pStyle w:val="6"/>
              <w:spacing w:before="153" w:line="183" w:lineRule="auto"/>
              <w:ind w:left="405"/>
              <w:rPr>
                <w:sz w:val="17"/>
                <w:szCs w:val="17"/>
              </w:rPr>
            </w:pPr>
            <w:r>
              <w:rPr>
                <w:spacing w:val="-2"/>
                <w:sz w:val="17"/>
                <w:szCs w:val="17"/>
              </w:rPr>
              <w:t>2690.3</w:t>
            </w:r>
          </w:p>
        </w:tc>
      </w:tr>
      <w:tr w14:paraId="134CF52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0" w:hRule="atLeast"/>
        </w:trPr>
        <w:tc>
          <w:tcPr>
            <w:tcW w:w="1300" w:type="dxa"/>
            <w:tcBorders>
              <w:right w:val="single" w:color="000000" w:sz="4" w:space="0"/>
            </w:tcBorders>
            <w:vAlign w:val="top"/>
          </w:tcPr>
          <w:p w14:paraId="17563327">
            <w:pPr>
              <w:pStyle w:val="6"/>
              <w:spacing w:before="154" w:line="183" w:lineRule="auto"/>
              <w:ind w:left="519"/>
              <w:rPr>
                <w:sz w:val="17"/>
                <w:szCs w:val="17"/>
              </w:rPr>
            </w:pPr>
            <w:r>
              <w:rPr>
                <w:spacing w:val="-2"/>
                <w:sz w:val="17"/>
                <w:szCs w:val="17"/>
              </w:rPr>
              <w:t>450</w:t>
            </w:r>
          </w:p>
        </w:tc>
        <w:tc>
          <w:tcPr>
            <w:tcW w:w="1340" w:type="dxa"/>
            <w:tcBorders>
              <w:left w:val="single" w:color="000000" w:sz="4" w:space="0"/>
              <w:right w:val="single" w:color="000000" w:sz="4" w:space="0"/>
            </w:tcBorders>
            <w:vAlign w:val="top"/>
          </w:tcPr>
          <w:p w14:paraId="4F2DB279">
            <w:pPr>
              <w:pStyle w:val="6"/>
              <w:spacing w:before="124" w:line="183" w:lineRule="auto"/>
              <w:ind w:left="365"/>
              <w:rPr>
                <w:sz w:val="17"/>
                <w:szCs w:val="17"/>
              </w:rPr>
            </w:pPr>
            <w:r>
              <w:rPr>
                <w:spacing w:val="-2"/>
                <w:sz w:val="17"/>
                <w:szCs w:val="17"/>
              </w:rPr>
              <w:t>3288.00</w:t>
            </w:r>
          </w:p>
        </w:tc>
        <w:tc>
          <w:tcPr>
            <w:tcW w:w="1350" w:type="dxa"/>
            <w:tcBorders>
              <w:left w:val="single" w:color="000000" w:sz="4" w:space="0"/>
              <w:right w:val="single" w:color="000000" w:sz="4" w:space="0"/>
            </w:tcBorders>
            <w:vAlign w:val="top"/>
          </w:tcPr>
          <w:p w14:paraId="5D70F620">
            <w:pPr>
              <w:pStyle w:val="6"/>
              <w:spacing w:before="154" w:line="183" w:lineRule="auto"/>
              <w:ind w:left="415"/>
              <w:rPr>
                <w:sz w:val="17"/>
                <w:szCs w:val="17"/>
              </w:rPr>
            </w:pPr>
            <w:r>
              <w:rPr>
                <w:spacing w:val="-2"/>
                <w:sz w:val="17"/>
                <w:szCs w:val="17"/>
              </w:rPr>
              <w:t>3242.2</w:t>
            </w:r>
          </w:p>
        </w:tc>
        <w:tc>
          <w:tcPr>
            <w:tcW w:w="1350" w:type="dxa"/>
            <w:tcBorders>
              <w:left w:val="single" w:color="000000" w:sz="4" w:space="0"/>
              <w:right w:val="single" w:color="000000" w:sz="4" w:space="0"/>
            </w:tcBorders>
            <w:vAlign w:val="top"/>
          </w:tcPr>
          <w:p w14:paraId="39FE48E0">
            <w:pPr>
              <w:pStyle w:val="6"/>
              <w:spacing w:before="124" w:line="184" w:lineRule="auto"/>
              <w:ind w:left="415"/>
              <w:rPr>
                <w:sz w:val="17"/>
                <w:szCs w:val="17"/>
              </w:rPr>
            </w:pPr>
            <w:r>
              <w:rPr>
                <w:spacing w:val="-2"/>
                <w:sz w:val="17"/>
                <w:szCs w:val="17"/>
              </w:rPr>
              <w:t>3175.8</w:t>
            </w:r>
          </w:p>
        </w:tc>
        <w:tc>
          <w:tcPr>
            <w:tcW w:w="1340" w:type="dxa"/>
            <w:tcBorders>
              <w:left w:val="single" w:color="000000" w:sz="4" w:space="0"/>
              <w:right w:val="single" w:color="000000" w:sz="4" w:space="0"/>
            </w:tcBorders>
            <w:vAlign w:val="top"/>
          </w:tcPr>
          <w:p w14:paraId="78E5E263">
            <w:pPr>
              <w:pStyle w:val="6"/>
              <w:spacing w:before="154" w:line="183" w:lineRule="auto"/>
              <w:ind w:left="405"/>
              <w:rPr>
                <w:sz w:val="17"/>
                <w:szCs w:val="17"/>
              </w:rPr>
            </w:pPr>
            <w:r>
              <w:rPr>
                <w:spacing w:val="-2"/>
                <w:sz w:val="17"/>
                <w:szCs w:val="17"/>
              </w:rPr>
              <w:t>3062.4</w:t>
            </w:r>
          </w:p>
        </w:tc>
        <w:tc>
          <w:tcPr>
            <w:tcW w:w="1350" w:type="dxa"/>
            <w:tcBorders>
              <w:left w:val="single" w:color="000000" w:sz="4" w:space="0"/>
              <w:right w:val="single" w:color="000000" w:sz="4" w:space="0"/>
            </w:tcBorders>
            <w:vAlign w:val="top"/>
          </w:tcPr>
          <w:p w14:paraId="59FBF8A9">
            <w:pPr>
              <w:pStyle w:val="6"/>
              <w:spacing w:before="153" w:line="184" w:lineRule="auto"/>
              <w:ind w:left="415"/>
              <w:rPr>
                <w:sz w:val="17"/>
                <w:szCs w:val="17"/>
              </w:rPr>
            </w:pPr>
            <w:r>
              <w:rPr>
                <w:spacing w:val="-2"/>
                <w:sz w:val="17"/>
                <w:szCs w:val="17"/>
              </w:rPr>
              <w:t>2952.1</w:t>
            </w:r>
          </w:p>
        </w:tc>
        <w:tc>
          <w:tcPr>
            <w:tcW w:w="1340" w:type="dxa"/>
            <w:tcBorders>
              <w:left w:val="single" w:color="000000" w:sz="4" w:space="0"/>
            </w:tcBorders>
            <w:vAlign w:val="top"/>
          </w:tcPr>
          <w:p w14:paraId="0C401234">
            <w:pPr>
              <w:pStyle w:val="6"/>
              <w:spacing w:before="163" w:line="184" w:lineRule="auto"/>
              <w:ind w:left="405"/>
              <w:rPr>
                <w:sz w:val="17"/>
                <w:szCs w:val="17"/>
              </w:rPr>
            </w:pPr>
            <w:r>
              <w:rPr>
                <w:spacing w:val="-2"/>
                <w:sz w:val="17"/>
                <w:szCs w:val="17"/>
              </w:rPr>
              <w:t>2823.1</w:t>
            </w:r>
          </w:p>
        </w:tc>
      </w:tr>
      <w:tr w14:paraId="2EBDFDC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85" w:hRule="atLeast"/>
        </w:trPr>
        <w:tc>
          <w:tcPr>
            <w:tcW w:w="1300" w:type="dxa"/>
            <w:tcBorders>
              <w:right w:val="single" w:color="000000" w:sz="4" w:space="0"/>
            </w:tcBorders>
            <w:vAlign w:val="top"/>
          </w:tcPr>
          <w:p w14:paraId="1C4449E2">
            <w:pPr>
              <w:pStyle w:val="6"/>
              <w:spacing w:before="144" w:line="183" w:lineRule="auto"/>
              <w:ind w:left="519"/>
              <w:rPr>
                <w:sz w:val="17"/>
                <w:szCs w:val="17"/>
              </w:rPr>
            </w:pPr>
            <w:r>
              <w:rPr>
                <w:spacing w:val="-2"/>
                <w:sz w:val="17"/>
                <w:szCs w:val="17"/>
              </w:rPr>
              <w:t>460</w:t>
            </w:r>
          </w:p>
        </w:tc>
        <w:tc>
          <w:tcPr>
            <w:tcW w:w="1340" w:type="dxa"/>
            <w:tcBorders>
              <w:left w:val="single" w:color="000000" w:sz="4" w:space="0"/>
              <w:right w:val="single" w:color="000000" w:sz="4" w:space="0"/>
            </w:tcBorders>
            <w:vAlign w:val="top"/>
          </w:tcPr>
          <w:p w14:paraId="22CCC519">
            <w:pPr>
              <w:pStyle w:val="6"/>
              <w:spacing w:before="123" w:line="184" w:lineRule="auto"/>
              <w:ind w:left="405"/>
              <w:rPr>
                <w:sz w:val="17"/>
                <w:szCs w:val="17"/>
              </w:rPr>
            </w:pPr>
            <w:r>
              <w:rPr>
                <w:spacing w:val="-2"/>
                <w:sz w:val="17"/>
                <w:szCs w:val="17"/>
              </w:rPr>
              <w:t>331244</w:t>
            </w:r>
          </w:p>
        </w:tc>
        <w:tc>
          <w:tcPr>
            <w:tcW w:w="1350" w:type="dxa"/>
            <w:tcBorders>
              <w:left w:val="single" w:color="000000" w:sz="4" w:space="0"/>
              <w:right w:val="single" w:color="000000" w:sz="4" w:space="0"/>
            </w:tcBorders>
            <w:vAlign w:val="top"/>
          </w:tcPr>
          <w:p w14:paraId="6B1FB277">
            <w:pPr>
              <w:pStyle w:val="6"/>
              <w:spacing w:before="124" w:line="183" w:lineRule="auto"/>
              <w:ind w:left="415"/>
              <w:rPr>
                <w:sz w:val="17"/>
                <w:szCs w:val="17"/>
              </w:rPr>
            </w:pPr>
            <w:r>
              <w:rPr>
                <w:spacing w:val="-2"/>
                <w:sz w:val="17"/>
                <w:szCs w:val="17"/>
              </w:rPr>
              <w:t>3268.6</w:t>
            </w:r>
          </w:p>
        </w:tc>
        <w:tc>
          <w:tcPr>
            <w:tcW w:w="1350" w:type="dxa"/>
            <w:tcBorders>
              <w:left w:val="single" w:color="000000" w:sz="4" w:space="0"/>
              <w:right w:val="single" w:color="000000" w:sz="4" w:space="0"/>
            </w:tcBorders>
            <w:vAlign w:val="top"/>
          </w:tcPr>
          <w:p w14:paraId="5AAD1AFF">
            <w:pPr>
              <w:pStyle w:val="6"/>
              <w:spacing w:before="124" w:line="183" w:lineRule="auto"/>
              <w:ind w:left="415"/>
              <w:rPr>
                <w:sz w:val="17"/>
                <w:szCs w:val="17"/>
              </w:rPr>
            </w:pPr>
            <w:r>
              <w:rPr>
                <w:spacing w:val="-2"/>
                <w:sz w:val="17"/>
                <w:szCs w:val="17"/>
              </w:rPr>
              <w:t>3205.2</w:t>
            </w:r>
          </w:p>
        </w:tc>
        <w:tc>
          <w:tcPr>
            <w:tcW w:w="1340" w:type="dxa"/>
            <w:tcBorders>
              <w:left w:val="single" w:color="000000" w:sz="4" w:space="0"/>
              <w:right w:val="single" w:color="000000" w:sz="4" w:space="0"/>
            </w:tcBorders>
            <w:vAlign w:val="top"/>
          </w:tcPr>
          <w:p w14:paraId="50CD5933">
            <w:pPr>
              <w:pStyle w:val="6"/>
              <w:spacing w:before="144" w:line="183" w:lineRule="auto"/>
              <w:ind w:left="405"/>
              <w:rPr>
                <w:sz w:val="17"/>
                <w:szCs w:val="17"/>
              </w:rPr>
            </w:pPr>
            <w:r>
              <w:rPr>
                <w:spacing w:val="-2"/>
                <w:sz w:val="17"/>
                <w:szCs w:val="17"/>
              </w:rPr>
              <w:t>3098.0</w:t>
            </w:r>
          </w:p>
        </w:tc>
        <w:tc>
          <w:tcPr>
            <w:tcW w:w="1350" w:type="dxa"/>
            <w:tcBorders>
              <w:left w:val="single" w:color="000000" w:sz="4" w:space="0"/>
              <w:right w:val="single" w:color="000000" w:sz="4" w:space="0"/>
            </w:tcBorders>
            <w:vAlign w:val="top"/>
          </w:tcPr>
          <w:p w14:paraId="1FB6EBD8">
            <w:pPr>
              <w:pStyle w:val="6"/>
              <w:spacing w:before="144" w:line="183" w:lineRule="auto"/>
              <w:ind w:left="415"/>
              <w:rPr>
                <w:sz w:val="17"/>
                <w:szCs w:val="17"/>
              </w:rPr>
            </w:pPr>
            <w:r>
              <w:rPr>
                <w:spacing w:val="-2"/>
                <w:sz w:val="17"/>
                <w:szCs w:val="17"/>
              </w:rPr>
              <w:t>2994.7</w:t>
            </w:r>
          </w:p>
        </w:tc>
        <w:tc>
          <w:tcPr>
            <w:tcW w:w="1340" w:type="dxa"/>
            <w:tcBorders>
              <w:left w:val="single" w:color="000000" w:sz="4" w:space="0"/>
            </w:tcBorders>
            <w:vAlign w:val="top"/>
          </w:tcPr>
          <w:p w14:paraId="6A15E15B">
            <w:pPr>
              <w:pStyle w:val="6"/>
              <w:spacing w:before="134" w:line="183" w:lineRule="auto"/>
              <w:ind w:left="405"/>
              <w:rPr>
                <w:sz w:val="17"/>
                <w:szCs w:val="17"/>
              </w:rPr>
            </w:pPr>
            <w:r>
              <w:rPr>
                <w:spacing w:val="-2"/>
                <w:sz w:val="17"/>
                <w:szCs w:val="17"/>
              </w:rPr>
              <w:t>2875.3</w:t>
            </w:r>
          </w:p>
        </w:tc>
      </w:tr>
      <w:tr w14:paraId="00AA848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05" w:hRule="atLeast"/>
        </w:trPr>
        <w:tc>
          <w:tcPr>
            <w:tcW w:w="1300" w:type="dxa"/>
            <w:tcBorders>
              <w:right w:val="single" w:color="000000" w:sz="4" w:space="0"/>
            </w:tcBorders>
            <w:vAlign w:val="top"/>
          </w:tcPr>
          <w:p w14:paraId="65B7E540">
            <w:pPr>
              <w:pStyle w:val="6"/>
              <w:spacing w:before="149" w:line="183" w:lineRule="auto"/>
              <w:ind w:left="519"/>
              <w:rPr>
                <w:sz w:val="17"/>
                <w:szCs w:val="17"/>
              </w:rPr>
            </w:pPr>
            <w:r>
              <w:rPr>
                <w:spacing w:val="-2"/>
                <w:sz w:val="17"/>
                <w:szCs w:val="17"/>
              </w:rPr>
              <w:t>480</w:t>
            </w:r>
          </w:p>
        </w:tc>
        <w:tc>
          <w:tcPr>
            <w:tcW w:w="1340" w:type="dxa"/>
            <w:tcBorders>
              <w:left w:val="single" w:color="000000" w:sz="4" w:space="0"/>
              <w:right w:val="single" w:color="000000" w:sz="4" w:space="0"/>
            </w:tcBorders>
            <w:vAlign w:val="top"/>
          </w:tcPr>
          <w:p w14:paraId="29C1DC6F">
            <w:pPr>
              <w:pStyle w:val="6"/>
              <w:spacing w:before="138" w:line="184" w:lineRule="auto"/>
              <w:ind w:left="365"/>
              <w:rPr>
                <w:sz w:val="17"/>
                <w:szCs w:val="17"/>
              </w:rPr>
            </w:pPr>
            <w:r>
              <w:rPr>
                <w:spacing w:val="-2"/>
                <w:sz w:val="17"/>
                <w:szCs w:val="17"/>
              </w:rPr>
              <w:t>3361.32</w:t>
            </w:r>
          </w:p>
        </w:tc>
        <w:tc>
          <w:tcPr>
            <w:tcW w:w="1350" w:type="dxa"/>
            <w:tcBorders>
              <w:left w:val="single" w:color="000000" w:sz="4" w:space="0"/>
              <w:right w:val="single" w:color="000000" w:sz="4" w:space="0"/>
            </w:tcBorders>
            <w:vAlign w:val="top"/>
          </w:tcPr>
          <w:p w14:paraId="65CC0415">
            <w:pPr>
              <w:pStyle w:val="6"/>
              <w:spacing w:before="138" w:line="184" w:lineRule="auto"/>
              <w:ind w:left="415"/>
              <w:rPr>
                <w:sz w:val="17"/>
                <w:szCs w:val="17"/>
              </w:rPr>
            </w:pPr>
            <w:r>
              <w:rPr>
                <w:spacing w:val="-2"/>
                <w:sz w:val="17"/>
                <w:szCs w:val="17"/>
              </w:rPr>
              <w:t>3321.3</w:t>
            </w:r>
          </w:p>
        </w:tc>
        <w:tc>
          <w:tcPr>
            <w:tcW w:w="1350" w:type="dxa"/>
            <w:tcBorders>
              <w:left w:val="single" w:color="000000" w:sz="4" w:space="0"/>
              <w:right w:val="single" w:color="000000" w:sz="4" w:space="0"/>
            </w:tcBorders>
            <w:vAlign w:val="top"/>
          </w:tcPr>
          <w:p w14:paraId="1F7D2B42">
            <w:pPr>
              <w:pStyle w:val="6"/>
              <w:spacing w:before="138" w:line="184" w:lineRule="auto"/>
              <w:ind w:left="415"/>
              <w:rPr>
                <w:sz w:val="17"/>
                <w:szCs w:val="17"/>
              </w:rPr>
            </w:pPr>
            <w:r>
              <w:rPr>
                <w:spacing w:val="-2"/>
                <w:sz w:val="17"/>
                <w:szCs w:val="17"/>
              </w:rPr>
              <w:t>3264.1</w:t>
            </w:r>
          </w:p>
        </w:tc>
        <w:tc>
          <w:tcPr>
            <w:tcW w:w="1340" w:type="dxa"/>
            <w:tcBorders>
              <w:left w:val="single" w:color="000000" w:sz="4" w:space="0"/>
              <w:right w:val="single" w:color="000000" w:sz="4" w:space="0"/>
            </w:tcBorders>
            <w:vAlign w:val="top"/>
          </w:tcPr>
          <w:p w14:paraId="42A93832">
            <w:pPr>
              <w:pStyle w:val="6"/>
              <w:spacing w:before="138" w:line="184" w:lineRule="auto"/>
              <w:ind w:left="405"/>
              <w:rPr>
                <w:sz w:val="17"/>
                <w:szCs w:val="17"/>
              </w:rPr>
            </w:pPr>
            <w:r>
              <w:rPr>
                <w:spacing w:val="-2"/>
                <w:sz w:val="17"/>
                <w:szCs w:val="17"/>
              </w:rPr>
              <w:t>3169.1</w:t>
            </w:r>
          </w:p>
        </w:tc>
        <w:tc>
          <w:tcPr>
            <w:tcW w:w="1350" w:type="dxa"/>
            <w:tcBorders>
              <w:left w:val="single" w:color="000000" w:sz="4" w:space="0"/>
              <w:right w:val="single" w:color="000000" w:sz="4" w:space="0"/>
            </w:tcBorders>
            <w:vAlign w:val="top"/>
          </w:tcPr>
          <w:p w14:paraId="4AB29A98">
            <w:pPr>
              <w:pStyle w:val="6"/>
              <w:spacing w:before="139" w:line="183" w:lineRule="auto"/>
              <w:ind w:left="415"/>
              <w:rPr>
                <w:sz w:val="17"/>
                <w:szCs w:val="17"/>
              </w:rPr>
            </w:pPr>
            <w:r>
              <w:rPr>
                <w:spacing w:val="-2"/>
                <w:sz w:val="17"/>
                <w:szCs w:val="17"/>
              </w:rPr>
              <w:t>3079.8</w:t>
            </w:r>
          </w:p>
        </w:tc>
        <w:tc>
          <w:tcPr>
            <w:tcW w:w="1340" w:type="dxa"/>
            <w:tcBorders>
              <w:left w:val="single" w:color="000000" w:sz="4" w:space="0"/>
            </w:tcBorders>
            <w:vAlign w:val="top"/>
          </w:tcPr>
          <w:p w14:paraId="336E4B40">
            <w:pPr>
              <w:pStyle w:val="6"/>
              <w:spacing w:before="169" w:line="183" w:lineRule="auto"/>
              <w:ind w:left="405"/>
              <w:rPr>
                <w:sz w:val="17"/>
                <w:szCs w:val="17"/>
              </w:rPr>
            </w:pPr>
            <w:r>
              <w:rPr>
                <w:spacing w:val="-2"/>
                <w:sz w:val="17"/>
                <w:szCs w:val="17"/>
              </w:rPr>
              <w:t>2979.6</w:t>
            </w:r>
          </w:p>
        </w:tc>
      </w:tr>
      <w:tr w14:paraId="42E5B7E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80" w:hRule="atLeast"/>
        </w:trPr>
        <w:tc>
          <w:tcPr>
            <w:tcW w:w="1300" w:type="dxa"/>
            <w:tcBorders>
              <w:right w:val="single" w:color="000000" w:sz="4" w:space="0"/>
            </w:tcBorders>
            <w:vAlign w:val="top"/>
          </w:tcPr>
          <w:p w14:paraId="2712FF09">
            <w:pPr>
              <w:pStyle w:val="6"/>
              <w:spacing w:before="134" w:line="183" w:lineRule="auto"/>
              <w:ind w:left="519"/>
              <w:rPr>
                <w:sz w:val="17"/>
                <w:szCs w:val="17"/>
              </w:rPr>
            </w:pPr>
            <w:r>
              <w:rPr>
                <w:spacing w:val="-3"/>
                <w:sz w:val="17"/>
                <w:szCs w:val="17"/>
              </w:rPr>
              <w:t>500</w:t>
            </w:r>
          </w:p>
        </w:tc>
        <w:tc>
          <w:tcPr>
            <w:tcW w:w="1340" w:type="dxa"/>
            <w:tcBorders>
              <w:left w:val="single" w:color="000000" w:sz="4" w:space="0"/>
              <w:right w:val="single" w:color="000000" w:sz="4" w:space="0"/>
            </w:tcBorders>
            <w:vAlign w:val="top"/>
          </w:tcPr>
          <w:p w14:paraId="5AC7708B">
            <w:pPr>
              <w:pStyle w:val="6"/>
              <w:spacing w:before="143" w:line="184" w:lineRule="auto"/>
              <w:ind w:left="365"/>
              <w:rPr>
                <w:sz w:val="17"/>
                <w:szCs w:val="17"/>
              </w:rPr>
            </w:pPr>
            <w:r>
              <w:rPr>
                <w:spacing w:val="-2"/>
                <w:sz w:val="17"/>
                <w:szCs w:val="17"/>
              </w:rPr>
              <w:t>3410.20</w:t>
            </w:r>
          </w:p>
        </w:tc>
        <w:tc>
          <w:tcPr>
            <w:tcW w:w="1350" w:type="dxa"/>
            <w:tcBorders>
              <w:left w:val="single" w:color="000000" w:sz="4" w:space="0"/>
              <w:right w:val="single" w:color="000000" w:sz="4" w:space="0"/>
            </w:tcBorders>
            <w:vAlign w:val="top"/>
          </w:tcPr>
          <w:p w14:paraId="4EA11344">
            <w:pPr>
              <w:pStyle w:val="6"/>
              <w:spacing w:before="143" w:line="184" w:lineRule="auto"/>
              <w:ind w:left="415"/>
              <w:rPr>
                <w:sz w:val="17"/>
                <w:szCs w:val="17"/>
              </w:rPr>
            </w:pPr>
            <w:r>
              <w:rPr>
                <w:spacing w:val="-2"/>
                <w:sz w:val="17"/>
                <w:szCs w:val="17"/>
              </w:rPr>
              <w:t>3374.1</w:t>
            </w:r>
          </w:p>
        </w:tc>
        <w:tc>
          <w:tcPr>
            <w:tcW w:w="1350" w:type="dxa"/>
            <w:tcBorders>
              <w:left w:val="single" w:color="000000" w:sz="4" w:space="0"/>
              <w:right w:val="single" w:color="000000" w:sz="4" w:space="0"/>
            </w:tcBorders>
            <w:vAlign w:val="top"/>
          </w:tcPr>
          <w:p w14:paraId="06ED3A50">
            <w:pPr>
              <w:pStyle w:val="6"/>
              <w:spacing w:before="144" w:line="183" w:lineRule="auto"/>
              <w:ind w:left="415"/>
              <w:rPr>
                <w:sz w:val="17"/>
                <w:szCs w:val="17"/>
              </w:rPr>
            </w:pPr>
            <w:r>
              <w:rPr>
                <w:spacing w:val="-2"/>
                <w:sz w:val="17"/>
                <w:szCs w:val="17"/>
              </w:rPr>
              <w:t>3323.0</w:t>
            </w:r>
          </w:p>
        </w:tc>
        <w:tc>
          <w:tcPr>
            <w:tcW w:w="1340" w:type="dxa"/>
            <w:tcBorders>
              <w:left w:val="single" w:color="000000" w:sz="4" w:space="0"/>
              <w:right w:val="single" w:color="000000" w:sz="4" w:space="0"/>
            </w:tcBorders>
            <w:vAlign w:val="top"/>
          </w:tcPr>
          <w:p w14:paraId="6A6B786D">
            <w:pPr>
              <w:pStyle w:val="6"/>
              <w:spacing w:before="144" w:line="183" w:lineRule="auto"/>
              <w:ind w:left="405"/>
              <w:rPr>
                <w:sz w:val="17"/>
                <w:szCs w:val="17"/>
              </w:rPr>
            </w:pPr>
            <w:r>
              <w:rPr>
                <w:spacing w:val="-2"/>
                <w:sz w:val="17"/>
                <w:szCs w:val="17"/>
              </w:rPr>
              <w:t>3240.2</w:t>
            </w:r>
          </w:p>
        </w:tc>
        <w:tc>
          <w:tcPr>
            <w:tcW w:w="1350" w:type="dxa"/>
            <w:tcBorders>
              <w:left w:val="single" w:color="000000" w:sz="4" w:space="0"/>
              <w:right w:val="single" w:color="000000" w:sz="4" w:space="0"/>
            </w:tcBorders>
            <w:vAlign w:val="top"/>
          </w:tcPr>
          <w:p w14:paraId="560FEF8B">
            <w:pPr>
              <w:pStyle w:val="6"/>
              <w:spacing w:before="143" w:line="184" w:lineRule="auto"/>
              <w:ind w:left="415"/>
              <w:rPr>
                <w:sz w:val="17"/>
                <w:szCs w:val="17"/>
              </w:rPr>
            </w:pPr>
            <w:r>
              <w:rPr>
                <w:spacing w:val="-2"/>
                <w:sz w:val="17"/>
                <w:szCs w:val="17"/>
              </w:rPr>
              <w:t>3165.0</w:t>
            </w:r>
          </w:p>
        </w:tc>
        <w:tc>
          <w:tcPr>
            <w:tcW w:w="1340" w:type="dxa"/>
            <w:tcBorders>
              <w:left w:val="single" w:color="000000" w:sz="4" w:space="0"/>
            </w:tcBorders>
            <w:vAlign w:val="top"/>
          </w:tcPr>
          <w:p w14:paraId="4DAC48F4">
            <w:pPr>
              <w:pStyle w:val="6"/>
              <w:spacing w:before="154" w:line="183" w:lineRule="auto"/>
              <w:ind w:left="405"/>
              <w:rPr>
                <w:sz w:val="17"/>
                <w:szCs w:val="17"/>
              </w:rPr>
            </w:pPr>
            <w:r>
              <w:rPr>
                <w:spacing w:val="-2"/>
                <w:sz w:val="17"/>
                <w:szCs w:val="17"/>
              </w:rPr>
              <w:t>3083.9</w:t>
            </w:r>
          </w:p>
        </w:tc>
      </w:tr>
      <w:tr w14:paraId="3BFA6E0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85" w:hRule="atLeast"/>
        </w:trPr>
        <w:tc>
          <w:tcPr>
            <w:tcW w:w="1300" w:type="dxa"/>
            <w:tcBorders>
              <w:right w:val="single" w:color="000000" w:sz="4" w:space="0"/>
            </w:tcBorders>
            <w:vAlign w:val="top"/>
          </w:tcPr>
          <w:p w14:paraId="463CB344">
            <w:pPr>
              <w:pStyle w:val="6"/>
              <w:spacing w:before="154" w:line="183" w:lineRule="auto"/>
              <w:ind w:left="519"/>
              <w:rPr>
                <w:sz w:val="17"/>
                <w:szCs w:val="17"/>
              </w:rPr>
            </w:pPr>
            <w:r>
              <w:rPr>
                <w:spacing w:val="-3"/>
                <w:sz w:val="17"/>
                <w:szCs w:val="17"/>
              </w:rPr>
              <w:t>520</w:t>
            </w:r>
          </w:p>
        </w:tc>
        <w:tc>
          <w:tcPr>
            <w:tcW w:w="1340" w:type="dxa"/>
            <w:tcBorders>
              <w:left w:val="single" w:color="000000" w:sz="4" w:space="0"/>
              <w:right w:val="single" w:color="000000" w:sz="4" w:space="0"/>
            </w:tcBorders>
            <w:vAlign w:val="top"/>
          </w:tcPr>
          <w:p w14:paraId="3AAC2C02">
            <w:pPr>
              <w:pStyle w:val="6"/>
              <w:spacing w:before="154" w:line="183" w:lineRule="auto"/>
              <w:ind w:left="365"/>
              <w:rPr>
                <w:sz w:val="17"/>
                <w:szCs w:val="17"/>
              </w:rPr>
            </w:pPr>
            <w:r>
              <w:rPr>
                <w:spacing w:val="-2"/>
                <w:sz w:val="17"/>
                <w:szCs w:val="17"/>
              </w:rPr>
              <w:t>3458.60</w:t>
            </w:r>
          </w:p>
        </w:tc>
        <w:tc>
          <w:tcPr>
            <w:tcW w:w="1350" w:type="dxa"/>
            <w:tcBorders>
              <w:left w:val="single" w:color="000000" w:sz="4" w:space="0"/>
              <w:right w:val="single" w:color="000000" w:sz="4" w:space="0"/>
            </w:tcBorders>
            <w:vAlign w:val="top"/>
          </w:tcPr>
          <w:p w14:paraId="5766415D">
            <w:pPr>
              <w:pStyle w:val="6"/>
              <w:spacing w:before="153" w:line="184" w:lineRule="auto"/>
              <w:ind w:left="415"/>
              <w:rPr>
                <w:sz w:val="17"/>
                <w:szCs w:val="17"/>
              </w:rPr>
            </w:pPr>
            <w:r>
              <w:rPr>
                <w:spacing w:val="-2"/>
                <w:sz w:val="17"/>
                <w:szCs w:val="17"/>
              </w:rPr>
              <w:t>3425.1</w:t>
            </w:r>
          </w:p>
        </w:tc>
        <w:tc>
          <w:tcPr>
            <w:tcW w:w="1350" w:type="dxa"/>
            <w:tcBorders>
              <w:left w:val="single" w:color="000000" w:sz="4" w:space="0"/>
              <w:right w:val="single" w:color="000000" w:sz="4" w:space="0"/>
            </w:tcBorders>
            <w:vAlign w:val="top"/>
          </w:tcPr>
          <w:p w14:paraId="1AE7169E">
            <w:pPr>
              <w:pStyle w:val="6"/>
              <w:spacing w:before="124" w:line="183" w:lineRule="auto"/>
              <w:ind w:left="415"/>
              <w:rPr>
                <w:sz w:val="17"/>
                <w:szCs w:val="17"/>
              </w:rPr>
            </w:pPr>
            <w:r>
              <w:rPr>
                <w:spacing w:val="-2"/>
                <w:sz w:val="17"/>
                <w:szCs w:val="17"/>
              </w:rPr>
              <w:t>3378.4</w:t>
            </w:r>
          </w:p>
        </w:tc>
        <w:tc>
          <w:tcPr>
            <w:tcW w:w="1340" w:type="dxa"/>
            <w:tcBorders>
              <w:left w:val="single" w:color="000000" w:sz="4" w:space="0"/>
              <w:right w:val="single" w:color="000000" w:sz="4" w:space="0"/>
            </w:tcBorders>
            <w:vAlign w:val="top"/>
          </w:tcPr>
          <w:p w14:paraId="2B60DCB0">
            <w:pPr>
              <w:pStyle w:val="6"/>
              <w:spacing w:before="124" w:line="183" w:lineRule="auto"/>
              <w:ind w:left="405"/>
              <w:rPr>
                <w:sz w:val="17"/>
                <w:szCs w:val="17"/>
              </w:rPr>
            </w:pPr>
            <w:r>
              <w:rPr>
                <w:spacing w:val="-2"/>
                <w:sz w:val="17"/>
                <w:szCs w:val="17"/>
              </w:rPr>
              <w:t>3303.7</w:t>
            </w:r>
          </w:p>
        </w:tc>
        <w:tc>
          <w:tcPr>
            <w:tcW w:w="1350" w:type="dxa"/>
            <w:tcBorders>
              <w:left w:val="single" w:color="000000" w:sz="4" w:space="0"/>
              <w:right w:val="single" w:color="000000" w:sz="4" w:space="0"/>
            </w:tcBorders>
            <w:vAlign w:val="top"/>
          </w:tcPr>
          <w:p w14:paraId="5AE67D7D">
            <w:pPr>
              <w:pStyle w:val="6"/>
              <w:spacing w:before="124" w:line="183" w:lineRule="auto"/>
              <w:ind w:left="415"/>
              <w:rPr>
                <w:sz w:val="17"/>
                <w:szCs w:val="17"/>
              </w:rPr>
            </w:pPr>
            <w:r>
              <w:rPr>
                <w:spacing w:val="-2"/>
                <w:sz w:val="17"/>
                <w:szCs w:val="17"/>
              </w:rPr>
              <w:t>3237.0</w:t>
            </w:r>
          </w:p>
        </w:tc>
        <w:tc>
          <w:tcPr>
            <w:tcW w:w="1340" w:type="dxa"/>
            <w:tcBorders>
              <w:left w:val="single" w:color="000000" w:sz="4" w:space="0"/>
            </w:tcBorders>
            <w:vAlign w:val="top"/>
          </w:tcPr>
          <w:p w14:paraId="4A8212FF">
            <w:pPr>
              <w:pStyle w:val="6"/>
              <w:spacing w:before="133" w:line="184" w:lineRule="auto"/>
              <w:ind w:left="405"/>
              <w:rPr>
                <w:sz w:val="17"/>
                <w:szCs w:val="17"/>
              </w:rPr>
            </w:pPr>
            <w:r>
              <w:rPr>
                <w:spacing w:val="-2"/>
                <w:sz w:val="17"/>
                <w:szCs w:val="17"/>
              </w:rPr>
              <w:t>3166.1</w:t>
            </w:r>
          </w:p>
        </w:tc>
      </w:tr>
      <w:tr w14:paraId="3DE09D8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89" w:hRule="atLeast"/>
        </w:trPr>
        <w:tc>
          <w:tcPr>
            <w:tcW w:w="1300" w:type="dxa"/>
            <w:tcBorders>
              <w:right w:val="single" w:color="000000" w:sz="4" w:space="0"/>
            </w:tcBorders>
            <w:vAlign w:val="top"/>
          </w:tcPr>
          <w:p w14:paraId="300CB2CE">
            <w:pPr>
              <w:pStyle w:val="6"/>
              <w:spacing w:before="149" w:line="183" w:lineRule="auto"/>
              <w:ind w:left="519"/>
              <w:rPr>
                <w:sz w:val="17"/>
                <w:szCs w:val="17"/>
              </w:rPr>
            </w:pPr>
            <w:r>
              <w:rPr>
                <w:spacing w:val="-3"/>
                <w:sz w:val="17"/>
                <w:szCs w:val="17"/>
              </w:rPr>
              <w:t>540</w:t>
            </w:r>
          </w:p>
        </w:tc>
        <w:tc>
          <w:tcPr>
            <w:tcW w:w="1340" w:type="dxa"/>
            <w:tcBorders>
              <w:left w:val="single" w:color="000000" w:sz="4" w:space="0"/>
              <w:right w:val="single" w:color="000000" w:sz="4" w:space="0"/>
            </w:tcBorders>
            <w:vAlign w:val="top"/>
          </w:tcPr>
          <w:p w14:paraId="280E72F9">
            <w:pPr>
              <w:pStyle w:val="6"/>
              <w:spacing w:before="129" w:line="183" w:lineRule="auto"/>
              <w:ind w:left="365"/>
              <w:rPr>
                <w:sz w:val="17"/>
                <w:szCs w:val="17"/>
              </w:rPr>
            </w:pPr>
            <w:r>
              <w:rPr>
                <w:spacing w:val="-2"/>
                <w:sz w:val="17"/>
                <w:szCs w:val="17"/>
              </w:rPr>
              <w:t>3506.40</w:t>
            </w:r>
          </w:p>
        </w:tc>
        <w:tc>
          <w:tcPr>
            <w:tcW w:w="1350" w:type="dxa"/>
            <w:tcBorders>
              <w:left w:val="single" w:color="000000" w:sz="4" w:space="0"/>
              <w:right w:val="single" w:color="000000" w:sz="4" w:space="0"/>
            </w:tcBorders>
            <w:vAlign w:val="top"/>
          </w:tcPr>
          <w:p w14:paraId="614F9B0F">
            <w:pPr>
              <w:pStyle w:val="6"/>
              <w:spacing w:before="129" w:line="183" w:lineRule="auto"/>
              <w:ind w:left="415"/>
              <w:rPr>
                <w:sz w:val="17"/>
                <w:szCs w:val="17"/>
              </w:rPr>
            </w:pPr>
            <w:r>
              <w:rPr>
                <w:spacing w:val="-2"/>
                <w:sz w:val="17"/>
                <w:szCs w:val="17"/>
              </w:rPr>
              <w:t>3475.4</w:t>
            </w:r>
          </w:p>
        </w:tc>
        <w:tc>
          <w:tcPr>
            <w:tcW w:w="1350" w:type="dxa"/>
            <w:tcBorders>
              <w:left w:val="single" w:color="000000" w:sz="4" w:space="0"/>
              <w:right w:val="single" w:color="000000" w:sz="4" w:space="0"/>
            </w:tcBorders>
            <w:vAlign w:val="top"/>
          </w:tcPr>
          <w:p w14:paraId="7ACBBE2F">
            <w:pPr>
              <w:pStyle w:val="6"/>
              <w:spacing w:before="129" w:line="183" w:lineRule="auto"/>
              <w:ind w:left="415"/>
              <w:rPr>
                <w:sz w:val="17"/>
                <w:szCs w:val="17"/>
              </w:rPr>
            </w:pPr>
            <w:r>
              <w:rPr>
                <w:spacing w:val="-2"/>
                <w:sz w:val="17"/>
                <w:szCs w:val="17"/>
              </w:rPr>
              <w:t>3432.5</w:t>
            </w:r>
          </w:p>
        </w:tc>
        <w:tc>
          <w:tcPr>
            <w:tcW w:w="1340" w:type="dxa"/>
            <w:tcBorders>
              <w:left w:val="single" w:color="000000" w:sz="4" w:space="0"/>
              <w:right w:val="single" w:color="000000" w:sz="4" w:space="0"/>
            </w:tcBorders>
            <w:vAlign w:val="top"/>
          </w:tcPr>
          <w:p w14:paraId="566EF7D6">
            <w:pPr>
              <w:pStyle w:val="6"/>
              <w:spacing w:before="129" w:line="183" w:lineRule="auto"/>
              <w:ind w:left="405"/>
              <w:rPr>
                <w:sz w:val="17"/>
                <w:szCs w:val="17"/>
              </w:rPr>
            </w:pPr>
            <w:r>
              <w:rPr>
                <w:spacing w:val="-2"/>
                <w:sz w:val="17"/>
                <w:szCs w:val="17"/>
              </w:rPr>
              <w:t>3364.6</w:t>
            </w:r>
          </w:p>
        </w:tc>
        <w:tc>
          <w:tcPr>
            <w:tcW w:w="1350" w:type="dxa"/>
            <w:tcBorders>
              <w:left w:val="single" w:color="000000" w:sz="4" w:space="0"/>
              <w:right w:val="single" w:color="000000" w:sz="4" w:space="0"/>
            </w:tcBorders>
            <w:vAlign w:val="top"/>
          </w:tcPr>
          <w:p w14:paraId="64AD5084">
            <w:pPr>
              <w:pStyle w:val="6"/>
              <w:spacing w:before="129" w:line="183" w:lineRule="auto"/>
              <w:ind w:left="415"/>
              <w:rPr>
                <w:sz w:val="17"/>
                <w:szCs w:val="17"/>
              </w:rPr>
            </w:pPr>
            <w:r>
              <w:rPr>
                <w:spacing w:val="-2"/>
                <w:sz w:val="17"/>
                <w:szCs w:val="17"/>
              </w:rPr>
              <w:t>3304.7</w:t>
            </w:r>
          </w:p>
        </w:tc>
        <w:tc>
          <w:tcPr>
            <w:tcW w:w="1340" w:type="dxa"/>
            <w:tcBorders>
              <w:left w:val="single" w:color="000000" w:sz="4" w:space="0"/>
            </w:tcBorders>
            <w:vAlign w:val="top"/>
          </w:tcPr>
          <w:p w14:paraId="3397417B">
            <w:pPr>
              <w:pStyle w:val="6"/>
              <w:spacing w:before="139" w:line="184" w:lineRule="auto"/>
              <w:ind w:left="405"/>
              <w:rPr>
                <w:sz w:val="17"/>
                <w:szCs w:val="17"/>
              </w:rPr>
            </w:pPr>
            <w:r>
              <w:rPr>
                <w:spacing w:val="-2"/>
                <w:sz w:val="17"/>
                <w:szCs w:val="17"/>
              </w:rPr>
              <w:t>3241.7</w:t>
            </w:r>
          </w:p>
        </w:tc>
      </w:tr>
      <w:tr w14:paraId="63283DE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85" w:hRule="atLeast"/>
        </w:trPr>
        <w:tc>
          <w:tcPr>
            <w:tcW w:w="1300" w:type="dxa"/>
            <w:tcBorders>
              <w:right w:val="single" w:color="000000" w:sz="4" w:space="0"/>
            </w:tcBorders>
            <w:vAlign w:val="top"/>
          </w:tcPr>
          <w:p w14:paraId="4931E53A">
            <w:pPr>
              <w:pStyle w:val="6"/>
              <w:spacing w:before="150" w:line="183" w:lineRule="auto"/>
              <w:ind w:left="519"/>
              <w:rPr>
                <w:sz w:val="17"/>
                <w:szCs w:val="17"/>
              </w:rPr>
            </w:pPr>
            <w:r>
              <w:rPr>
                <w:spacing w:val="-3"/>
                <w:sz w:val="17"/>
                <w:szCs w:val="17"/>
              </w:rPr>
              <w:t>550</w:t>
            </w:r>
          </w:p>
        </w:tc>
        <w:tc>
          <w:tcPr>
            <w:tcW w:w="1340" w:type="dxa"/>
            <w:tcBorders>
              <w:left w:val="single" w:color="000000" w:sz="4" w:space="0"/>
              <w:right w:val="single" w:color="000000" w:sz="4" w:space="0"/>
            </w:tcBorders>
            <w:vAlign w:val="top"/>
          </w:tcPr>
          <w:p w14:paraId="0B4B4021">
            <w:pPr>
              <w:pStyle w:val="6"/>
              <w:spacing w:before="140" w:line="183" w:lineRule="auto"/>
              <w:ind w:left="365"/>
              <w:rPr>
                <w:sz w:val="17"/>
                <w:szCs w:val="17"/>
              </w:rPr>
            </w:pPr>
            <w:r>
              <w:rPr>
                <w:spacing w:val="-2"/>
                <w:sz w:val="17"/>
                <w:szCs w:val="17"/>
              </w:rPr>
              <w:t>3530.20</w:t>
            </w:r>
          </w:p>
        </w:tc>
        <w:tc>
          <w:tcPr>
            <w:tcW w:w="1350" w:type="dxa"/>
            <w:tcBorders>
              <w:left w:val="single" w:color="000000" w:sz="4" w:space="0"/>
              <w:right w:val="single" w:color="000000" w:sz="4" w:space="0"/>
            </w:tcBorders>
            <w:vAlign w:val="top"/>
          </w:tcPr>
          <w:p w14:paraId="25CDE1CC">
            <w:pPr>
              <w:pStyle w:val="6"/>
              <w:spacing w:before="160" w:line="183" w:lineRule="auto"/>
              <w:ind w:left="415"/>
              <w:rPr>
                <w:sz w:val="17"/>
                <w:szCs w:val="17"/>
              </w:rPr>
            </w:pPr>
            <w:r>
              <w:rPr>
                <w:spacing w:val="-2"/>
                <w:sz w:val="17"/>
                <w:szCs w:val="17"/>
              </w:rPr>
              <w:t>3500.4</w:t>
            </w:r>
          </w:p>
        </w:tc>
        <w:tc>
          <w:tcPr>
            <w:tcW w:w="1350" w:type="dxa"/>
            <w:tcBorders>
              <w:left w:val="single" w:color="000000" w:sz="4" w:space="0"/>
              <w:right w:val="single" w:color="000000" w:sz="4" w:space="0"/>
            </w:tcBorders>
            <w:vAlign w:val="top"/>
          </w:tcPr>
          <w:p w14:paraId="69207678">
            <w:pPr>
              <w:pStyle w:val="6"/>
              <w:spacing w:before="140" w:line="183" w:lineRule="auto"/>
              <w:ind w:left="415"/>
              <w:rPr>
                <w:sz w:val="17"/>
                <w:szCs w:val="17"/>
              </w:rPr>
            </w:pPr>
            <w:r>
              <w:rPr>
                <w:spacing w:val="-2"/>
                <w:sz w:val="17"/>
                <w:szCs w:val="17"/>
              </w:rPr>
              <w:t>3459.2</w:t>
            </w:r>
          </w:p>
        </w:tc>
        <w:tc>
          <w:tcPr>
            <w:tcW w:w="1340" w:type="dxa"/>
            <w:tcBorders>
              <w:left w:val="single" w:color="000000" w:sz="4" w:space="0"/>
              <w:right w:val="single" w:color="000000" w:sz="4" w:space="0"/>
            </w:tcBorders>
            <w:vAlign w:val="top"/>
          </w:tcPr>
          <w:p w14:paraId="3BD5CEAF">
            <w:pPr>
              <w:pStyle w:val="6"/>
              <w:spacing w:before="140" w:line="183" w:lineRule="auto"/>
              <w:ind w:left="405"/>
              <w:rPr>
                <w:sz w:val="17"/>
                <w:szCs w:val="17"/>
              </w:rPr>
            </w:pPr>
            <w:r>
              <w:rPr>
                <w:spacing w:val="-2"/>
                <w:sz w:val="17"/>
                <w:szCs w:val="17"/>
              </w:rPr>
              <w:t>3394.3</w:t>
            </w:r>
          </w:p>
        </w:tc>
        <w:tc>
          <w:tcPr>
            <w:tcW w:w="1350" w:type="dxa"/>
            <w:tcBorders>
              <w:left w:val="single" w:color="000000" w:sz="4" w:space="0"/>
              <w:right w:val="single" w:color="000000" w:sz="4" w:space="0"/>
            </w:tcBorders>
            <w:vAlign w:val="top"/>
          </w:tcPr>
          <w:p w14:paraId="6C5C8F54">
            <w:pPr>
              <w:pStyle w:val="6"/>
              <w:spacing w:before="140" w:line="183" w:lineRule="auto"/>
              <w:ind w:left="415"/>
              <w:rPr>
                <w:sz w:val="17"/>
                <w:szCs w:val="17"/>
              </w:rPr>
            </w:pPr>
            <w:r>
              <w:rPr>
                <w:spacing w:val="-2"/>
                <w:sz w:val="17"/>
                <w:szCs w:val="17"/>
              </w:rPr>
              <w:t>3337.3</w:t>
            </w:r>
          </w:p>
        </w:tc>
        <w:tc>
          <w:tcPr>
            <w:tcW w:w="1340" w:type="dxa"/>
            <w:tcBorders>
              <w:left w:val="single" w:color="000000" w:sz="4" w:space="0"/>
            </w:tcBorders>
            <w:vAlign w:val="top"/>
          </w:tcPr>
          <w:p w14:paraId="46C35CCB">
            <w:pPr>
              <w:pStyle w:val="6"/>
              <w:spacing w:before="150" w:line="183" w:lineRule="auto"/>
              <w:ind w:left="405"/>
              <w:rPr>
                <w:sz w:val="17"/>
                <w:szCs w:val="17"/>
              </w:rPr>
            </w:pPr>
            <w:r>
              <w:rPr>
                <w:spacing w:val="-2"/>
                <w:sz w:val="17"/>
                <w:szCs w:val="17"/>
              </w:rPr>
              <w:t>3277.7</w:t>
            </w:r>
          </w:p>
        </w:tc>
      </w:tr>
      <w:tr w14:paraId="0ECEBEF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9" w:hRule="atLeast"/>
        </w:trPr>
        <w:tc>
          <w:tcPr>
            <w:tcW w:w="1300" w:type="dxa"/>
            <w:tcBorders>
              <w:right w:val="single" w:color="000000" w:sz="4" w:space="0"/>
            </w:tcBorders>
            <w:vAlign w:val="top"/>
          </w:tcPr>
          <w:p w14:paraId="6F7760D5">
            <w:pPr>
              <w:pStyle w:val="6"/>
              <w:spacing w:before="165" w:line="183" w:lineRule="auto"/>
              <w:ind w:left="519"/>
              <w:rPr>
                <w:sz w:val="17"/>
                <w:szCs w:val="17"/>
              </w:rPr>
            </w:pPr>
            <w:r>
              <w:rPr>
                <w:spacing w:val="-3"/>
                <w:sz w:val="17"/>
                <w:szCs w:val="17"/>
              </w:rPr>
              <w:t>560</w:t>
            </w:r>
          </w:p>
        </w:tc>
        <w:tc>
          <w:tcPr>
            <w:tcW w:w="1340" w:type="dxa"/>
            <w:tcBorders>
              <w:left w:val="single" w:color="000000" w:sz="4" w:space="0"/>
              <w:right w:val="single" w:color="000000" w:sz="4" w:space="0"/>
            </w:tcBorders>
            <w:vAlign w:val="top"/>
          </w:tcPr>
          <w:p w14:paraId="72E06F1A">
            <w:pPr>
              <w:pStyle w:val="6"/>
              <w:spacing w:before="164" w:line="184" w:lineRule="auto"/>
              <w:ind w:left="365"/>
              <w:rPr>
                <w:sz w:val="17"/>
                <w:szCs w:val="17"/>
              </w:rPr>
            </w:pPr>
            <w:r>
              <w:rPr>
                <w:spacing w:val="-2"/>
                <w:sz w:val="17"/>
                <w:szCs w:val="17"/>
              </w:rPr>
              <w:t>3554.10</w:t>
            </w:r>
          </w:p>
        </w:tc>
        <w:tc>
          <w:tcPr>
            <w:tcW w:w="1350" w:type="dxa"/>
            <w:tcBorders>
              <w:left w:val="single" w:color="000000" w:sz="4" w:space="0"/>
              <w:right w:val="single" w:color="000000" w:sz="4" w:space="0"/>
            </w:tcBorders>
            <w:vAlign w:val="top"/>
          </w:tcPr>
          <w:p w14:paraId="29C895AE">
            <w:pPr>
              <w:pStyle w:val="6"/>
              <w:spacing w:before="165" w:line="183" w:lineRule="auto"/>
              <w:ind w:left="415"/>
              <w:rPr>
                <w:sz w:val="17"/>
                <w:szCs w:val="17"/>
              </w:rPr>
            </w:pPr>
            <w:r>
              <w:rPr>
                <w:spacing w:val="-2"/>
                <w:sz w:val="17"/>
                <w:szCs w:val="17"/>
              </w:rPr>
              <w:t>3525.4</w:t>
            </w:r>
          </w:p>
        </w:tc>
        <w:tc>
          <w:tcPr>
            <w:tcW w:w="1350" w:type="dxa"/>
            <w:tcBorders>
              <w:left w:val="single" w:color="000000" w:sz="4" w:space="0"/>
              <w:right w:val="single" w:color="000000" w:sz="4" w:space="0"/>
            </w:tcBorders>
            <w:vAlign w:val="top"/>
          </w:tcPr>
          <w:p w14:paraId="3E9BEE10">
            <w:pPr>
              <w:pStyle w:val="6"/>
              <w:spacing w:before="165" w:line="183" w:lineRule="auto"/>
              <w:ind w:left="415"/>
              <w:rPr>
                <w:sz w:val="17"/>
                <w:szCs w:val="17"/>
              </w:rPr>
            </w:pPr>
            <w:r>
              <w:rPr>
                <w:spacing w:val="-2"/>
                <w:sz w:val="17"/>
                <w:szCs w:val="17"/>
              </w:rPr>
              <w:t>3485.8</w:t>
            </w:r>
          </w:p>
        </w:tc>
        <w:tc>
          <w:tcPr>
            <w:tcW w:w="1340" w:type="dxa"/>
            <w:tcBorders>
              <w:left w:val="single" w:color="000000" w:sz="4" w:space="0"/>
              <w:right w:val="single" w:color="000000" w:sz="4" w:space="0"/>
            </w:tcBorders>
            <w:vAlign w:val="top"/>
          </w:tcPr>
          <w:p w14:paraId="57D430A7">
            <w:pPr>
              <w:pStyle w:val="6"/>
              <w:spacing w:before="125" w:line="183" w:lineRule="auto"/>
              <w:ind w:left="405"/>
              <w:rPr>
                <w:sz w:val="17"/>
                <w:szCs w:val="17"/>
              </w:rPr>
            </w:pPr>
            <w:r>
              <w:rPr>
                <w:spacing w:val="-2"/>
                <w:sz w:val="17"/>
                <w:szCs w:val="17"/>
              </w:rPr>
              <w:t>3423.6</w:t>
            </w:r>
          </w:p>
        </w:tc>
        <w:tc>
          <w:tcPr>
            <w:tcW w:w="1350" w:type="dxa"/>
            <w:tcBorders>
              <w:left w:val="single" w:color="000000" w:sz="4" w:space="0"/>
              <w:right w:val="single" w:color="000000" w:sz="4" w:space="0"/>
            </w:tcBorders>
            <w:vAlign w:val="top"/>
          </w:tcPr>
          <w:p w14:paraId="254AD6D9">
            <w:pPr>
              <w:pStyle w:val="6"/>
              <w:spacing w:before="125" w:line="183" w:lineRule="auto"/>
              <w:ind w:left="415"/>
              <w:rPr>
                <w:sz w:val="17"/>
                <w:szCs w:val="17"/>
              </w:rPr>
            </w:pPr>
            <w:r>
              <w:rPr>
                <w:spacing w:val="-2"/>
                <w:sz w:val="17"/>
                <w:szCs w:val="17"/>
              </w:rPr>
              <w:t>3369.2</w:t>
            </w:r>
          </w:p>
        </w:tc>
        <w:tc>
          <w:tcPr>
            <w:tcW w:w="1340" w:type="dxa"/>
            <w:tcBorders>
              <w:left w:val="single" w:color="000000" w:sz="4" w:space="0"/>
            </w:tcBorders>
            <w:vAlign w:val="top"/>
          </w:tcPr>
          <w:p w14:paraId="72CC6529">
            <w:pPr>
              <w:pStyle w:val="6"/>
              <w:spacing w:before="174" w:line="184" w:lineRule="auto"/>
              <w:ind w:left="405"/>
              <w:rPr>
                <w:sz w:val="17"/>
                <w:szCs w:val="17"/>
              </w:rPr>
            </w:pPr>
            <w:r>
              <w:rPr>
                <w:spacing w:val="-2"/>
                <w:sz w:val="17"/>
                <w:szCs w:val="17"/>
              </w:rPr>
              <w:t>3312.6</w:t>
            </w:r>
          </w:p>
        </w:tc>
      </w:tr>
      <w:tr w14:paraId="658F58D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85" w:hRule="atLeast"/>
        </w:trPr>
        <w:tc>
          <w:tcPr>
            <w:tcW w:w="1300" w:type="dxa"/>
            <w:tcBorders>
              <w:right w:val="single" w:color="000000" w:sz="4" w:space="0"/>
            </w:tcBorders>
            <w:vAlign w:val="top"/>
          </w:tcPr>
          <w:p w14:paraId="049A01CA">
            <w:pPr>
              <w:pStyle w:val="6"/>
              <w:spacing w:before="156" w:line="183" w:lineRule="auto"/>
              <w:ind w:left="519"/>
              <w:rPr>
                <w:sz w:val="17"/>
                <w:szCs w:val="17"/>
              </w:rPr>
            </w:pPr>
            <w:r>
              <w:rPr>
                <w:spacing w:val="-3"/>
                <w:sz w:val="17"/>
                <w:szCs w:val="17"/>
              </w:rPr>
              <w:t>580</w:t>
            </w:r>
          </w:p>
        </w:tc>
        <w:tc>
          <w:tcPr>
            <w:tcW w:w="1340" w:type="dxa"/>
            <w:tcBorders>
              <w:left w:val="single" w:color="000000" w:sz="4" w:space="0"/>
              <w:right w:val="single" w:color="000000" w:sz="4" w:space="0"/>
            </w:tcBorders>
            <w:vAlign w:val="top"/>
          </w:tcPr>
          <w:p w14:paraId="72DDA15D">
            <w:pPr>
              <w:pStyle w:val="6"/>
              <w:spacing w:before="125" w:line="184" w:lineRule="auto"/>
              <w:ind w:left="365"/>
              <w:rPr>
                <w:sz w:val="17"/>
                <w:szCs w:val="17"/>
              </w:rPr>
            </w:pPr>
            <w:r>
              <w:rPr>
                <w:spacing w:val="-2"/>
                <w:sz w:val="17"/>
                <w:szCs w:val="17"/>
              </w:rPr>
              <w:t>3601.60</w:t>
            </w:r>
          </w:p>
        </w:tc>
        <w:tc>
          <w:tcPr>
            <w:tcW w:w="1350" w:type="dxa"/>
            <w:tcBorders>
              <w:left w:val="single" w:color="000000" w:sz="4" w:space="0"/>
              <w:right w:val="single" w:color="000000" w:sz="4" w:space="0"/>
            </w:tcBorders>
            <w:vAlign w:val="top"/>
          </w:tcPr>
          <w:p w14:paraId="6414C09A">
            <w:pPr>
              <w:pStyle w:val="6"/>
              <w:spacing w:before="156" w:line="183" w:lineRule="auto"/>
              <w:ind w:left="415"/>
              <w:rPr>
                <w:sz w:val="17"/>
                <w:szCs w:val="17"/>
              </w:rPr>
            </w:pPr>
            <w:r>
              <w:rPr>
                <w:spacing w:val="-2"/>
                <w:sz w:val="17"/>
                <w:szCs w:val="17"/>
              </w:rPr>
              <w:t>3574.9</w:t>
            </w:r>
          </w:p>
        </w:tc>
        <w:tc>
          <w:tcPr>
            <w:tcW w:w="1350" w:type="dxa"/>
            <w:tcBorders>
              <w:left w:val="single" w:color="000000" w:sz="4" w:space="0"/>
              <w:right w:val="single" w:color="000000" w:sz="4" w:space="0"/>
            </w:tcBorders>
            <w:vAlign w:val="top"/>
          </w:tcPr>
          <w:p w14:paraId="58BCF457">
            <w:pPr>
              <w:pStyle w:val="6"/>
              <w:spacing w:before="156" w:line="183" w:lineRule="auto"/>
              <w:ind w:left="415"/>
              <w:rPr>
                <w:sz w:val="17"/>
                <w:szCs w:val="17"/>
              </w:rPr>
            </w:pPr>
            <w:r>
              <w:rPr>
                <w:spacing w:val="-2"/>
                <w:sz w:val="17"/>
                <w:szCs w:val="17"/>
              </w:rPr>
              <w:t>3538.2</w:t>
            </w:r>
          </w:p>
        </w:tc>
        <w:tc>
          <w:tcPr>
            <w:tcW w:w="1340" w:type="dxa"/>
            <w:tcBorders>
              <w:left w:val="single" w:color="000000" w:sz="4" w:space="0"/>
              <w:right w:val="single" w:color="000000" w:sz="4" w:space="0"/>
            </w:tcBorders>
            <w:vAlign w:val="top"/>
          </w:tcPr>
          <w:p w14:paraId="1990238F">
            <w:pPr>
              <w:pStyle w:val="6"/>
              <w:spacing w:before="126" w:line="183" w:lineRule="auto"/>
              <w:ind w:left="405"/>
              <w:rPr>
                <w:sz w:val="17"/>
                <w:szCs w:val="17"/>
              </w:rPr>
            </w:pPr>
            <w:r>
              <w:rPr>
                <w:spacing w:val="-2"/>
                <w:sz w:val="17"/>
                <w:szCs w:val="17"/>
              </w:rPr>
              <w:t>3480.9</w:t>
            </w:r>
          </w:p>
        </w:tc>
        <w:tc>
          <w:tcPr>
            <w:tcW w:w="1350" w:type="dxa"/>
            <w:tcBorders>
              <w:left w:val="single" w:color="000000" w:sz="4" w:space="0"/>
              <w:right w:val="single" w:color="000000" w:sz="4" w:space="0"/>
            </w:tcBorders>
            <w:vAlign w:val="top"/>
          </w:tcPr>
          <w:p w14:paraId="2D513905">
            <w:pPr>
              <w:pStyle w:val="6"/>
              <w:spacing w:before="155" w:line="184" w:lineRule="auto"/>
              <w:ind w:left="415"/>
              <w:rPr>
                <w:sz w:val="17"/>
                <w:szCs w:val="17"/>
              </w:rPr>
            </w:pPr>
            <w:r>
              <w:rPr>
                <w:spacing w:val="-2"/>
                <w:sz w:val="17"/>
                <w:szCs w:val="17"/>
              </w:rPr>
              <w:t>3431.2</w:t>
            </w:r>
          </w:p>
        </w:tc>
        <w:tc>
          <w:tcPr>
            <w:tcW w:w="1340" w:type="dxa"/>
            <w:tcBorders>
              <w:left w:val="single" w:color="000000" w:sz="4" w:space="0"/>
            </w:tcBorders>
            <w:vAlign w:val="top"/>
          </w:tcPr>
          <w:p w14:paraId="290C167E">
            <w:pPr>
              <w:pStyle w:val="6"/>
              <w:spacing w:before="136" w:line="183" w:lineRule="auto"/>
              <w:ind w:left="405"/>
              <w:rPr>
                <w:sz w:val="17"/>
                <w:szCs w:val="17"/>
              </w:rPr>
            </w:pPr>
            <w:r>
              <w:rPr>
                <w:spacing w:val="-2"/>
                <w:sz w:val="17"/>
                <w:szCs w:val="17"/>
              </w:rPr>
              <w:t>3379.8</w:t>
            </w:r>
          </w:p>
        </w:tc>
      </w:tr>
      <w:tr w14:paraId="473067C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55" w:hRule="atLeast"/>
        </w:trPr>
        <w:tc>
          <w:tcPr>
            <w:tcW w:w="1300" w:type="dxa"/>
            <w:tcBorders>
              <w:bottom w:val="single" w:color="000000" w:sz="4" w:space="0"/>
              <w:right w:val="single" w:color="000000" w:sz="4" w:space="0"/>
            </w:tcBorders>
            <w:vAlign w:val="top"/>
          </w:tcPr>
          <w:p w14:paraId="12EBBB02">
            <w:pPr>
              <w:pStyle w:val="6"/>
              <w:spacing w:before="151" w:line="183" w:lineRule="auto"/>
              <w:ind w:left="519"/>
              <w:rPr>
                <w:sz w:val="17"/>
                <w:szCs w:val="17"/>
              </w:rPr>
            </w:pPr>
            <w:r>
              <w:rPr>
                <w:spacing w:val="-2"/>
                <w:sz w:val="17"/>
                <w:szCs w:val="17"/>
              </w:rPr>
              <w:t>600</w:t>
            </w:r>
          </w:p>
        </w:tc>
        <w:tc>
          <w:tcPr>
            <w:tcW w:w="1340" w:type="dxa"/>
            <w:tcBorders>
              <w:left w:val="single" w:color="000000" w:sz="4" w:space="0"/>
              <w:bottom w:val="single" w:color="000000" w:sz="4" w:space="0"/>
              <w:right w:val="single" w:color="000000" w:sz="4" w:space="0"/>
            </w:tcBorders>
            <w:vAlign w:val="top"/>
          </w:tcPr>
          <w:p w14:paraId="0BAFBC1C">
            <w:pPr>
              <w:pStyle w:val="6"/>
              <w:spacing w:before="171" w:line="183" w:lineRule="auto"/>
              <w:ind w:left="365"/>
              <w:rPr>
                <w:sz w:val="17"/>
                <w:szCs w:val="17"/>
              </w:rPr>
            </w:pPr>
            <w:r>
              <w:rPr>
                <w:spacing w:val="-2"/>
                <w:sz w:val="17"/>
                <w:szCs w:val="17"/>
              </w:rPr>
              <w:t>3649.00</w:t>
            </w:r>
          </w:p>
        </w:tc>
        <w:tc>
          <w:tcPr>
            <w:tcW w:w="1350" w:type="dxa"/>
            <w:tcBorders>
              <w:left w:val="single" w:color="000000" w:sz="4" w:space="0"/>
              <w:bottom w:val="single" w:color="000000" w:sz="4" w:space="0"/>
              <w:right w:val="single" w:color="000000" w:sz="4" w:space="0"/>
            </w:tcBorders>
            <w:vAlign w:val="top"/>
          </w:tcPr>
          <w:p w14:paraId="55764E44">
            <w:pPr>
              <w:pStyle w:val="6"/>
              <w:spacing w:before="131" w:line="183" w:lineRule="auto"/>
              <w:ind w:left="415"/>
              <w:rPr>
                <w:sz w:val="17"/>
                <w:szCs w:val="17"/>
              </w:rPr>
            </w:pPr>
            <w:r>
              <w:rPr>
                <w:spacing w:val="-2"/>
                <w:sz w:val="17"/>
                <w:szCs w:val="17"/>
              </w:rPr>
              <w:t>3624.0</w:t>
            </w:r>
          </w:p>
        </w:tc>
        <w:tc>
          <w:tcPr>
            <w:tcW w:w="1350" w:type="dxa"/>
            <w:tcBorders>
              <w:left w:val="single" w:color="000000" w:sz="4" w:space="0"/>
              <w:bottom w:val="single" w:color="000000" w:sz="4" w:space="0"/>
              <w:right w:val="single" w:color="000000" w:sz="4" w:space="0"/>
            </w:tcBorders>
            <w:vAlign w:val="top"/>
          </w:tcPr>
          <w:p w14:paraId="2B1DCCEA">
            <w:pPr>
              <w:pStyle w:val="6"/>
              <w:spacing w:before="131" w:line="183" w:lineRule="auto"/>
              <w:ind w:left="415"/>
              <w:rPr>
                <w:sz w:val="17"/>
                <w:szCs w:val="17"/>
              </w:rPr>
            </w:pPr>
            <w:r>
              <w:rPr>
                <w:spacing w:val="-2"/>
                <w:sz w:val="17"/>
                <w:szCs w:val="17"/>
              </w:rPr>
              <w:t>3589.8</w:t>
            </w:r>
          </w:p>
        </w:tc>
        <w:tc>
          <w:tcPr>
            <w:tcW w:w="1340" w:type="dxa"/>
            <w:tcBorders>
              <w:left w:val="single" w:color="000000" w:sz="4" w:space="0"/>
              <w:bottom w:val="single" w:color="000000" w:sz="4" w:space="0"/>
              <w:right w:val="single" w:color="000000" w:sz="4" w:space="0"/>
            </w:tcBorders>
            <w:vAlign w:val="top"/>
          </w:tcPr>
          <w:p w14:paraId="3CD2DF8E">
            <w:pPr>
              <w:pStyle w:val="6"/>
              <w:spacing w:before="131" w:line="183" w:lineRule="auto"/>
              <w:ind w:left="405"/>
              <w:rPr>
                <w:sz w:val="17"/>
                <w:szCs w:val="17"/>
              </w:rPr>
            </w:pPr>
            <w:r>
              <w:rPr>
                <w:spacing w:val="-2"/>
                <w:sz w:val="17"/>
                <w:szCs w:val="17"/>
              </w:rPr>
              <w:t>3536.9</w:t>
            </w:r>
          </w:p>
        </w:tc>
        <w:tc>
          <w:tcPr>
            <w:tcW w:w="1350" w:type="dxa"/>
            <w:tcBorders>
              <w:left w:val="single" w:color="000000" w:sz="4" w:space="0"/>
              <w:bottom w:val="single" w:color="000000" w:sz="4" w:space="0"/>
              <w:right w:val="single" w:color="000000" w:sz="4" w:space="0"/>
            </w:tcBorders>
            <w:vAlign w:val="top"/>
          </w:tcPr>
          <w:p w14:paraId="08004E52">
            <w:pPr>
              <w:pStyle w:val="6"/>
              <w:spacing w:before="130" w:line="184" w:lineRule="auto"/>
              <w:ind w:left="415"/>
              <w:rPr>
                <w:sz w:val="17"/>
                <w:szCs w:val="17"/>
              </w:rPr>
            </w:pPr>
            <w:r>
              <w:rPr>
                <w:spacing w:val="-2"/>
                <w:sz w:val="17"/>
                <w:szCs w:val="17"/>
              </w:rPr>
              <w:t>3491.2</w:t>
            </w:r>
          </w:p>
        </w:tc>
        <w:tc>
          <w:tcPr>
            <w:tcW w:w="1340" w:type="dxa"/>
            <w:tcBorders>
              <w:left w:val="single" w:color="000000" w:sz="4" w:space="0"/>
              <w:bottom w:val="single" w:color="000000" w:sz="4" w:space="0"/>
            </w:tcBorders>
            <w:vAlign w:val="top"/>
          </w:tcPr>
          <w:p w14:paraId="2E132FED">
            <w:pPr>
              <w:pStyle w:val="6"/>
              <w:spacing w:before="151" w:line="183" w:lineRule="auto"/>
              <w:ind w:left="405"/>
              <w:rPr>
                <w:sz w:val="17"/>
                <w:szCs w:val="17"/>
              </w:rPr>
            </w:pPr>
            <w:r>
              <w:rPr>
                <w:spacing w:val="-2"/>
                <w:sz w:val="17"/>
                <w:szCs w:val="17"/>
              </w:rPr>
              <w:t>3444.2</w:t>
            </w:r>
          </w:p>
        </w:tc>
      </w:tr>
    </w:tbl>
    <w:p w14:paraId="5E115E93">
      <w:pPr>
        <w:pStyle w:val="2"/>
      </w:pPr>
    </w:p>
    <w:p w14:paraId="6C8E29F2">
      <w:pPr>
        <w:sectPr>
          <w:headerReference r:id="rId81" w:type="default"/>
          <w:pgSz w:w="11910" w:h="16840"/>
          <w:pgMar w:top="1046" w:right="1249" w:bottom="400" w:left="1239" w:header="876" w:footer="0" w:gutter="0"/>
          <w:cols w:space="720" w:num="1"/>
        </w:sectPr>
      </w:pPr>
    </w:p>
    <w:p w14:paraId="41B0454D">
      <w:pPr>
        <w:pStyle w:val="2"/>
        <w:spacing w:line="305" w:lineRule="auto"/>
      </w:pPr>
    </w:p>
    <w:p w14:paraId="500585D8">
      <w:pPr>
        <w:pStyle w:val="2"/>
        <w:spacing w:line="305" w:lineRule="auto"/>
      </w:pPr>
    </w:p>
    <w:p w14:paraId="00965800">
      <w:pPr>
        <w:spacing w:before="91" w:line="221" w:lineRule="auto"/>
        <w:ind w:left="2603"/>
        <w:rPr>
          <w:rFonts w:ascii="黑体" w:hAnsi="黑体" w:eastAsia="黑体" w:cs="黑体"/>
          <w:sz w:val="28"/>
          <w:szCs w:val="28"/>
        </w:rPr>
      </w:pPr>
      <w:r>
        <w:rPr>
          <w:rFonts w:ascii="黑体" w:hAnsi="黑体" w:eastAsia="黑体" w:cs="黑体"/>
          <w:b/>
          <w:bCs/>
          <w:spacing w:val="1"/>
          <w:sz w:val="28"/>
          <w:szCs w:val="28"/>
        </w:rPr>
        <w:t>(三)季度地区能源消费总量核算方案</w:t>
      </w:r>
    </w:p>
    <w:p w14:paraId="33C2CAD0">
      <w:pPr>
        <w:pStyle w:val="2"/>
        <w:spacing w:line="346" w:lineRule="auto"/>
      </w:pPr>
    </w:p>
    <w:p w14:paraId="34C52240">
      <w:pPr>
        <w:spacing w:before="68" w:line="285" w:lineRule="auto"/>
        <w:ind w:left="99" w:right="74" w:firstLine="430"/>
        <w:jc w:val="both"/>
        <w:rPr>
          <w:rFonts w:ascii="宋体" w:hAnsi="宋体" w:eastAsia="宋体" w:cs="宋体"/>
          <w:sz w:val="21"/>
          <w:szCs w:val="21"/>
        </w:rPr>
      </w:pPr>
      <w:r>
        <w:rPr>
          <w:rFonts w:ascii="宋体" w:hAnsi="宋体" w:eastAsia="宋体" w:cs="宋体"/>
          <w:spacing w:val="4"/>
          <w:sz w:val="21"/>
          <w:szCs w:val="21"/>
        </w:rPr>
        <w:t>季度地区能源消费总量核算(季度核算)的基础资料主要包括能源平衡表、规模以上工业企业能源</w:t>
      </w:r>
      <w:r>
        <w:rPr>
          <w:rFonts w:ascii="宋体" w:hAnsi="宋体" w:eastAsia="宋体" w:cs="宋体"/>
          <w:spacing w:val="16"/>
          <w:sz w:val="21"/>
          <w:szCs w:val="21"/>
        </w:rPr>
        <w:t xml:space="preserve"> </w:t>
      </w:r>
      <w:r>
        <w:rPr>
          <w:rFonts w:ascii="宋体" w:hAnsi="宋体" w:eastAsia="宋体" w:cs="宋体"/>
          <w:spacing w:val="9"/>
          <w:sz w:val="21"/>
          <w:szCs w:val="21"/>
        </w:rPr>
        <w:t>消费、增加值、全社会用电量等数据，其核算概念、口径范围等与年度核算(编制年度能源平衡表)</w:t>
      </w:r>
      <w:r>
        <w:rPr>
          <w:rFonts w:ascii="宋体" w:hAnsi="宋体" w:eastAsia="宋体" w:cs="宋体"/>
          <w:spacing w:val="18"/>
          <w:sz w:val="21"/>
          <w:szCs w:val="21"/>
        </w:rPr>
        <w:t xml:space="preserve"> </w:t>
      </w:r>
      <w:r>
        <w:rPr>
          <w:rFonts w:ascii="宋体" w:hAnsi="宋体" w:eastAsia="宋体" w:cs="宋体"/>
          <w:spacing w:val="-9"/>
          <w:sz w:val="21"/>
          <w:szCs w:val="21"/>
        </w:rPr>
        <w:t>一致。</w:t>
      </w:r>
    </w:p>
    <w:p w14:paraId="7D177C7A">
      <w:pPr>
        <w:spacing w:before="126" w:line="223" w:lineRule="auto"/>
        <w:ind w:left="532"/>
        <w:outlineLvl w:val="1"/>
        <w:rPr>
          <w:rFonts w:ascii="黑体" w:hAnsi="黑体" w:eastAsia="黑体" w:cs="黑体"/>
          <w:sz w:val="21"/>
          <w:szCs w:val="21"/>
        </w:rPr>
      </w:pPr>
      <w:r>
        <w:rPr>
          <w:rFonts w:ascii="黑体" w:hAnsi="黑体" w:eastAsia="黑体" w:cs="黑体"/>
          <w:b/>
          <w:bCs/>
          <w:spacing w:val="-7"/>
          <w:sz w:val="21"/>
          <w:szCs w:val="21"/>
        </w:rPr>
        <w:t>一、口径范围</w:t>
      </w:r>
    </w:p>
    <w:p w14:paraId="5C5AEB75">
      <w:pPr>
        <w:spacing w:before="86" w:line="218" w:lineRule="auto"/>
        <w:ind w:left="529"/>
        <w:rPr>
          <w:rFonts w:ascii="宋体" w:hAnsi="宋体" w:eastAsia="宋体" w:cs="宋体"/>
          <w:sz w:val="21"/>
          <w:szCs w:val="21"/>
        </w:rPr>
      </w:pPr>
      <w:r>
        <w:rPr>
          <w:rFonts w:ascii="宋体" w:hAnsi="宋体" w:eastAsia="宋体" w:cs="宋体"/>
          <w:spacing w:val="-4"/>
          <w:sz w:val="21"/>
          <w:szCs w:val="21"/>
        </w:rPr>
        <w:t>1.能源消费数据均为等价值口径。</w:t>
      </w:r>
    </w:p>
    <w:p w14:paraId="274EE389">
      <w:pPr>
        <w:spacing w:before="114" w:line="219" w:lineRule="auto"/>
        <w:ind w:left="529"/>
        <w:rPr>
          <w:rFonts w:ascii="宋体" w:hAnsi="宋体" w:eastAsia="宋体" w:cs="宋体"/>
          <w:sz w:val="21"/>
          <w:szCs w:val="21"/>
        </w:rPr>
      </w:pPr>
      <w:r>
        <w:rPr>
          <w:rFonts w:ascii="宋体" w:hAnsi="宋体" w:eastAsia="宋体" w:cs="宋体"/>
          <w:spacing w:val="-2"/>
          <w:sz w:val="21"/>
          <w:szCs w:val="21"/>
        </w:rPr>
        <w:t>2.当上一年度的能源平衡表无法获得时，参考最新的能源平衡表数据。</w:t>
      </w:r>
    </w:p>
    <w:p w14:paraId="655BA7DB">
      <w:pPr>
        <w:spacing w:before="108" w:line="285" w:lineRule="auto"/>
        <w:ind w:left="99" w:right="79" w:firstLine="430"/>
        <w:rPr>
          <w:rFonts w:ascii="宋体" w:hAnsi="宋体" w:eastAsia="宋体" w:cs="宋体"/>
          <w:sz w:val="21"/>
          <w:szCs w:val="21"/>
        </w:rPr>
      </w:pPr>
      <w:r>
        <w:rPr>
          <w:rFonts w:ascii="宋体" w:hAnsi="宋体" w:eastAsia="宋体" w:cs="宋体"/>
          <w:sz w:val="21"/>
          <w:szCs w:val="21"/>
        </w:rPr>
        <w:t>3.增加值数据均为不变价，规模以上工业增加值数</w:t>
      </w:r>
      <w:r>
        <w:rPr>
          <w:rFonts w:ascii="宋体" w:hAnsi="宋体" w:eastAsia="宋体" w:cs="宋体"/>
          <w:spacing w:val="-1"/>
          <w:sz w:val="21"/>
          <w:szCs w:val="21"/>
        </w:rPr>
        <w:t>据来源于工业统计专业，规模以下工业增加值数</w:t>
      </w:r>
      <w:r>
        <w:rPr>
          <w:rFonts w:ascii="宋体" w:hAnsi="宋体" w:eastAsia="宋体" w:cs="宋体"/>
          <w:sz w:val="21"/>
          <w:szCs w:val="21"/>
        </w:rPr>
        <w:t xml:space="preserve"> </w:t>
      </w:r>
      <w:r>
        <w:rPr>
          <w:rFonts w:ascii="宋体" w:hAnsi="宋体" w:eastAsia="宋体" w:cs="宋体"/>
          <w:spacing w:val="-1"/>
          <w:sz w:val="21"/>
          <w:szCs w:val="21"/>
        </w:rPr>
        <w:t>据来源于工业统计专业或国民经济核算专业，地区生产总值</w:t>
      </w:r>
      <w:r>
        <w:rPr>
          <w:rFonts w:ascii="宋体" w:hAnsi="宋体" w:eastAsia="宋体" w:cs="宋体"/>
          <w:spacing w:val="-39"/>
          <w:sz w:val="21"/>
          <w:szCs w:val="21"/>
        </w:rPr>
        <w:t xml:space="preserve"> </w:t>
      </w:r>
      <w:r>
        <w:rPr>
          <w:rFonts w:ascii="Times New Roman" w:hAnsi="Times New Roman" w:eastAsia="Times New Roman" w:cs="Times New Roman"/>
          <w:spacing w:val="-1"/>
          <w:sz w:val="21"/>
          <w:szCs w:val="21"/>
        </w:rPr>
        <w:t>(GDP)</w:t>
      </w:r>
      <w:r>
        <w:rPr>
          <w:rFonts w:ascii="Times New Roman" w:hAnsi="Times New Roman" w:eastAsia="Times New Roman" w:cs="Times New Roman"/>
          <w:spacing w:val="-14"/>
          <w:sz w:val="21"/>
          <w:szCs w:val="21"/>
        </w:rPr>
        <w:t xml:space="preserve"> </w:t>
      </w:r>
      <w:r>
        <w:rPr>
          <w:rFonts w:ascii="宋体" w:hAnsi="宋体" w:eastAsia="宋体" w:cs="宋体"/>
          <w:spacing w:val="-1"/>
          <w:sz w:val="21"/>
          <w:szCs w:val="21"/>
        </w:rPr>
        <w:t>和其他行业增加值数据来源于国民经</w:t>
      </w:r>
      <w:r>
        <w:rPr>
          <w:rFonts w:ascii="宋体" w:hAnsi="宋体" w:eastAsia="宋体" w:cs="宋体"/>
          <w:sz w:val="21"/>
          <w:szCs w:val="21"/>
        </w:rPr>
        <w:t xml:space="preserve"> </w:t>
      </w:r>
      <w:r>
        <w:rPr>
          <w:rFonts w:ascii="宋体" w:hAnsi="宋体" w:eastAsia="宋体" w:cs="宋体"/>
          <w:spacing w:val="-6"/>
          <w:sz w:val="21"/>
          <w:szCs w:val="21"/>
        </w:rPr>
        <w:t>济核算专业。</w:t>
      </w:r>
    </w:p>
    <w:p w14:paraId="001CC322">
      <w:pPr>
        <w:spacing w:before="109" w:line="219" w:lineRule="auto"/>
        <w:ind w:left="529"/>
        <w:rPr>
          <w:rFonts w:ascii="宋体" w:hAnsi="宋体" w:eastAsia="宋体" w:cs="宋体"/>
          <w:sz w:val="21"/>
          <w:szCs w:val="21"/>
        </w:rPr>
      </w:pPr>
      <w:r>
        <w:rPr>
          <w:rFonts w:ascii="宋体" w:hAnsi="宋体" w:eastAsia="宋体" w:cs="宋体"/>
          <w:spacing w:val="5"/>
          <w:sz w:val="21"/>
          <w:szCs w:val="21"/>
        </w:rPr>
        <w:t>4.分行业用电量数据来源于中国电力企业联合会(电力部门)。</w:t>
      </w:r>
    </w:p>
    <w:p w14:paraId="2C188746">
      <w:pPr>
        <w:spacing w:before="107" w:line="221" w:lineRule="auto"/>
        <w:ind w:left="532"/>
        <w:outlineLvl w:val="1"/>
        <w:rPr>
          <w:rFonts w:ascii="黑体" w:hAnsi="黑体" w:eastAsia="黑体" w:cs="黑体"/>
          <w:sz w:val="21"/>
          <w:szCs w:val="21"/>
        </w:rPr>
      </w:pPr>
      <w:r>
        <w:rPr>
          <w:rFonts w:ascii="黑体" w:hAnsi="黑体" w:eastAsia="黑体" w:cs="黑体"/>
          <w:b/>
          <w:bCs/>
          <w:spacing w:val="-5"/>
          <w:sz w:val="21"/>
          <w:szCs w:val="21"/>
        </w:rPr>
        <w:t>二、主要核算方法</w:t>
      </w:r>
    </w:p>
    <w:p w14:paraId="621D9614">
      <w:pPr>
        <w:spacing w:before="112" w:line="219" w:lineRule="auto"/>
        <w:ind w:left="529"/>
        <w:rPr>
          <w:rFonts w:ascii="宋体" w:hAnsi="宋体" w:eastAsia="宋体" w:cs="宋体"/>
          <w:sz w:val="21"/>
          <w:szCs w:val="21"/>
        </w:rPr>
      </w:pPr>
      <w:r>
        <w:rPr>
          <w:rFonts w:ascii="宋体" w:hAnsi="宋体" w:eastAsia="宋体" w:cs="宋体"/>
          <w:spacing w:val="-1"/>
          <w:sz w:val="21"/>
          <w:szCs w:val="21"/>
        </w:rPr>
        <w:t>主要使用以下三种方法对非工业行业和居民生活本期能源</w:t>
      </w:r>
      <w:r>
        <w:rPr>
          <w:rFonts w:ascii="宋体" w:hAnsi="宋体" w:eastAsia="宋体" w:cs="宋体"/>
          <w:spacing w:val="-2"/>
          <w:sz w:val="21"/>
          <w:szCs w:val="21"/>
        </w:rPr>
        <w:t>消费量进行核算。</w:t>
      </w:r>
    </w:p>
    <w:p w14:paraId="485FD922">
      <w:pPr>
        <w:spacing w:before="111" w:line="268" w:lineRule="auto"/>
        <w:ind w:left="529" w:right="945"/>
        <w:rPr>
          <w:rFonts w:ascii="宋体" w:hAnsi="宋体" w:eastAsia="宋体" w:cs="宋体"/>
          <w:sz w:val="21"/>
          <w:szCs w:val="21"/>
        </w:rPr>
      </w:pPr>
      <w:r>
        <w:rPr>
          <w:rFonts w:ascii="宋体" w:hAnsi="宋体" w:eastAsia="宋体" w:cs="宋体"/>
          <w:spacing w:val="12"/>
          <w:sz w:val="21"/>
          <w:szCs w:val="21"/>
        </w:rPr>
        <w:t>1.核算方法一(电力占比法):使用本期用电量(折标准量)、上年用电量比重等核</w:t>
      </w:r>
      <w:r>
        <w:rPr>
          <w:rFonts w:ascii="宋体" w:hAnsi="宋体" w:eastAsia="宋体" w:cs="宋体"/>
          <w:spacing w:val="11"/>
          <w:sz w:val="21"/>
          <w:szCs w:val="21"/>
        </w:rPr>
        <w:t>算。</w:t>
      </w:r>
      <w:r>
        <w:rPr>
          <w:rFonts w:ascii="宋体" w:hAnsi="宋体" w:eastAsia="宋体" w:cs="宋体"/>
          <w:sz w:val="21"/>
          <w:szCs w:val="21"/>
        </w:rPr>
        <w:t xml:space="preserve"> </w:t>
      </w:r>
      <w:r>
        <w:rPr>
          <w:rFonts w:ascii="宋体" w:hAnsi="宋体" w:eastAsia="宋体" w:cs="宋体"/>
          <w:spacing w:val="6"/>
          <w:sz w:val="21"/>
          <w:szCs w:val="21"/>
        </w:rPr>
        <w:t>本期能源消费量=本期用电量(折标准量)÷上年用电量占能源消</w:t>
      </w:r>
      <w:r>
        <w:rPr>
          <w:rFonts w:ascii="宋体" w:hAnsi="宋体" w:eastAsia="宋体" w:cs="宋体"/>
          <w:spacing w:val="5"/>
          <w:sz w:val="21"/>
          <w:szCs w:val="21"/>
        </w:rPr>
        <w:t>费量比重</w:t>
      </w:r>
    </w:p>
    <w:p w14:paraId="05D5E3B8">
      <w:pPr>
        <w:spacing w:before="110" w:line="218" w:lineRule="auto"/>
        <w:ind w:left="2009"/>
        <w:rPr>
          <w:rFonts w:ascii="宋体" w:hAnsi="宋体" w:eastAsia="宋体" w:cs="宋体"/>
          <w:sz w:val="21"/>
          <w:szCs w:val="21"/>
        </w:rPr>
      </w:pPr>
      <w:r>
        <w:rPr>
          <w:rFonts w:ascii="宋体" w:hAnsi="宋体" w:eastAsia="宋体" w:cs="宋体"/>
          <w:sz w:val="21"/>
          <w:szCs w:val="21"/>
        </w:rPr>
        <w:t>=本期用电量×电力等价折标系数÷上年用电量</w:t>
      </w:r>
      <w:r>
        <w:rPr>
          <w:rFonts w:ascii="宋体" w:hAnsi="宋体" w:eastAsia="宋体" w:cs="宋体"/>
          <w:spacing w:val="-1"/>
          <w:sz w:val="21"/>
          <w:szCs w:val="21"/>
        </w:rPr>
        <w:t>占能源消费量比重</w:t>
      </w:r>
    </w:p>
    <w:p w14:paraId="497D0D1A">
      <w:pPr>
        <w:spacing w:before="115" w:line="220" w:lineRule="auto"/>
        <w:ind w:left="529"/>
        <w:rPr>
          <w:rFonts w:ascii="宋体" w:hAnsi="宋体" w:eastAsia="宋体" w:cs="宋体"/>
          <w:sz w:val="21"/>
          <w:szCs w:val="21"/>
        </w:rPr>
      </w:pPr>
      <w:r>
        <w:rPr>
          <w:rFonts w:ascii="宋体" w:hAnsi="宋体" w:eastAsia="宋体" w:cs="宋体"/>
          <w:spacing w:val="-13"/>
          <w:sz w:val="21"/>
          <w:szCs w:val="21"/>
        </w:rPr>
        <w:t>其中：</w:t>
      </w:r>
    </w:p>
    <w:p w14:paraId="11DF20AE">
      <w:pPr>
        <w:spacing w:before="107" w:line="219" w:lineRule="auto"/>
        <w:ind w:left="649"/>
        <w:rPr>
          <w:rFonts w:ascii="宋体" w:hAnsi="宋体" w:eastAsia="宋体" w:cs="宋体"/>
          <w:sz w:val="21"/>
          <w:szCs w:val="21"/>
        </w:rPr>
      </w:pPr>
      <w:r>
        <w:rPr>
          <w:rFonts w:ascii="宋体" w:hAnsi="宋体" w:eastAsia="宋体" w:cs="宋体"/>
          <w:spacing w:val="-5"/>
          <w:sz w:val="21"/>
          <w:szCs w:val="21"/>
        </w:rPr>
        <w:t>(1)  “本期用电量”是指各行业和居民生活本期用电量。</w:t>
      </w:r>
    </w:p>
    <w:p w14:paraId="6B23E072">
      <w:pPr>
        <w:spacing w:before="111" w:line="268" w:lineRule="auto"/>
        <w:ind w:left="99" w:right="70" w:firstLine="550"/>
        <w:rPr>
          <w:rFonts w:ascii="宋体" w:hAnsi="宋体" w:eastAsia="宋体" w:cs="宋体"/>
          <w:sz w:val="21"/>
          <w:szCs w:val="21"/>
        </w:rPr>
      </w:pPr>
      <w:r>
        <w:rPr>
          <w:rFonts w:ascii="宋体" w:hAnsi="宋体" w:eastAsia="宋体" w:cs="宋体"/>
          <w:spacing w:val="-1"/>
          <w:sz w:val="21"/>
          <w:szCs w:val="21"/>
        </w:rPr>
        <w:t>(2)  “电力等价折标系数”以上年能源平衡表中电力等价折标系数为基础，参考中电联和规模以</w:t>
      </w:r>
      <w:r>
        <w:rPr>
          <w:rFonts w:ascii="宋体" w:hAnsi="宋体" w:eastAsia="宋体" w:cs="宋体"/>
          <w:spacing w:val="18"/>
          <w:sz w:val="21"/>
          <w:szCs w:val="21"/>
        </w:rPr>
        <w:t xml:space="preserve"> </w:t>
      </w:r>
      <w:r>
        <w:rPr>
          <w:rFonts w:ascii="宋体" w:hAnsi="宋体" w:eastAsia="宋体" w:cs="宋体"/>
          <w:spacing w:val="-2"/>
          <w:sz w:val="21"/>
          <w:szCs w:val="21"/>
        </w:rPr>
        <w:t>上工业企业发电煤耗本期与同期的变动克数确定。</w:t>
      </w:r>
    </w:p>
    <w:p w14:paraId="4F6F8584">
      <w:pPr>
        <w:spacing w:before="111" w:line="269" w:lineRule="auto"/>
        <w:ind w:left="99" w:right="82" w:firstLine="550"/>
        <w:rPr>
          <w:rFonts w:ascii="宋体" w:hAnsi="宋体" w:eastAsia="宋体" w:cs="宋体"/>
          <w:sz w:val="21"/>
          <w:szCs w:val="21"/>
        </w:rPr>
      </w:pPr>
      <w:r>
        <w:rPr>
          <w:rFonts w:ascii="宋体" w:hAnsi="宋体" w:eastAsia="宋体" w:cs="宋体"/>
          <w:spacing w:val="-1"/>
          <w:sz w:val="21"/>
          <w:szCs w:val="21"/>
        </w:rPr>
        <w:t>(3)  “上年用电量占能源消费量比重”是指上年能源平衡表中各行业和居民生活用电量占该行业</w:t>
      </w:r>
      <w:r>
        <w:rPr>
          <w:rFonts w:ascii="宋体" w:hAnsi="宋体" w:eastAsia="宋体" w:cs="宋体"/>
          <w:spacing w:val="6"/>
          <w:sz w:val="21"/>
          <w:szCs w:val="21"/>
        </w:rPr>
        <w:t xml:space="preserve"> </w:t>
      </w:r>
      <w:r>
        <w:rPr>
          <w:rFonts w:ascii="宋体" w:hAnsi="宋体" w:eastAsia="宋体" w:cs="宋体"/>
          <w:spacing w:val="-3"/>
          <w:sz w:val="21"/>
          <w:szCs w:val="21"/>
        </w:rPr>
        <w:t>和居民生活能源消费量的比重。</w:t>
      </w:r>
    </w:p>
    <w:p w14:paraId="02299419">
      <w:pPr>
        <w:spacing w:before="109" w:line="221" w:lineRule="auto"/>
        <w:ind w:left="89"/>
        <w:rPr>
          <w:rFonts w:ascii="宋体" w:hAnsi="宋体" w:eastAsia="宋体" w:cs="宋体"/>
          <w:sz w:val="18"/>
          <w:szCs w:val="18"/>
        </w:rPr>
      </w:pPr>
      <w:r>
        <w:rPr>
          <w:rFonts w:ascii="宋体" w:hAnsi="宋体" w:eastAsia="宋体" w:cs="宋体"/>
          <w:spacing w:val="9"/>
          <w:sz w:val="18"/>
          <w:szCs w:val="18"/>
        </w:rPr>
        <w:t>表1</w:t>
      </w:r>
    </w:p>
    <w:p w14:paraId="587C09A4">
      <w:pPr>
        <w:spacing w:line="117" w:lineRule="auto"/>
        <w:rPr>
          <w:rFonts w:ascii="Arial"/>
          <w:sz w:val="2"/>
        </w:rPr>
      </w:pPr>
    </w:p>
    <w:tbl>
      <w:tblPr>
        <w:tblStyle w:val="5"/>
        <w:tblW w:w="961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29"/>
        <w:gridCol w:w="790"/>
        <w:gridCol w:w="1610"/>
        <w:gridCol w:w="1180"/>
        <w:gridCol w:w="1590"/>
        <w:gridCol w:w="1920"/>
      </w:tblGrid>
      <w:tr w14:paraId="715C82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1" w:hRule="atLeast"/>
        </w:trPr>
        <w:tc>
          <w:tcPr>
            <w:tcW w:w="2529" w:type="dxa"/>
            <w:tcBorders>
              <w:left w:val="nil"/>
            </w:tcBorders>
            <w:vAlign w:val="top"/>
          </w:tcPr>
          <w:p w14:paraId="0E470D8F">
            <w:pPr>
              <w:spacing w:line="402" w:lineRule="auto"/>
              <w:rPr>
                <w:rFonts w:ascii="Arial"/>
                <w:sz w:val="21"/>
              </w:rPr>
            </w:pPr>
          </w:p>
          <w:p w14:paraId="1D7AB97D">
            <w:pPr>
              <w:pStyle w:val="6"/>
              <w:spacing w:before="58" w:line="220" w:lineRule="auto"/>
              <w:ind w:left="880"/>
            </w:pPr>
            <w:r>
              <w:rPr>
                <w:spacing w:val="-2"/>
              </w:rPr>
              <w:t>指标名称</w:t>
            </w:r>
          </w:p>
        </w:tc>
        <w:tc>
          <w:tcPr>
            <w:tcW w:w="790" w:type="dxa"/>
            <w:vAlign w:val="top"/>
          </w:tcPr>
          <w:p w14:paraId="3C939BD1">
            <w:pPr>
              <w:pStyle w:val="6"/>
              <w:spacing w:before="140" w:line="227" w:lineRule="auto"/>
              <w:ind w:left="294" w:right="41" w:hanging="269"/>
            </w:pPr>
            <w:r>
              <w:rPr>
                <w:spacing w:val="-2"/>
              </w:rPr>
              <w:t>本期用电</w:t>
            </w:r>
            <w:r>
              <w:t xml:space="preserve"> 量</w:t>
            </w:r>
          </w:p>
          <w:p w14:paraId="34B885D2">
            <w:pPr>
              <w:pStyle w:val="6"/>
              <w:spacing w:line="229" w:lineRule="auto"/>
              <w:ind w:left="254" w:right="24" w:hanging="139"/>
            </w:pPr>
            <w:r>
              <w:rPr>
                <w:spacing w:val="2"/>
              </w:rPr>
              <w:t>(亿千瓦</w:t>
            </w:r>
            <w:r>
              <w:t xml:space="preserve"> </w:t>
            </w:r>
            <w:r>
              <w:rPr>
                <w:spacing w:val="-8"/>
              </w:rPr>
              <w:t>时</w:t>
            </w:r>
            <w:r>
              <w:rPr>
                <w:spacing w:val="-28"/>
              </w:rPr>
              <w:t xml:space="preserve"> </w:t>
            </w:r>
            <w:r>
              <w:rPr>
                <w:spacing w:val="-8"/>
              </w:rPr>
              <w:t>)</w:t>
            </w:r>
          </w:p>
        </w:tc>
        <w:tc>
          <w:tcPr>
            <w:tcW w:w="1610" w:type="dxa"/>
            <w:vAlign w:val="top"/>
          </w:tcPr>
          <w:p w14:paraId="35557B00">
            <w:pPr>
              <w:pStyle w:val="6"/>
              <w:spacing w:before="250" w:line="218" w:lineRule="auto"/>
              <w:ind w:left="256"/>
            </w:pPr>
            <w:r>
              <w:rPr>
                <w:spacing w:val="1"/>
              </w:rPr>
              <w:t>电力等价折标</w:t>
            </w:r>
          </w:p>
          <w:p w14:paraId="2635A7DF">
            <w:pPr>
              <w:pStyle w:val="6"/>
              <w:spacing w:before="8" w:line="217" w:lineRule="auto"/>
              <w:ind w:left="165"/>
            </w:pPr>
            <w:r>
              <w:rPr>
                <w:spacing w:val="-2"/>
              </w:rPr>
              <w:t>系数(克标准煤/</w:t>
            </w:r>
          </w:p>
          <w:p w14:paraId="2AFD8D62">
            <w:pPr>
              <w:pStyle w:val="6"/>
              <w:spacing w:line="220" w:lineRule="auto"/>
              <w:ind w:left="486"/>
            </w:pPr>
            <w:r>
              <w:rPr>
                <w:spacing w:val="9"/>
              </w:rPr>
              <w:t>千瓦时)</w:t>
            </w:r>
          </w:p>
        </w:tc>
        <w:tc>
          <w:tcPr>
            <w:tcW w:w="1180" w:type="dxa"/>
            <w:vAlign w:val="top"/>
          </w:tcPr>
          <w:p w14:paraId="2E9510FF">
            <w:pPr>
              <w:pStyle w:val="6"/>
              <w:spacing w:before="31" w:line="219" w:lineRule="auto"/>
              <w:ind w:left="135"/>
            </w:pPr>
            <w:r>
              <w:rPr>
                <w:spacing w:val="-2"/>
              </w:rPr>
              <w:t>本期用电量</w:t>
            </w:r>
          </w:p>
          <w:p w14:paraId="4333E2D1">
            <w:pPr>
              <w:pStyle w:val="6"/>
              <w:spacing w:before="8" w:line="220" w:lineRule="auto"/>
              <w:ind w:left="266"/>
            </w:pPr>
            <w:r>
              <w:rPr>
                <w:spacing w:val="2"/>
              </w:rPr>
              <w:t>(折标准</w:t>
            </w:r>
          </w:p>
          <w:p w14:paraId="1BB51CF8">
            <w:pPr>
              <w:pStyle w:val="6"/>
              <w:spacing w:before="17" w:line="203" w:lineRule="auto"/>
              <w:ind w:left="445"/>
            </w:pPr>
            <w:r>
              <w:rPr>
                <w:spacing w:val="-4"/>
              </w:rPr>
              <w:t>量</w:t>
            </w:r>
            <w:r>
              <w:rPr>
                <w:spacing w:val="-36"/>
              </w:rPr>
              <w:t xml:space="preserve"> </w:t>
            </w:r>
            <w:r>
              <w:rPr>
                <w:spacing w:val="-4"/>
              </w:rPr>
              <w:t>)</w:t>
            </w:r>
          </w:p>
          <w:p w14:paraId="7A545E45">
            <w:pPr>
              <w:pStyle w:val="6"/>
              <w:spacing w:line="215" w:lineRule="auto"/>
              <w:ind w:left="175"/>
            </w:pPr>
            <w:r>
              <w:rPr>
                <w:spacing w:val="1"/>
              </w:rPr>
              <w:t>(万吨标准</w:t>
            </w:r>
          </w:p>
          <w:p w14:paraId="0F4BC4D9">
            <w:pPr>
              <w:pStyle w:val="6"/>
              <w:spacing w:line="192" w:lineRule="auto"/>
              <w:ind w:left="445"/>
            </w:pPr>
            <w:r>
              <w:rPr>
                <w:spacing w:val="-4"/>
              </w:rPr>
              <w:t>煤</w:t>
            </w:r>
            <w:r>
              <w:rPr>
                <w:spacing w:val="-36"/>
              </w:rPr>
              <w:t xml:space="preserve"> </w:t>
            </w:r>
            <w:r>
              <w:rPr>
                <w:spacing w:val="-4"/>
              </w:rPr>
              <w:t>)</w:t>
            </w:r>
          </w:p>
        </w:tc>
        <w:tc>
          <w:tcPr>
            <w:tcW w:w="1590" w:type="dxa"/>
            <w:vAlign w:val="top"/>
          </w:tcPr>
          <w:p w14:paraId="714EBF16">
            <w:pPr>
              <w:pStyle w:val="6"/>
              <w:spacing w:before="252" w:line="222" w:lineRule="auto"/>
              <w:ind w:left="425" w:right="172" w:hanging="269"/>
            </w:pPr>
            <w:r>
              <w:rPr>
                <w:spacing w:val="-2"/>
              </w:rPr>
              <w:t>上年用电量占能</w:t>
            </w:r>
            <w:r>
              <w:rPr>
                <w:spacing w:val="4"/>
              </w:rPr>
              <w:t xml:space="preserve"> </w:t>
            </w:r>
            <w:r>
              <w:rPr>
                <w:spacing w:val="-2"/>
              </w:rPr>
              <w:t>源消费量</w:t>
            </w:r>
          </w:p>
          <w:p w14:paraId="15BB2E0D">
            <w:pPr>
              <w:pStyle w:val="6"/>
              <w:spacing w:line="222" w:lineRule="auto"/>
              <w:ind w:left="475"/>
            </w:pPr>
            <w:r>
              <w:rPr>
                <w:spacing w:val="7"/>
              </w:rPr>
              <w:t>比重(%)</w:t>
            </w:r>
          </w:p>
        </w:tc>
        <w:tc>
          <w:tcPr>
            <w:tcW w:w="1920" w:type="dxa"/>
            <w:tcBorders>
              <w:right w:val="nil"/>
            </w:tcBorders>
            <w:vAlign w:val="top"/>
          </w:tcPr>
          <w:p w14:paraId="4DD73101">
            <w:pPr>
              <w:spacing w:line="321" w:lineRule="auto"/>
              <w:rPr>
                <w:rFonts w:ascii="Arial"/>
                <w:sz w:val="21"/>
              </w:rPr>
            </w:pPr>
          </w:p>
          <w:p w14:paraId="79FCCE70">
            <w:pPr>
              <w:pStyle w:val="6"/>
              <w:spacing w:before="59" w:line="206" w:lineRule="auto"/>
              <w:ind w:left="186"/>
            </w:pPr>
            <w:r>
              <w:rPr>
                <w:spacing w:val="-1"/>
              </w:rPr>
              <w:t>本期能源消费量(万</w:t>
            </w:r>
          </w:p>
          <w:p w14:paraId="7565FBEF">
            <w:pPr>
              <w:pStyle w:val="6"/>
              <w:spacing w:line="220" w:lineRule="auto"/>
              <w:ind w:left="545"/>
            </w:pPr>
            <w:r>
              <w:rPr>
                <w:spacing w:val="7"/>
              </w:rPr>
              <w:t>吨标准煤)</w:t>
            </w:r>
          </w:p>
        </w:tc>
      </w:tr>
      <w:tr w14:paraId="25F21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2529" w:type="dxa"/>
            <w:tcBorders>
              <w:left w:val="nil"/>
            </w:tcBorders>
            <w:vAlign w:val="top"/>
          </w:tcPr>
          <w:p w14:paraId="702EF957">
            <w:pPr>
              <w:pStyle w:val="6"/>
              <w:spacing w:before="74" w:line="222" w:lineRule="auto"/>
              <w:ind w:left="1179"/>
            </w:pPr>
            <w:r>
              <w:t>甲</w:t>
            </w:r>
          </w:p>
        </w:tc>
        <w:tc>
          <w:tcPr>
            <w:tcW w:w="790" w:type="dxa"/>
            <w:vAlign w:val="top"/>
          </w:tcPr>
          <w:p w14:paraId="562CCD54">
            <w:pPr>
              <w:rPr>
                <w:rFonts w:ascii="Arial"/>
                <w:sz w:val="21"/>
              </w:rPr>
            </w:pPr>
          </w:p>
        </w:tc>
        <w:tc>
          <w:tcPr>
            <w:tcW w:w="1610" w:type="dxa"/>
            <w:vAlign w:val="top"/>
          </w:tcPr>
          <w:p w14:paraId="1F8F6A08">
            <w:pPr>
              <w:pStyle w:val="6"/>
              <w:spacing w:before="117" w:line="183" w:lineRule="auto"/>
              <w:ind w:left="756"/>
            </w:pPr>
            <w:r>
              <w:t>2</w:t>
            </w:r>
          </w:p>
        </w:tc>
        <w:tc>
          <w:tcPr>
            <w:tcW w:w="1180" w:type="dxa"/>
            <w:vAlign w:val="top"/>
          </w:tcPr>
          <w:p w14:paraId="49B0A49B">
            <w:pPr>
              <w:pStyle w:val="6"/>
              <w:spacing w:before="117" w:line="183" w:lineRule="auto"/>
              <w:ind w:left="536"/>
            </w:pPr>
            <w:r>
              <w:t>3</w:t>
            </w:r>
          </w:p>
        </w:tc>
        <w:tc>
          <w:tcPr>
            <w:tcW w:w="1590" w:type="dxa"/>
            <w:vAlign w:val="top"/>
          </w:tcPr>
          <w:p w14:paraId="058EEA9E">
            <w:pPr>
              <w:pStyle w:val="6"/>
              <w:spacing w:before="117" w:line="183" w:lineRule="auto"/>
              <w:ind w:left="745"/>
            </w:pPr>
            <w:r>
              <w:t>4</w:t>
            </w:r>
          </w:p>
        </w:tc>
        <w:tc>
          <w:tcPr>
            <w:tcW w:w="1920" w:type="dxa"/>
            <w:tcBorders>
              <w:right w:val="nil"/>
            </w:tcBorders>
            <w:vAlign w:val="top"/>
          </w:tcPr>
          <w:p w14:paraId="67980619">
            <w:pPr>
              <w:pStyle w:val="6"/>
              <w:spacing w:before="118" w:line="182" w:lineRule="auto"/>
              <w:ind w:left="905"/>
            </w:pPr>
            <w:r>
              <w:t>5</w:t>
            </w:r>
          </w:p>
        </w:tc>
      </w:tr>
      <w:tr w14:paraId="0A1BCA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50" w:hRule="atLeast"/>
        </w:trPr>
        <w:tc>
          <w:tcPr>
            <w:tcW w:w="2529" w:type="dxa"/>
            <w:tcBorders>
              <w:left w:val="nil"/>
            </w:tcBorders>
            <w:vAlign w:val="top"/>
          </w:tcPr>
          <w:p w14:paraId="48E38873">
            <w:pPr>
              <w:pStyle w:val="6"/>
              <w:spacing w:before="52" w:line="240" w:lineRule="exact"/>
              <w:ind w:left="119"/>
            </w:pPr>
            <w:r>
              <w:rPr>
                <w:spacing w:val="-1"/>
                <w:position w:val="4"/>
              </w:rPr>
              <w:t>农、林、牧、渔业</w:t>
            </w:r>
          </w:p>
          <w:p w14:paraId="62DC79BE">
            <w:pPr>
              <w:pStyle w:val="6"/>
              <w:spacing w:line="220" w:lineRule="auto"/>
              <w:ind w:left="119"/>
            </w:pPr>
            <w:r>
              <w:rPr>
                <w:spacing w:val="-3"/>
              </w:rPr>
              <w:t>建筑业</w:t>
            </w:r>
          </w:p>
          <w:p w14:paraId="72FC4FAD">
            <w:pPr>
              <w:pStyle w:val="6"/>
              <w:spacing w:before="23" w:line="239" w:lineRule="auto"/>
              <w:ind w:left="119" w:right="251"/>
            </w:pPr>
            <w:r>
              <w:rPr>
                <w:spacing w:val="-1"/>
              </w:rPr>
              <w:t>服务业*(不含交通运输、仓</w:t>
            </w:r>
            <w:r>
              <w:rPr>
                <w:spacing w:val="4"/>
              </w:rPr>
              <w:t xml:space="preserve"> </w:t>
            </w:r>
            <w:r>
              <w:rPr>
                <w:spacing w:val="6"/>
              </w:rPr>
              <w:t>储和邮政业)</w:t>
            </w:r>
          </w:p>
          <w:p w14:paraId="5FF54CA4">
            <w:pPr>
              <w:pStyle w:val="6"/>
              <w:spacing w:before="25" w:line="235" w:lineRule="auto"/>
              <w:ind w:left="119"/>
            </w:pPr>
            <w:r>
              <w:rPr>
                <w:spacing w:val="-1"/>
              </w:rPr>
              <w:t>城镇居民生活</w:t>
            </w:r>
          </w:p>
          <w:p w14:paraId="440CEAEC">
            <w:pPr>
              <w:pStyle w:val="6"/>
              <w:spacing w:line="193" w:lineRule="auto"/>
              <w:ind w:left="119"/>
            </w:pPr>
            <w:r>
              <w:rPr>
                <w:spacing w:val="1"/>
              </w:rPr>
              <w:t>乡村居民生活</w:t>
            </w:r>
          </w:p>
        </w:tc>
        <w:tc>
          <w:tcPr>
            <w:tcW w:w="790" w:type="dxa"/>
            <w:vAlign w:val="top"/>
          </w:tcPr>
          <w:p w14:paraId="12A90F2A">
            <w:pPr>
              <w:rPr>
                <w:rFonts w:ascii="Arial"/>
                <w:sz w:val="21"/>
              </w:rPr>
            </w:pPr>
          </w:p>
        </w:tc>
        <w:tc>
          <w:tcPr>
            <w:tcW w:w="1610" w:type="dxa"/>
            <w:vAlign w:val="top"/>
          </w:tcPr>
          <w:p w14:paraId="51742461">
            <w:pPr>
              <w:rPr>
                <w:rFonts w:ascii="Arial"/>
                <w:sz w:val="21"/>
              </w:rPr>
            </w:pPr>
          </w:p>
        </w:tc>
        <w:tc>
          <w:tcPr>
            <w:tcW w:w="1180" w:type="dxa"/>
            <w:vAlign w:val="top"/>
          </w:tcPr>
          <w:p w14:paraId="283E2E01">
            <w:pPr>
              <w:spacing w:line="312" w:lineRule="auto"/>
              <w:rPr>
                <w:rFonts w:ascii="Arial"/>
                <w:sz w:val="21"/>
              </w:rPr>
            </w:pPr>
          </w:p>
          <w:p w14:paraId="41487472">
            <w:pPr>
              <w:spacing w:line="313" w:lineRule="auto"/>
              <w:rPr>
                <w:rFonts w:ascii="Arial"/>
                <w:sz w:val="21"/>
              </w:rPr>
            </w:pPr>
          </w:p>
          <w:p w14:paraId="36537464">
            <w:pPr>
              <w:pStyle w:val="6"/>
              <w:spacing w:before="59" w:line="184" w:lineRule="auto"/>
              <w:ind w:left="355"/>
            </w:pPr>
            <w:r>
              <w:rPr>
                <w:spacing w:val="-2"/>
              </w:rPr>
              <w:t>3=1*2</w:t>
            </w:r>
          </w:p>
        </w:tc>
        <w:tc>
          <w:tcPr>
            <w:tcW w:w="1590" w:type="dxa"/>
            <w:vAlign w:val="top"/>
          </w:tcPr>
          <w:p w14:paraId="765A7C63">
            <w:pPr>
              <w:rPr>
                <w:rFonts w:ascii="Arial"/>
                <w:sz w:val="21"/>
              </w:rPr>
            </w:pPr>
          </w:p>
        </w:tc>
        <w:tc>
          <w:tcPr>
            <w:tcW w:w="1920" w:type="dxa"/>
            <w:tcBorders>
              <w:right w:val="nil"/>
            </w:tcBorders>
            <w:vAlign w:val="top"/>
          </w:tcPr>
          <w:p w14:paraId="09BB963A">
            <w:pPr>
              <w:spacing w:line="292" w:lineRule="auto"/>
              <w:rPr>
                <w:rFonts w:ascii="Arial"/>
                <w:sz w:val="21"/>
              </w:rPr>
            </w:pPr>
          </w:p>
          <w:p w14:paraId="3F0E3B35">
            <w:pPr>
              <w:spacing w:line="293" w:lineRule="auto"/>
              <w:rPr>
                <w:rFonts w:ascii="Arial"/>
                <w:sz w:val="21"/>
              </w:rPr>
            </w:pPr>
          </w:p>
          <w:p w14:paraId="309088EA">
            <w:pPr>
              <w:pStyle w:val="6"/>
              <w:spacing w:before="58" w:line="224" w:lineRule="auto"/>
              <w:ind w:left="726"/>
            </w:pPr>
            <w:r>
              <w:rPr>
                <w:spacing w:val="-2"/>
              </w:rPr>
              <w:t>5=3/4</w:t>
            </w:r>
          </w:p>
        </w:tc>
      </w:tr>
    </w:tbl>
    <w:p w14:paraId="6DBBF514">
      <w:pPr>
        <w:spacing w:before="81" w:line="268" w:lineRule="auto"/>
        <w:ind w:left="529" w:right="1144"/>
        <w:rPr>
          <w:rFonts w:ascii="宋体" w:hAnsi="宋体" w:eastAsia="宋体" w:cs="宋体"/>
          <w:sz w:val="21"/>
          <w:szCs w:val="21"/>
        </w:rPr>
      </w:pPr>
      <w:r>
        <w:rPr>
          <w:rFonts w:ascii="宋体" w:hAnsi="宋体" w:eastAsia="宋体" w:cs="宋体"/>
          <w:spacing w:val="7"/>
          <w:sz w:val="21"/>
          <w:szCs w:val="21"/>
        </w:rPr>
        <w:t>2.核算方法二(单位增加值能耗法):使用本期增加值、上年单位增加值能耗等核算。</w:t>
      </w:r>
      <w:r>
        <w:rPr>
          <w:rFonts w:ascii="宋体" w:hAnsi="宋体" w:eastAsia="宋体" w:cs="宋体"/>
          <w:spacing w:val="6"/>
          <w:sz w:val="21"/>
          <w:szCs w:val="21"/>
        </w:rPr>
        <w:t xml:space="preserve"> </w:t>
      </w:r>
      <w:r>
        <w:rPr>
          <w:rFonts w:ascii="宋体" w:hAnsi="宋体" w:eastAsia="宋体" w:cs="宋体"/>
          <w:spacing w:val="-2"/>
          <w:sz w:val="21"/>
          <w:szCs w:val="21"/>
        </w:rPr>
        <w:t>本期能源消费量=本期增加值×上年单位增加值能耗</w:t>
      </w:r>
    </w:p>
    <w:p w14:paraId="2685E08C">
      <w:pPr>
        <w:spacing w:before="111" w:line="219" w:lineRule="auto"/>
        <w:ind w:left="2009"/>
        <w:rPr>
          <w:rFonts w:ascii="宋体" w:hAnsi="宋体" w:eastAsia="宋体" w:cs="宋体"/>
          <w:sz w:val="21"/>
          <w:szCs w:val="21"/>
        </w:rPr>
      </w:pPr>
      <w:r>
        <w:rPr>
          <w:rFonts w:ascii="宋体" w:hAnsi="宋体" w:eastAsia="宋体" w:cs="宋体"/>
          <w:spacing w:val="5"/>
          <w:sz w:val="21"/>
          <w:szCs w:val="21"/>
        </w:rPr>
        <w:t>=本期增加值×(上年能源消费量/上年增加值)</w:t>
      </w:r>
    </w:p>
    <w:p w14:paraId="60B9F1A1">
      <w:pPr>
        <w:spacing w:before="113" w:line="220" w:lineRule="auto"/>
        <w:ind w:left="529"/>
        <w:rPr>
          <w:rFonts w:ascii="宋体" w:hAnsi="宋体" w:eastAsia="宋体" w:cs="宋体"/>
          <w:sz w:val="21"/>
          <w:szCs w:val="21"/>
        </w:rPr>
      </w:pPr>
      <w:r>
        <w:rPr>
          <w:rFonts w:ascii="宋体" w:hAnsi="宋体" w:eastAsia="宋体" w:cs="宋体"/>
          <w:spacing w:val="-13"/>
          <w:sz w:val="21"/>
          <w:szCs w:val="21"/>
        </w:rPr>
        <w:t>其中：</w:t>
      </w:r>
    </w:p>
    <w:p w14:paraId="67ABA3E7">
      <w:pPr>
        <w:spacing w:before="108" w:line="371" w:lineRule="exact"/>
        <w:ind w:left="649"/>
        <w:rPr>
          <w:rFonts w:ascii="宋体" w:hAnsi="宋体" w:eastAsia="宋体" w:cs="宋体"/>
          <w:sz w:val="21"/>
          <w:szCs w:val="21"/>
        </w:rPr>
      </w:pPr>
      <w:r>
        <w:rPr>
          <w:rFonts w:ascii="宋体" w:hAnsi="宋体" w:eastAsia="宋体" w:cs="宋体"/>
          <w:spacing w:val="-10"/>
          <w:position w:val="12"/>
          <w:sz w:val="21"/>
          <w:szCs w:val="21"/>
        </w:rPr>
        <w:t>(1)  “本期增加值”、  “上年增加值”是指各行业本期和</w:t>
      </w:r>
      <w:r>
        <w:rPr>
          <w:rFonts w:ascii="宋体" w:hAnsi="宋体" w:eastAsia="宋体" w:cs="宋体"/>
          <w:spacing w:val="-11"/>
          <w:position w:val="12"/>
          <w:sz w:val="21"/>
          <w:szCs w:val="21"/>
        </w:rPr>
        <w:t>上年增加值。</w:t>
      </w:r>
    </w:p>
    <w:p w14:paraId="0D0DE087">
      <w:pPr>
        <w:spacing w:line="219" w:lineRule="auto"/>
        <w:ind w:left="649"/>
        <w:rPr>
          <w:rFonts w:ascii="宋体" w:hAnsi="宋体" w:eastAsia="宋体" w:cs="宋体"/>
          <w:sz w:val="21"/>
          <w:szCs w:val="21"/>
        </w:rPr>
      </w:pPr>
      <w:r>
        <w:rPr>
          <w:rFonts w:ascii="宋体" w:hAnsi="宋体" w:eastAsia="宋体" w:cs="宋体"/>
          <w:spacing w:val="-4"/>
          <w:sz w:val="21"/>
          <w:szCs w:val="21"/>
        </w:rPr>
        <w:t>(2)  “上年能源消费量”是指上年能源平衡表中各行业</w:t>
      </w:r>
      <w:r>
        <w:rPr>
          <w:rFonts w:ascii="宋体" w:hAnsi="宋体" w:eastAsia="宋体" w:cs="宋体"/>
          <w:spacing w:val="-5"/>
          <w:sz w:val="21"/>
          <w:szCs w:val="21"/>
        </w:rPr>
        <w:t>能源消费量。</w:t>
      </w:r>
    </w:p>
    <w:p w14:paraId="3CCC37A2">
      <w:pPr>
        <w:spacing w:line="219" w:lineRule="auto"/>
        <w:rPr>
          <w:rFonts w:ascii="宋体" w:hAnsi="宋体" w:eastAsia="宋体" w:cs="宋体"/>
          <w:sz w:val="21"/>
          <w:szCs w:val="21"/>
        </w:rPr>
        <w:sectPr>
          <w:headerReference r:id="rId82" w:type="default"/>
          <w:pgSz w:w="11910" w:h="16840"/>
          <w:pgMar w:top="1109" w:right="1150" w:bottom="400" w:left="1140" w:header="838" w:footer="0" w:gutter="0"/>
          <w:cols w:space="720" w:num="1"/>
        </w:sectPr>
      </w:pPr>
    </w:p>
    <w:p w14:paraId="141E67A5">
      <w:pPr>
        <w:pStyle w:val="2"/>
        <w:spacing w:line="312" w:lineRule="auto"/>
      </w:pPr>
    </w:p>
    <w:p w14:paraId="611B02B6">
      <w:pPr>
        <w:pStyle w:val="2"/>
        <w:spacing w:line="312" w:lineRule="auto"/>
      </w:pPr>
    </w:p>
    <w:p w14:paraId="731652FD">
      <w:pPr>
        <w:pStyle w:val="2"/>
        <w:spacing w:line="313" w:lineRule="auto"/>
      </w:pPr>
    </w:p>
    <w:p w14:paraId="4B648552">
      <w:pPr>
        <w:spacing w:before="55" w:line="221" w:lineRule="auto"/>
        <w:ind w:left="89"/>
        <w:rPr>
          <w:rFonts w:ascii="宋体" w:hAnsi="宋体" w:eastAsia="宋体" w:cs="宋体"/>
          <w:sz w:val="17"/>
          <w:szCs w:val="17"/>
        </w:rPr>
      </w:pPr>
      <w:r>
        <w:rPr>
          <w:rFonts w:ascii="宋体" w:hAnsi="宋体" w:eastAsia="宋体" w:cs="宋体"/>
          <w:spacing w:val="-2"/>
          <w:sz w:val="17"/>
          <w:szCs w:val="17"/>
        </w:rPr>
        <w:t>表2</w:t>
      </w:r>
    </w:p>
    <w:p w14:paraId="648C20AB">
      <w:pPr>
        <w:spacing w:line="33" w:lineRule="exact"/>
      </w:pPr>
    </w:p>
    <w:tbl>
      <w:tblPr>
        <w:tblStyle w:val="5"/>
        <w:tblW w:w="959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10"/>
        <w:gridCol w:w="1490"/>
        <w:gridCol w:w="890"/>
        <w:gridCol w:w="1630"/>
        <w:gridCol w:w="909"/>
        <w:gridCol w:w="1370"/>
      </w:tblGrid>
      <w:tr w14:paraId="72AD61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2" w:hRule="atLeast"/>
        </w:trPr>
        <w:tc>
          <w:tcPr>
            <w:tcW w:w="3310" w:type="dxa"/>
            <w:tcBorders>
              <w:left w:val="nil"/>
            </w:tcBorders>
            <w:vAlign w:val="top"/>
          </w:tcPr>
          <w:p w14:paraId="7A32C210">
            <w:pPr>
              <w:pStyle w:val="6"/>
              <w:spacing w:before="253" w:line="220" w:lineRule="auto"/>
              <w:ind w:left="1259"/>
            </w:pPr>
            <w:r>
              <w:rPr>
                <w:spacing w:val="-2"/>
              </w:rPr>
              <w:t>指标名称</w:t>
            </w:r>
          </w:p>
        </w:tc>
        <w:tc>
          <w:tcPr>
            <w:tcW w:w="1490" w:type="dxa"/>
            <w:vAlign w:val="top"/>
          </w:tcPr>
          <w:p w14:paraId="56B8BC8C">
            <w:pPr>
              <w:pStyle w:val="6"/>
              <w:spacing w:before="32" w:line="219" w:lineRule="auto"/>
              <w:ind w:left="374"/>
            </w:pPr>
            <w:r>
              <w:rPr>
                <w:spacing w:val="-2"/>
              </w:rPr>
              <w:t>上年能源</w:t>
            </w:r>
          </w:p>
          <w:p w14:paraId="57322086">
            <w:pPr>
              <w:pStyle w:val="6"/>
              <w:spacing w:before="17" w:line="215" w:lineRule="auto"/>
              <w:ind w:left="464"/>
            </w:pPr>
            <w:r>
              <w:rPr>
                <w:spacing w:val="-3"/>
              </w:rPr>
              <w:t>消费量</w:t>
            </w:r>
          </w:p>
          <w:p w14:paraId="65EB4642">
            <w:pPr>
              <w:pStyle w:val="6"/>
              <w:spacing w:line="193" w:lineRule="auto"/>
              <w:ind w:left="194"/>
            </w:pPr>
            <w:r>
              <w:rPr>
                <w:spacing w:val="5"/>
              </w:rPr>
              <w:t>(万吨标准煤)</w:t>
            </w:r>
          </w:p>
        </w:tc>
        <w:tc>
          <w:tcPr>
            <w:tcW w:w="890" w:type="dxa"/>
            <w:vAlign w:val="top"/>
          </w:tcPr>
          <w:p w14:paraId="3C6D778D">
            <w:pPr>
              <w:pStyle w:val="6"/>
              <w:spacing w:before="21" w:line="219" w:lineRule="auto"/>
              <w:ind w:left="164" w:right="135"/>
              <w:jc w:val="both"/>
            </w:pPr>
            <w:r>
              <w:rPr>
                <w:spacing w:val="-9"/>
              </w:rPr>
              <w:t>上</w:t>
            </w:r>
            <w:r>
              <w:rPr>
                <w:spacing w:val="4"/>
              </w:rPr>
              <w:t xml:space="preserve">  </w:t>
            </w:r>
            <w:r>
              <w:rPr>
                <w:spacing w:val="-9"/>
              </w:rPr>
              <w:t>年</w:t>
            </w:r>
            <w:r>
              <w:t xml:space="preserve"> </w:t>
            </w:r>
            <w:r>
              <w:rPr>
                <w:spacing w:val="-3"/>
              </w:rPr>
              <w:t>增加值</w:t>
            </w:r>
            <w:r>
              <w:t xml:space="preserve"> </w:t>
            </w:r>
            <w:r>
              <w:rPr>
                <w:spacing w:val="9"/>
              </w:rPr>
              <w:t>(亿元)</w:t>
            </w:r>
          </w:p>
        </w:tc>
        <w:tc>
          <w:tcPr>
            <w:tcW w:w="1630" w:type="dxa"/>
            <w:vAlign w:val="top"/>
          </w:tcPr>
          <w:p w14:paraId="1D624A75">
            <w:pPr>
              <w:pStyle w:val="6"/>
              <w:spacing w:before="22" w:line="219" w:lineRule="auto"/>
              <w:ind w:left="364"/>
            </w:pPr>
            <w:r>
              <w:rPr>
                <w:spacing w:val="-7"/>
              </w:rPr>
              <w:t>上</w:t>
            </w:r>
            <w:r>
              <w:rPr>
                <w:spacing w:val="-22"/>
              </w:rPr>
              <w:t xml:space="preserve"> </w:t>
            </w:r>
            <w:r>
              <w:rPr>
                <w:spacing w:val="-7"/>
              </w:rPr>
              <w:t>年</w:t>
            </w:r>
            <w:r>
              <w:rPr>
                <w:spacing w:val="-23"/>
              </w:rPr>
              <w:t xml:space="preserve"> </w:t>
            </w:r>
            <w:r>
              <w:rPr>
                <w:spacing w:val="-7"/>
              </w:rPr>
              <w:t>单</w:t>
            </w:r>
            <w:r>
              <w:rPr>
                <w:spacing w:val="-24"/>
              </w:rPr>
              <w:t xml:space="preserve"> </w:t>
            </w:r>
            <w:r>
              <w:rPr>
                <w:spacing w:val="-7"/>
              </w:rPr>
              <w:t>位</w:t>
            </w:r>
          </w:p>
          <w:p w14:paraId="2A5088AE">
            <w:pPr>
              <w:pStyle w:val="6"/>
              <w:spacing w:before="26" w:line="216" w:lineRule="auto"/>
              <w:ind w:left="354"/>
            </w:pPr>
            <w:r>
              <w:rPr>
                <w:spacing w:val="-2"/>
              </w:rPr>
              <w:t>增加值能耗</w:t>
            </w:r>
          </w:p>
          <w:p w14:paraId="7BD6249F">
            <w:pPr>
              <w:pStyle w:val="6"/>
              <w:spacing w:line="193" w:lineRule="auto"/>
              <w:ind w:left="134"/>
            </w:pPr>
            <w:r>
              <w:rPr>
                <w:spacing w:val="4"/>
              </w:rPr>
              <w:t>(吨标准煤/万元)</w:t>
            </w:r>
          </w:p>
        </w:tc>
        <w:tc>
          <w:tcPr>
            <w:tcW w:w="909" w:type="dxa"/>
            <w:vAlign w:val="top"/>
          </w:tcPr>
          <w:p w14:paraId="6D52D16C">
            <w:pPr>
              <w:pStyle w:val="6"/>
              <w:spacing w:before="21" w:line="219" w:lineRule="auto"/>
              <w:ind w:left="174" w:right="144"/>
              <w:jc w:val="both"/>
            </w:pPr>
            <w:r>
              <w:rPr>
                <w:spacing w:val="-9"/>
              </w:rPr>
              <w:t>本</w:t>
            </w:r>
            <w:r>
              <w:rPr>
                <w:spacing w:val="4"/>
              </w:rPr>
              <w:t xml:space="preserve">  </w:t>
            </w:r>
            <w:r>
              <w:rPr>
                <w:spacing w:val="-9"/>
              </w:rPr>
              <w:t>期</w:t>
            </w:r>
            <w:r>
              <w:rPr>
                <w:spacing w:val="1"/>
              </w:rPr>
              <w:t xml:space="preserve"> </w:t>
            </w:r>
            <w:r>
              <w:rPr>
                <w:spacing w:val="-3"/>
              </w:rPr>
              <w:t>增加值</w:t>
            </w:r>
            <w:r>
              <w:t xml:space="preserve"> </w:t>
            </w:r>
            <w:r>
              <w:rPr>
                <w:spacing w:val="9"/>
              </w:rPr>
              <w:t>(亿元)</w:t>
            </w:r>
          </w:p>
        </w:tc>
        <w:tc>
          <w:tcPr>
            <w:tcW w:w="1370" w:type="dxa"/>
            <w:tcBorders>
              <w:right w:val="nil"/>
            </w:tcBorders>
            <w:vAlign w:val="top"/>
          </w:tcPr>
          <w:p w14:paraId="03E4230B">
            <w:pPr>
              <w:pStyle w:val="6"/>
              <w:spacing w:before="21" w:line="219" w:lineRule="auto"/>
              <w:ind w:left="315"/>
            </w:pPr>
            <w:r>
              <w:rPr>
                <w:spacing w:val="-2"/>
              </w:rPr>
              <w:t>本期能源</w:t>
            </w:r>
          </w:p>
          <w:p w14:paraId="4FC956AF">
            <w:pPr>
              <w:pStyle w:val="6"/>
              <w:spacing w:before="28" w:line="215" w:lineRule="auto"/>
              <w:ind w:left="405"/>
            </w:pPr>
            <w:r>
              <w:rPr>
                <w:spacing w:val="-3"/>
              </w:rPr>
              <w:t>消费量</w:t>
            </w:r>
          </w:p>
          <w:p w14:paraId="7BB0000A">
            <w:pPr>
              <w:pStyle w:val="6"/>
              <w:spacing w:line="193" w:lineRule="auto"/>
              <w:ind w:left="135"/>
            </w:pPr>
            <w:r>
              <w:rPr>
                <w:spacing w:val="5"/>
              </w:rPr>
              <w:t>(万吨标准煤)</w:t>
            </w:r>
          </w:p>
        </w:tc>
      </w:tr>
      <w:tr w14:paraId="2B4B69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3310" w:type="dxa"/>
            <w:tcBorders>
              <w:left w:val="nil"/>
            </w:tcBorders>
            <w:vAlign w:val="top"/>
          </w:tcPr>
          <w:p w14:paraId="05910075">
            <w:pPr>
              <w:pStyle w:val="6"/>
              <w:spacing w:before="63" w:line="222" w:lineRule="auto"/>
              <w:ind w:left="1549"/>
            </w:pPr>
            <w:r>
              <w:t>甲</w:t>
            </w:r>
          </w:p>
        </w:tc>
        <w:tc>
          <w:tcPr>
            <w:tcW w:w="1490" w:type="dxa"/>
            <w:vAlign w:val="top"/>
          </w:tcPr>
          <w:p w14:paraId="51ED8EED">
            <w:pPr>
              <w:rPr>
                <w:rFonts w:ascii="Arial"/>
                <w:sz w:val="21"/>
              </w:rPr>
            </w:pPr>
          </w:p>
        </w:tc>
        <w:tc>
          <w:tcPr>
            <w:tcW w:w="890" w:type="dxa"/>
            <w:vAlign w:val="top"/>
          </w:tcPr>
          <w:p w14:paraId="30DF4610">
            <w:pPr>
              <w:pStyle w:val="6"/>
              <w:spacing w:before="106" w:line="183" w:lineRule="auto"/>
              <w:ind w:left="395"/>
            </w:pPr>
            <w:r>
              <w:t>2</w:t>
            </w:r>
          </w:p>
        </w:tc>
        <w:tc>
          <w:tcPr>
            <w:tcW w:w="1630" w:type="dxa"/>
            <w:vAlign w:val="top"/>
          </w:tcPr>
          <w:p w14:paraId="6BA1411B">
            <w:pPr>
              <w:pStyle w:val="6"/>
              <w:spacing w:before="106" w:line="183" w:lineRule="auto"/>
              <w:ind w:left="764"/>
            </w:pPr>
            <w:r>
              <w:t>3</w:t>
            </w:r>
          </w:p>
        </w:tc>
        <w:tc>
          <w:tcPr>
            <w:tcW w:w="909" w:type="dxa"/>
            <w:vAlign w:val="top"/>
          </w:tcPr>
          <w:p w14:paraId="1CCF86D1">
            <w:pPr>
              <w:pStyle w:val="6"/>
              <w:spacing w:before="106" w:line="183" w:lineRule="auto"/>
              <w:ind w:left="404"/>
            </w:pPr>
            <w:r>
              <w:t>4</w:t>
            </w:r>
          </w:p>
        </w:tc>
        <w:tc>
          <w:tcPr>
            <w:tcW w:w="1370" w:type="dxa"/>
            <w:tcBorders>
              <w:right w:val="nil"/>
            </w:tcBorders>
            <w:vAlign w:val="top"/>
          </w:tcPr>
          <w:p w14:paraId="0E33CDC4">
            <w:pPr>
              <w:pStyle w:val="6"/>
              <w:spacing w:before="107" w:line="182" w:lineRule="auto"/>
              <w:ind w:left="635"/>
            </w:pPr>
            <w:r>
              <w:t>5</w:t>
            </w:r>
          </w:p>
        </w:tc>
      </w:tr>
      <w:tr w14:paraId="337734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9" w:hRule="atLeast"/>
        </w:trPr>
        <w:tc>
          <w:tcPr>
            <w:tcW w:w="3310" w:type="dxa"/>
            <w:tcBorders>
              <w:left w:val="nil"/>
            </w:tcBorders>
            <w:vAlign w:val="top"/>
          </w:tcPr>
          <w:p w14:paraId="3937FC21">
            <w:pPr>
              <w:pStyle w:val="6"/>
              <w:spacing w:before="71" w:line="240" w:lineRule="exact"/>
              <w:ind w:left="89"/>
            </w:pPr>
            <w:r>
              <w:rPr>
                <w:spacing w:val="-1"/>
                <w:position w:val="4"/>
              </w:rPr>
              <w:t>农、林、牧、渔业</w:t>
            </w:r>
          </w:p>
          <w:p w14:paraId="51BAAC77">
            <w:pPr>
              <w:pStyle w:val="6"/>
              <w:spacing w:line="220" w:lineRule="auto"/>
              <w:ind w:left="89"/>
            </w:pPr>
            <w:r>
              <w:rPr>
                <w:spacing w:val="-3"/>
              </w:rPr>
              <w:t>建筑业</w:t>
            </w:r>
          </w:p>
          <w:p w14:paraId="3CA98CAE">
            <w:pPr>
              <w:pStyle w:val="6"/>
              <w:spacing w:before="54" w:line="219" w:lineRule="auto"/>
              <w:ind w:left="89"/>
            </w:pPr>
            <w:r>
              <w:rPr>
                <w:spacing w:val="-2"/>
              </w:rPr>
              <w:t>服务业*</w:t>
            </w:r>
          </w:p>
          <w:p w14:paraId="443A8C70">
            <w:pPr>
              <w:pStyle w:val="6"/>
              <w:spacing w:before="66" w:line="219" w:lineRule="auto"/>
              <w:ind w:left="89"/>
            </w:pPr>
            <w:r>
              <w:rPr>
                <w:spacing w:val="-1"/>
              </w:rPr>
              <w:t>交通运输、仓储和邮政业</w:t>
            </w:r>
          </w:p>
          <w:p w14:paraId="27F42C60">
            <w:pPr>
              <w:pStyle w:val="6"/>
              <w:spacing w:before="67" w:line="214" w:lineRule="auto"/>
              <w:ind w:left="89" w:right="322" w:firstLine="20"/>
            </w:pPr>
            <w:r>
              <w:rPr>
                <w:spacing w:val="-1"/>
              </w:rPr>
              <w:t>服务业*(不含交通运输、仓储和邮政</w:t>
            </w:r>
            <w:r>
              <w:rPr>
                <w:spacing w:val="8"/>
              </w:rPr>
              <w:t xml:space="preserve"> </w:t>
            </w:r>
            <w:r>
              <w:rPr>
                <w:spacing w:val="-4"/>
              </w:rPr>
              <w:t>业</w:t>
            </w:r>
            <w:r>
              <w:rPr>
                <w:spacing w:val="-36"/>
              </w:rPr>
              <w:t xml:space="preserve"> </w:t>
            </w:r>
            <w:r>
              <w:rPr>
                <w:spacing w:val="-4"/>
              </w:rPr>
              <w:t>)</w:t>
            </w:r>
          </w:p>
        </w:tc>
        <w:tc>
          <w:tcPr>
            <w:tcW w:w="1490" w:type="dxa"/>
            <w:vAlign w:val="top"/>
          </w:tcPr>
          <w:p w14:paraId="73E398E0">
            <w:pPr>
              <w:rPr>
                <w:rFonts w:ascii="Arial"/>
                <w:sz w:val="21"/>
              </w:rPr>
            </w:pPr>
          </w:p>
        </w:tc>
        <w:tc>
          <w:tcPr>
            <w:tcW w:w="890" w:type="dxa"/>
            <w:vAlign w:val="top"/>
          </w:tcPr>
          <w:p w14:paraId="68F9218D">
            <w:pPr>
              <w:rPr>
                <w:rFonts w:ascii="Arial"/>
                <w:sz w:val="21"/>
              </w:rPr>
            </w:pPr>
          </w:p>
        </w:tc>
        <w:tc>
          <w:tcPr>
            <w:tcW w:w="1630" w:type="dxa"/>
            <w:vAlign w:val="top"/>
          </w:tcPr>
          <w:p w14:paraId="4759F962">
            <w:pPr>
              <w:spacing w:line="322" w:lineRule="auto"/>
              <w:rPr>
                <w:rFonts w:ascii="Arial"/>
                <w:sz w:val="21"/>
              </w:rPr>
            </w:pPr>
          </w:p>
          <w:p w14:paraId="31E2F828">
            <w:pPr>
              <w:spacing w:line="322" w:lineRule="auto"/>
              <w:rPr>
                <w:rFonts w:ascii="Arial"/>
                <w:sz w:val="21"/>
              </w:rPr>
            </w:pPr>
          </w:p>
          <w:p w14:paraId="4BAC9B2C">
            <w:pPr>
              <w:pStyle w:val="6"/>
              <w:spacing w:before="58" w:line="224" w:lineRule="auto"/>
              <w:ind w:left="585"/>
            </w:pPr>
            <w:r>
              <w:rPr>
                <w:spacing w:val="-2"/>
              </w:rPr>
              <w:t>3=1/2</w:t>
            </w:r>
          </w:p>
        </w:tc>
        <w:tc>
          <w:tcPr>
            <w:tcW w:w="909" w:type="dxa"/>
            <w:vAlign w:val="top"/>
          </w:tcPr>
          <w:p w14:paraId="5A6032D6">
            <w:pPr>
              <w:rPr>
                <w:rFonts w:ascii="Arial"/>
                <w:sz w:val="21"/>
              </w:rPr>
            </w:pPr>
          </w:p>
        </w:tc>
        <w:tc>
          <w:tcPr>
            <w:tcW w:w="1370" w:type="dxa"/>
            <w:tcBorders>
              <w:right w:val="nil"/>
            </w:tcBorders>
            <w:vAlign w:val="top"/>
          </w:tcPr>
          <w:p w14:paraId="4D0FBAE9">
            <w:pPr>
              <w:spacing w:line="342" w:lineRule="auto"/>
              <w:rPr>
                <w:rFonts w:ascii="Arial"/>
                <w:sz w:val="21"/>
              </w:rPr>
            </w:pPr>
          </w:p>
          <w:p w14:paraId="7DE1BB32">
            <w:pPr>
              <w:spacing w:line="343" w:lineRule="auto"/>
              <w:rPr>
                <w:rFonts w:ascii="Arial"/>
                <w:sz w:val="21"/>
              </w:rPr>
            </w:pPr>
          </w:p>
          <w:p w14:paraId="0400AAA0">
            <w:pPr>
              <w:pStyle w:val="6"/>
              <w:spacing w:before="58" w:line="183" w:lineRule="auto"/>
              <w:ind w:left="456"/>
            </w:pPr>
            <w:r>
              <w:rPr>
                <w:spacing w:val="-2"/>
              </w:rPr>
              <w:t>5=3*4</w:t>
            </w:r>
          </w:p>
        </w:tc>
      </w:tr>
    </w:tbl>
    <w:p w14:paraId="4EEF5FDD">
      <w:pPr>
        <w:spacing w:before="92" w:line="263" w:lineRule="auto"/>
        <w:ind w:left="509" w:right="304"/>
        <w:rPr>
          <w:rFonts w:ascii="宋体" w:hAnsi="宋体" w:eastAsia="宋体" w:cs="宋体"/>
          <w:sz w:val="21"/>
          <w:szCs w:val="21"/>
        </w:rPr>
      </w:pPr>
      <w:r>
        <w:rPr>
          <w:rFonts w:ascii="宋体" w:hAnsi="宋体" w:eastAsia="宋体" w:cs="宋体"/>
          <w:spacing w:val="7"/>
          <w:sz w:val="21"/>
          <w:szCs w:val="21"/>
        </w:rPr>
        <w:t>3.核算方法三(能源消费弹性系数法):使用本期增加值增速、上年</w:t>
      </w:r>
      <w:r>
        <w:rPr>
          <w:rFonts w:ascii="宋体" w:hAnsi="宋体" w:eastAsia="宋体" w:cs="宋体"/>
          <w:spacing w:val="6"/>
          <w:sz w:val="21"/>
          <w:szCs w:val="21"/>
        </w:rPr>
        <w:t>能源消费弹性系数等核算。</w:t>
      </w:r>
      <w:r>
        <w:rPr>
          <w:rFonts w:ascii="宋体" w:hAnsi="宋体" w:eastAsia="宋体" w:cs="宋体"/>
          <w:sz w:val="21"/>
          <w:szCs w:val="21"/>
        </w:rPr>
        <w:t xml:space="preserve"> </w:t>
      </w:r>
      <w:r>
        <w:rPr>
          <w:rFonts w:ascii="宋体" w:hAnsi="宋体" w:eastAsia="宋体" w:cs="宋体"/>
          <w:spacing w:val="-1"/>
          <w:sz w:val="21"/>
          <w:szCs w:val="21"/>
        </w:rPr>
        <w:t>本期能源消费量增速=本期增加值增速×上年</w:t>
      </w:r>
      <w:r>
        <w:rPr>
          <w:rFonts w:ascii="宋体" w:hAnsi="宋体" w:eastAsia="宋体" w:cs="宋体"/>
          <w:spacing w:val="-2"/>
          <w:sz w:val="21"/>
          <w:szCs w:val="21"/>
        </w:rPr>
        <w:t>能源消费弹性系数</w:t>
      </w:r>
    </w:p>
    <w:p w14:paraId="7AD8385D">
      <w:pPr>
        <w:spacing w:before="121" w:line="219" w:lineRule="auto"/>
        <w:ind w:left="2419"/>
        <w:rPr>
          <w:rFonts w:ascii="宋体" w:hAnsi="宋体" w:eastAsia="宋体" w:cs="宋体"/>
          <w:sz w:val="21"/>
          <w:szCs w:val="21"/>
        </w:rPr>
      </w:pPr>
      <w:r>
        <w:rPr>
          <w:rFonts w:ascii="宋体" w:hAnsi="宋体" w:eastAsia="宋体" w:cs="宋体"/>
          <w:spacing w:val="4"/>
          <w:sz w:val="21"/>
          <w:szCs w:val="21"/>
        </w:rPr>
        <w:t>=本期增加值增速×(上年能源消费量增速/</w:t>
      </w:r>
      <w:r>
        <w:rPr>
          <w:rFonts w:ascii="宋体" w:hAnsi="宋体" w:eastAsia="宋体" w:cs="宋体"/>
          <w:spacing w:val="3"/>
          <w:sz w:val="21"/>
          <w:szCs w:val="21"/>
        </w:rPr>
        <w:t>上年增加值增速)</w:t>
      </w:r>
    </w:p>
    <w:p w14:paraId="315546E4">
      <w:pPr>
        <w:spacing w:before="112" w:line="220" w:lineRule="auto"/>
        <w:ind w:left="509"/>
        <w:rPr>
          <w:rFonts w:ascii="宋体" w:hAnsi="宋体" w:eastAsia="宋体" w:cs="宋体"/>
          <w:sz w:val="21"/>
          <w:szCs w:val="21"/>
        </w:rPr>
      </w:pPr>
      <w:r>
        <w:rPr>
          <w:rFonts w:ascii="宋体" w:hAnsi="宋体" w:eastAsia="宋体" w:cs="宋体"/>
          <w:spacing w:val="-13"/>
          <w:sz w:val="21"/>
          <w:szCs w:val="21"/>
        </w:rPr>
        <w:t>其中：</w:t>
      </w:r>
    </w:p>
    <w:p w14:paraId="228E2931">
      <w:pPr>
        <w:spacing w:before="118" w:line="219" w:lineRule="auto"/>
        <w:ind w:left="609"/>
        <w:rPr>
          <w:rFonts w:ascii="宋体" w:hAnsi="宋体" w:eastAsia="宋体" w:cs="宋体"/>
          <w:sz w:val="21"/>
          <w:szCs w:val="21"/>
        </w:rPr>
      </w:pPr>
      <w:r>
        <w:rPr>
          <w:rFonts w:ascii="宋体" w:hAnsi="宋体" w:eastAsia="宋体" w:cs="宋体"/>
          <w:spacing w:val="-8"/>
          <w:sz w:val="21"/>
          <w:szCs w:val="21"/>
        </w:rPr>
        <w:t>(1)  “本期增加值增速”、</w:t>
      </w:r>
      <w:r>
        <w:rPr>
          <w:rFonts w:ascii="宋体" w:hAnsi="宋体" w:eastAsia="宋体" w:cs="宋体"/>
          <w:spacing w:val="84"/>
          <w:sz w:val="21"/>
          <w:szCs w:val="21"/>
        </w:rPr>
        <w:t xml:space="preserve"> </w:t>
      </w:r>
      <w:r>
        <w:rPr>
          <w:rFonts w:ascii="宋体" w:hAnsi="宋体" w:eastAsia="宋体" w:cs="宋体"/>
          <w:spacing w:val="-8"/>
          <w:sz w:val="21"/>
          <w:szCs w:val="21"/>
        </w:rPr>
        <w:t>“上年增加值增速</w:t>
      </w:r>
      <w:r>
        <w:rPr>
          <w:rFonts w:ascii="宋体" w:hAnsi="宋体" w:eastAsia="宋体" w:cs="宋体"/>
          <w:spacing w:val="-9"/>
          <w:sz w:val="21"/>
          <w:szCs w:val="21"/>
        </w:rPr>
        <w:t>”是指各行业本期和上年增加值增速。</w:t>
      </w:r>
    </w:p>
    <w:p w14:paraId="77797E26">
      <w:pPr>
        <w:spacing w:before="102" w:line="372" w:lineRule="exact"/>
        <w:ind w:left="609"/>
        <w:rPr>
          <w:rFonts w:ascii="宋体" w:hAnsi="宋体" w:eastAsia="宋体" w:cs="宋体"/>
          <w:sz w:val="21"/>
          <w:szCs w:val="21"/>
        </w:rPr>
      </w:pPr>
      <w:r>
        <w:rPr>
          <w:rFonts w:ascii="宋体" w:hAnsi="宋体" w:eastAsia="宋体" w:cs="宋体"/>
          <w:spacing w:val="-4"/>
          <w:position w:val="12"/>
          <w:sz w:val="21"/>
          <w:szCs w:val="21"/>
        </w:rPr>
        <w:t>(2)  “上年能源消费量增速”根据上年及往年</w:t>
      </w:r>
      <w:r>
        <w:rPr>
          <w:rFonts w:ascii="宋体" w:hAnsi="宋体" w:eastAsia="宋体" w:cs="宋体"/>
          <w:spacing w:val="-5"/>
          <w:position w:val="12"/>
          <w:sz w:val="21"/>
          <w:szCs w:val="21"/>
        </w:rPr>
        <w:t>能源平衡表各行业能源消费量计算。</w:t>
      </w:r>
    </w:p>
    <w:p w14:paraId="3F5F034C">
      <w:pPr>
        <w:spacing w:before="1" w:line="220" w:lineRule="auto"/>
        <w:ind w:left="79"/>
        <w:rPr>
          <w:rFonts w:ascii="宋体" w:hAnsi="宋体" w:eastAsia="宋体" w:cs="宋体"/>
          <w:sz w:val="21"/>
          <w:szCs w:val="21"/>
        </w:rPr>
      </w:pPr>
      <w:r>
        <w:rPr>
          <w:rFonts w:ascii="宋体" w:hAnsi="宋体" w:eastAsia="宋体" w:cs="宋体"/>
          <w:spacing w:val="-4"/>
          <w:sz w:val="21"/>
          <w:szCs w:val="21"/>
        </w:rPr>
        <w:t>表</w:t>
      </w:r>
      <w:r>
        <w:rPr>
          <w:rFonts w:ascii="宋体" w:hAnsi="宋体" w:eastAsia="宋体" w:cs="宋体"/>
          <w:spacing w:val="-38"/>
          <w:sz w:val="21"/>
          <w:szCs w:val="21"/>
        </w:rPr>
        <w:t xml:space="preserve"> </w:t>
      </w:r>
      <w:r>
        <w:rPr>
          <w:rFonts w:ascii="宋体" w:hAnsi="宋体" w:eastAsia="宋体" w:cs="宋体"/>
          <w:spacing w:val="-4"/>
          <w:sz w:val="21"/>
          <w:szCs w:val="21"/>
        </w:rPr>
        <w:t>3</w:t>
      </w:r>
    </w:p>
    <w:p w14:paraId="26E44A98">
      <w:pPr>
        <w:spacing w:line="64" w:lineRule="exact"/>
      </w:pPr>
    </w:p>
    <w:tbl>
      <w:tblPr>
        <w:tblStyle w:val="5"/>
        <w:tblW w:w="96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80"/>
        <w:gridCol w:w="1080"/>
        <w:gridCol w:w="1500"/>
        <w:gridCol w:w="920"/>
        <w:gridCol w:w="1080"/>
        <w:gridCol w:w="1749"/>
      </w:tblGrid>
      <w:tr w14:paraId="048A77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1" w:hRule="atLeast"/>
        </w:trPr>
        <w:tc>
          <w:tcPr>
            <w:tcW w:w="3280" w:type="dxa"/>
            <w:tcBorders>
              <w:left w:val="nil"/>
            </w:tcBorders>
            <w:vAlign w:val="top"/>
          </w:tcPr>
          <w:p w14:paraId="076549EF">
            <w:pPr>
              <w:spacing w:line="441" w:lineRule="auto"/>
              <w:rPr>
                <w:rFonts w:ascii="Arial"/>
                <w:sz w:val="21"/>
              </w:rPr>
            </w:pPr>
          </w:p>
          <w:p w14:paraId="31FEACBE">
            <w:pPr>
              <w:pStyle w:val="6"/>
              <w:spacing w:before="59" w:line="220" w:lineRule="auto"/>
              <w:ind w:left="1279"/>
            </w:pPr>
            <w:r>
              <w:rPr>
                <w:spacing w:val="-2"/>
              </w:rPr>
              <w:t>指标名称</w:t>
            </w:r>
          </w:p>
        </w:tc>
        <w:tc>
          <w:tcPr>
            <w:tcW w:w="1080" w:type="dxa"/>
            <w:vAlign w:val="top"/>
          </w:tcPr>
          <w:p w14:paraId="1881B630">
            <w:pPr>
              <w:pStyle w:val="6"/>
              <w:spacing w:before="162" w:line="219" w:lineRule="auto"/>
              <w:ind w:left="174"/>
            </w:pPr>
            <w:r>
              <w:rPr>
                <w:spacing w:val="3"/>
              </w:rPr>
              <w:t>上年增加</w:t>
            </w:r>
          </w:p>
          <w:p w14:paraId="517AAC52">
            <w:pPr>
              <w:pStyle w:val="6"/>
              <w:spacing w:before="6" w:line="241" w:lineRule="exact"/>
              <w:ind w:left="444"/>
            </w:pPr>
            <w:r>
              <w:rPr>
                <w:position w:val="4"/>
              </w:rPr>
              <w:t>值</w:t>
            </w:r>
          </w:p>
          <w:p w14:paraId="44CEFFD5">
            <w:pPr>
              <w:pStyle w:val="6"/>
              <w:spacing w:line="220" w:lineRule="auto"/>
              <w:ind w:left="354"/>
            </w:pPr>
            <w:r>
              <w:rPr>
                <w:spacing w:val="-2"/>
              </w:rPr>
              <w:t>增速</w:t>
            </w:r>
          </w:p>
          <w:p w14:paraId="7ECE912D">
            <w:pPr>
              <w:pStyle w:val="6"/>
              <w:spacing w:before="36" w:line="222" w:lineRule="auto"/>
              <w:ind w:left="394"/>
            </w:pPr>
            <w:r>
              <w:rPr>
                <w:spacing w:val="-9"/>
              </w:rPr>
              <w:t>(%)</w:t>
            </w:r>
          </w:p>
        </w:tc>
        <w:tc>
          <w:tcPr>
            <w:tcW w:w="1500" w:type="dxa"/>
            <w:vAlign w:val="top"/>
          </w:tcPr>
          <w:p w14:paraId="0BCFE1C5">
            <w:pPr>
              <w:spacing w:line="321" w:lineRule="auto"/>
              <w:rPr>
                <w:rFonts w:ascii="Arial"/>
                <w:sz w:val="21"/>
              </w:rPr>
            </w:pPr>
          </w:p>
          <w:p w14:paraId="69125E4B">
            <w:pPr>
              <w:pStyle w:val="6"/>
              <w:spacing w:before="59" w:line="219" w:lineRule="auto"/>
              <w:ind w:left="384"/>
            </w:pPr>
            <w:r>
              <w:rPr>
                <w:spacing w:val="-2"/>
              </w:rPr>
              <w:t>上年能源</w:t>
            </w:r>
          </w:p>
          <w:p w14:paraId="2D30E719">
            <w:pPr>
              <w:pStyle w:val="6"/>
              <w:spacing w:before="26" w:line="220" w:lineRule="auto"/>
              <w:ind w:left="154"/>
            </w:pPr>
            <w:r>
              <w:rPr>
                <w:spacing w:val="4"/>
              </w:rPr>
              <w:t>消费量增速(%)</w:t>
            </w:r>
          </w:p>
        </w:tc>
        <w:tc>
          <w:tcPr>
            <w:tcW w:w="920" w:type="dxa"/>
            <w:vAlign w:val="top"/>
          </w:tcPr>
          <w:p w14:paraId="05943473">
            <w:pPr>
              <w:pStyle w:val="6"/>
              <w:spacing w:before="32" w:line="219" w:lineRule="auto"/>
              <w:ind w:left="184"/>
            </w:pPr>
            <w:r>
              <w:rPr>
                <w:spacing w:val="-2"/>
              </w:rPr>
              <w:t>上年能</w:t>
            </w:r>
          </w:p>
          <w:p w14:paraId="18FDA414">
            <w:pPr>
              <w:pStyle w:val="6"/>
              <w:spacing w:before="19" w:line="222" w:lineRule="auto"/>
              <w:ind w:left="365"/>
            </w:pPr>
            <w:r>
              <w:t>源</w:t>
            </w:r>
          </w:p>
          <w:p w14:paraId="09AA13E6">
            <w:pPr>
              <w:pStyle w:val="6"/>
              <w:spacing w:before="31" w:line="220" w:lineRule="auto"/>
              <w:ind w:left="274"/>
            </w:pPr>
            <w:r>
              <w:rPr>
                <w:spacing w:val="5"/>
              </w:rPr>
              <w:t>消费</w:t>
            </w:r>
          </w:p>
          <w:p w14:paraId="4E440B78">
            <w:pPr>
              <w:pStyle w:val="6"/>
              <w:spacing w:before="3" w:line="219" w:lineRule="auto"/>
              <w:ind w:left="184"/>
            </w:pPr>
            <w:r>
              <w:rPr>
                <w:spacing w:val="5"/>
              </w:rPr>
              <w:t>弹性系</w:t>
            </w:r>
          </w:p>
          <w:p w14:paraId="4A7F32BA">
            <w:pPr>
              <w:pStyle w:val="6"/>
              <w:spacing w:before="17" w:line="204" w:lineRule="auto"/>
              <w:ind w:left="365"/>
            </w:pPr>
            <w:r>
              <w:t>数</w:t>
            </w:r>
          </w:p>
        </w:tc>
        <w:tc>
          <w:tcPr>
            <w:tcW w:w="1080" w:type="dxa"/>
            <w:vAlign w:val="top"/>
          </w:tcPr>
          <w:p w14:paraId="52528360">
            <w:pPr>
              <w:pStyle w:val="6"/>
              <w:spacing w:before="121" w:line="219" w:lineRule="auto"/>
              <w:ind w:left="174"/>
            </w:pPr>
            <w:r>
              <w:rPr>
                <w:spacing w:val="3"/>
              </w:rPr>
              <w:t>本期增加</w:t>
            </w:r>
          </w:p>
          <w:p w14:paraId="40146119">
            <w:pPr>
              <w:pStyle w:val="6"/>
              <w:spacing w:before="47" w:line="241" w:lineRule="exact"/>
              <w:ind w:left="444"/>
            </w:pPr>
            <w:r>
              <w:rPr>
                <w:position w:val="4"/>
              </w:rPr>
              <w:t>值</w:t>
            </w:r>
          </w:p>
          <w:p w14:paraId="73CA6183">
            <w:pPr>
              <w:pStyle w:val="6"/>
              <w:spacing w:line="220" w:lineRule="auto"/>
              <w:ind w:left="354"/>
            </w:pPr>
            <w:r>
              <w:rPr>
                <w:spacing w:val="-2"/>
              </w:rPr>
              <w:t>增速</w:t>
            </w:r>
          </w:p>
          <w:p w14:paraId="551910E3">
            <w:pPr>
              <w:pStyle w:val="6"/>
              <w:spacing w:before="36" w:line="222" w:lineRule="auto"/>
              <w:ind w:left="394"/>
            </w:pPr>
            <w:r>
              <w:rPr>
                <w:spacing w:val="-9"/>
              </w:rPr>
              <w:t>(%)</w:t>
            </w:r>
          </w:p>
        </w:tc>
        <w:tc>
          <w:tcPr>
            <w:tcW w:w="1749" w:type="dxa"/>
            <w:tcBorders>
              <w:right w:val="nil"/>
            </w:tcBorders>
            <w:vAlign w:val="top"/>
          </w:tcPr>
          <w:p w14:paraId="408EB0F0">
            <w:pPr>
              <w:pStyle w:val="6"/>
              <w:spacing w:before="271" w:line="219" w:lineRule="auto"/>
              <w:ind w:left="144"/>
            </w:pPr>
            <w:r>
              <w:rPr>
                <w:spacing w:val="1"/>
              </w:rPr>
              <w:t>本期能源消费量增</w:t>
            </w:r>
          </w:p>
          <w:p w14:paraId="36B35DEA">
            <w:pPr>
              <w:pStyle w:val="6"/>
              <w:spacing w:before="31" w:line="224" w:lineRule="auto"/>
              <w:ind w:left="774"/>
            </w:pPr>
            <w:r>
              <w:t>速</w:t>
            </w:r>
          </w:p>
          <w:p w14:paraId="6C848B1E">
            <w:pPr>
              <w:pStyle w:val="6"/>
              <w:spacing w:before="30" w:line="222" w:lineRule="auto"/>
              <w:ind w:left="734"/>
            </w:pPr>
            <w:r>
              <w:rPr>
                <w:spacing w:val="-9"/>
              </w:rPr>
              <w:t>(%)</w:t>
            </w:r>
          </w:p>
        </w:tc>
      </w:tr>
      <w:tr w14:paraId="41695A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3280" w:type="dxa"/>
            <w:tcBorders>
              <w:left w:val="nil"/>
            </w:tcBorders>
            <w:vAlign w:val="top"/>
          </w:tcPr>
          <w:p w14:paraId="783F824D">
            <w:pPr>
              <w:pStyle w:val="6"/>
              <w:spacing w:before="74" w:line="222" w:lineRule="auto"/>
              <w:ind w:left="1539"/>
            </w:pPr>
            <w:r>
              <w:t>甲</w:t>
            </w:r>
          </w:p>
        </w:tc>
        <w:tc>
          <w:tcPr>
            <w:tcW w:w="1080" w:type="dxa"/>
            <w:vAlign w:val="top"/>
          </w:tcPr>
          <w:p w14:paraId="6E676B2B">
            <w:pPr>
              <w:rPr>
                <w:rFonts w:ascii="Arial"/>
                <w:sz w:val="21"/>
              </w:rPr>
            </w:pPr>
          </w:p>
        </w:tc>
        <w:tc>
          <w:tcPr>
            <w:tcW w:w="1500" w:type="dxa"/>
            <w:vAlign w:val="top"/>
          </w:tcPr>
          <w:p w14:paraId="26FAC5E4">
            <w:pPr>
              <w:pStyle w:val="6"/>
              <w:spacing w:before="117" w:line="183" w:lineRule="auto"/>
              <w:ind w:left="694"/>
            </w:pPr>
            <w:r>
              <w:t>2</w:t>
            </w:r>
          </w:p>
        </w:tc>
        <w:tc>
          <w:tcPr>
            <w:tcW w:w="920" w:type="dxa"/>
            <w:vAlign w:val="top"/>
          </w:tcPr>
          <w:p w14:paraId="12CBEF09">
            <w:pPr>
              <w:pStyle w:val="6"/>
              <w:spacing w:before="117" w:line="183" w:lineRule="auto"/>
              <w:ind w:left="405"/>
            </w:pPr>
            <w:r>
              <w:t>3</w:t>
            </w:r>
          </w:p>
        </w:tc>
        <w:tc>
          <w:tcPr>
            <w:tcW w:w="1080" w:type="dxa"/>
            <w:vAlign w:val="top"/>
          </w:tcPr>
          <w:p w14:paraId="6D307917">
            <w:pPr>
              <w:pStyle w:val="6"/>
              <w:spacing w:before="117" w:line="183" w:lineRule="auto"/>
              <w:ind w:left="484"/>
            </w:pPr>
            <w:r>
              <w:t>4</w:t>
            </w:r>
          </w:p>
        </w:tc>
        <w:tc>
          <w:tcPr>
            <w:tcW w:w="1749" w:type="dxa"/>
            <w:tcBorders>
              <w:right w:val="nil"/>
            </w:tcBorders>
            <w:vAlign w:val="top"/>
          </w:tcPr>
          <w:p w14:paraId="3603026A">
            <w:pPr>
              <w:pStyle w:val="6"/>
              <w:spacing w:before="118" w:line="182" w:lineRule="auto"/>
              <w:ind w:left="825"/>
            </w:pPr>
            <w:r>
              <w:t>5</w:t>
            </w:r>
          </w:p>
        </w:tc>
      </w:tr>
      <w:tr w14:paraId="59B20D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0" w:hRule="atLeast"/>
        </w:trPr>
        <w:tc>
          <w:tcPr>
            <w:tcW w:w="3280" w:type="dxa"/>
            <w:tcBorders>
              <w:left w:val="nil"/>
            </w:tcBorders>
            <w:vAlign w:val="top"/>
          </w:tcPr>
          <w:p w14:paraId="3596C6A2">
            <w:pPr>
              <w:pStyle w:val="6"/>
              <w:spacing w:before="73" w:line="270" w:lineRule="exact"/>
              <w:ind w:left="89"/>
            </w:pPr>
            <w:r>
              <w:rPr>
                <w:spacing w:val="-1"/>
                <w:position w:val="6"/>
              </w:rPr>
              <w:t>农、林、牧、渔业</w:t>
            </w:r>
          </w:p>
          <w:p w14:paraId="73791E6B">
            <w:pPr>
              <w:pStyle w:val="6"/>
              <w:spacing w:line="220" w:lineRule="auto"/>
              <w:ind w:left="89"/>
            </w:pPr>
            <w:r>
              <w:rPr>
                <w:spacing w:val="-3"/>
              </w:rPr>
              <w:t>建筑业</w:t>
            </w:r>
          </w:p>
          <w:p w14:paraId="56089363">
            <w:pPr>
              <w:pStyle w:val="6"/>
              <w:spacing w:before="35" w:line="219" w:lineRule="auto"/>
              <w:ind w:left="89"/>
            </w:pPr>
            <w:r>
              <w:rPr>
                <w:spacing w:val="-2"/>
              </w:rPr>
              <w:t>服务业</w:t>
            </w:r>
          </w:p>
          <w:p w14:paraId="66ECBF2C">
            <w:pPr>
              <w:pStyle w:val="6"/>
              <w:spacing w:before="66" w:line="219" w:lineRule="auto"/>
              <w:ind w:left="89"/>
            </w:pPr>
            <w:r>
              <w:rPr>
                <w:spacing w:val="-1"/>
              </w:rPr>
              <w:t>交通运输、仓储和邮政业</w:t>
            </w:r>
          </w:p>
          <w:p w14:paraId="4DA2B128">
            <w:pPr>
              <w:pStyle w:val="6"/>
              <w:spacing w:before="66" w:line="181" w:lineRule="auto"/>
              <w:ind w:left="109"/>
            </w:pPr>
            <w:r>
              <w:rPr>
                <w:spacing w:val="2"/>
              </w:rPr>
              <w:t>服务业(不含交通运输、仓储和邮政业)</w:t>
            </w:r>
          </w:p>
        </w:tc>
        <w:tc>
          <w:tcPr>
            <w:tcW w:w="1080" w:type="dxa"/>
            <w:vAlign w:val="top"/>
          </w:tcPr>
          <w:p w14:paraId="73DC6389">
            <w:pPr>
              <w:rPr>
                <w:rFonts w:ascii="Arial"/>
                <w:sz w:val="21"/>
              </w:rPr>
            </w:pPr>
          </w:p>
        </w:tc>
        <w:tc>
          <w:tcPr>
            <w:tcW w:w="1500" w:type="dxa"/>
            <w:vAlign w:val="top"/>
          </w:tcPr>
          <w:p w14:paraId="261152F6">
            <w:pPr>
              <w:rPr>
                <w:rFonts w:ascii="Arial"/>
                <w:sz w:val="21"/>
              </w:rPr>
            </w:pPr>
          </w:p>
        </w:tc>
        <w:tc>
          <w:tcPr>
            <w:tcW w:w="920" w:type="dxa"/>
            <w:vAlign w:val="top"/>
          </w:tcPr>
          <w:p w14:paraId="6E893008">
            <w:pPr>
              <w:spacing w:line="263" w:lineRule="auto"/>
              <w:rPr>
                <w:rFonts w:ascii="Arial"/>
                <w:sz w:val="21"/>
              </w:rPr>
            </w:pPr>
          </w:p>
          <w:p w14:paraId="2BAA4924">
            <w:pPr>
              <w:spacing w:line="263" w:lineRule="auto"/>
              <w:rPr>
                <w:rFonts w:ascii="Arial"/>
                <w:sz w:val="21"/>
              </w:rPr>
            </w:pPr>
          </w:p>
          <w:p w14:paraId="502A44C3">
            <w:pPr>
              <w:pStyle w:val="6"/>
              <w:spacing w:before="59" w:line="224" w:lineRule="auto"/>
              <w:ind w:left="224"/>
            </w:pPr>
            <w:r>
              <w:rPr>
                <w:spacing w:val="-2"/>
              </w:rPr>
              <w:t>3=2/1</w:t>
            </w:r>
          </w:p>
        </w:tc>
        <w:tc>
          <w:tcPr>
            <w:tcW w:w="1080" w:type="dxa"/>
            <w:vAlign w:val="top"/>
          </w:tcPr>
          <w:p w14:paraId="5C0B4AEC">
            <w:pPr>
              <w:rPr>
                <w:rFonts w:ascii="Arial"/>
                <w:sz w:val="21"/>
              </w:rPr>
            </w:pPr>
          </w:p>
        </w:tc>
        <w:tc>
          <w:tcPr>
            <w:tcW w:w="1749" w:type="dxa"/>
            <w:tcBorders>
              <w:right w:val="nil"/>
            </w:tcBorders>
            <w:vAlign w:val="top"/>
          </w:tcPr>
          <w:p w14:paraId="60E76CBA">
            <w:pPr>
              <w:spacing w:line="283" w:lineRule="auto"/>
              <w:rPr>
                <w:rFonts w:ascii="Arial"/>
                <w:sz w:val="21"/>
              </w:rPr>
            </w:pPr>
          </w:p>
          <w:p w14:paraId="1E34CE39">
            <w:pPr>
              <w:spacing w:line="284" w:lineRule="auto"/>
              <w:rPr>
                <w:rFonts w:ascii="Arial"/>
                <w:sz w:val="21"/>
              </w:rPr>
            </w:pPr>
          </w:p>
          <w:p w14:paraId="206DEA2A">
            <w:pPr>
              <w:pStyle w:val="6"/>
              <w:spacing w:before="59" w:line="183" w:lineRule="auto"/>
              <w:ind w:left="644"/>
            </w:pPr>
            <w:r>
              <w:rPr>
                <w:spacing w:val="-2"/>
              </w:rPr>
              <w:t>5=3*4</w:t>
            </w:r>
          </w:p>
        </w:tc>
      </w:tr>
    </w:tbl>
    <w:p w14:paraId="64879F95">
      <w:pPr>
        <w:spacing w:before="62" w:line="371" w:lineRule="exact"/>
        <w:ind w:left="509"/>
        <w:rPr>
          <w:rFonts w:ascii="宋体" w:hAnsi="宋体" w:eastAsia="宋体" w:cs="宋体"/>
          <w:sz w:val="21"/>
          <w:szCs w:val="21"/>
        </w:rPr>
      </w:pPr>
      <w:r>
        <w:rPr>
          <w:rFonts w:ascii="宋体" w:hAnsi="宋体" w:eastAsia="宋体" w:cs="宋体"/>
          <w:spacing w:val="-2"/>
          <w:position w:val="12"/>
          <w:sz w:val="21"/>
          <w:szCs w:val="21"/>
        </w:rPr>
        <w:t>说明：当经济运行正常、数据波动较平稳时，采用上年能源消费弹性系数；当经济运行不正常，或</w:t>
      </w:r>
    </w:p>
    <w:p w14:paraId="3C913116">
      <w:pPr>
        <w:spacing w:line="218" w:lineRule="auto"/>
        <w:ind w:left="79"/>
        <w:rPr>
          <w:rFonts w:ascii="宋体" w:hAnsi="宋体" w:eastAsia="宋体" w:cs="宋体"/>
          <w:sz w:val="21"/>
          <w:szCs w:val="21"/>
        </w:rPr>
      </w:pPr>
      <w:r>
        <w:rPr>
          <w:rFonts w:ascii="宋体" w:hAnsi="宋体" w:eastAsia="宋体" w:cs="宋体"/>
          <w:spacing w:val="-1"/>
          <w:sz w:val="21"/>
          <w:szCs w:val="21"/>
        </w:rPr>
        <w:t>部分行业上年弹性系数为负、弹性系数过大及弹性系数接近零的情况下，可采用往年弹性系数。</w:t>
      </w:r>
    </w:p>
    <w:p w14:paraId="38650D50">
      <w:pPr>
        <w:spacing w:before="108" w:line="222" w:lineRule="auto"/>
        <w:ind w:left="512"/>
        <w:outlineLvl w:val="1"/>
        <w:rPr>
          <w:rFonts w:ascii="黑体" w:hAnsi="黑体" w:eastAsia="黑体" w:cs="黑体"/>
          <w:sz w:val="21"/>
          <w:szCs w:val="21"/>
        </w:rPr>
      </w:pPr>
      <w:r>
        <w:rPr>
          <w:rFonts w:ascii="黑体" w:hAnsi="黑体" w:eastAsia="黑体" w:cs="黑体"/>
          <w:b/>
          <w:bCs/>
          <w:spacing w:val="-6"/>
          <w:sz w:val="21"/>
          <w:szCs w:val="21"/>
        </w:rPr>
        <w:t>三、分行业和居民生活核算情况</w:t>
      </w:r>
    </w:p>
    <w:p w14:paraId="20BCB195">
      <w:pPr>
        <w:spacing w:before="122" w:line="227" w:lineRule="auto"/>
        <w:ind w:left="609"/>
        <w:rPr>
          <w:rFonts w:ascii="楷体" w:hAnsi="楷体" w:eastAsia="楷体" w:cs="楷体"/>
          <w:sz w:val="21"/>
          <w:szCs w:val="21"/>
        </w:rPr>
      </w:pPr>
      <w:r>
        <w:rPr>
          <w:rFonts w:ascii="楷体" w:hAnsi="楷体" w:eastAsia="楷体" w:cs="楷体"/>
          <w:spacing w:val="8"/>
          <w:sz w:val="21"/>
          <w:szCs w:val="21"/>
        </w:rPr>
        <w:t>(一)农、林、牧、渔业</w:t>
      </w:r>
    </w:p>
    <w:p w14:paraId="333CB9C2">
      <w:pPr>
        <w:spacing w:before="92" w:line="219" w:lineRule="auto"/>
        <w:ind w:left="509"/>
        <w:rPr>
          <w:rFonts w:ascii="宋体" w:hAnsi="宋体" w:eastAsia="宋体" w:cs="宋体"/>
          <w:sz w:val="21"/>
          <w:szCs w:val="21"/>
        </w:rPr>
      </w:pPr>
      <w:r>
        <w:rPr>
          <w:rFonts w:ascii="宋体" w:hAnsi="宋体" w:eastAsia="宋体" w:cs="宋体"/>
          <w:spacing w:val="-3"/>
          <w:sz w:val="21"/>
          <w:szCs w:val="21"/>
        </w:rPr>
        <w:t>分别按照核算方法一、核算方法二和核算方法三进行核算。</w:t>
      </w:r>
    </w:p>
    <w:p w14:paraId="07DEC359">
      <w:pPr>
        <w:spacing w:before="106" w:line="232" w:lineRule="auto"/>
        <w:ind w:left="609"/>
        <w:rPr>
          <w:rFonts w:ascii="楷体" w:hAnsi="楷体" w:eastAsia="楷体" w:cs="楷体"/>
          <w:sz w:val="21"/>
          <w:szCs w:val="21"/>
        </w:rPr>
      </w:pPr>
      <w:r>
        <w:rPr>
          <w:rFonts w:ascii="楷体" w:hAnsi="楷体" w:eastAsia="楷体" w:cs="楷体"/>
          <w:spacing w:val="24"/>
          <w:sz w:val="21"/>
          <w:szCs w:val="21"/>
        </w:rPr>
        <w:t>(二)工业</w:t>
      </w:r>
    </w:p>
    <w:p w14:paraId="4BE7FC3D">
      <w:pPr>
        <w:spacing w:before="90" w:line="370" w:lineRule="exact"/>
        <w:ind w:left="509"/>
        <w:rPr>
          <w:rFonts w:ascii="宋体" w:hAnsi="宋体" w:eastAsia="宋体" w:cs="宋体"/>
          <w:sz w:val="21"/>
          <w:szCs w:val="21"/>
        </w:rPr>
      </w:pPr>
      <w:r>
        <w:rPr>
          <w:rFonts w:ascii="宋体" w:hAnsi="宋体" w:eastAsia="宋体" w:cs="宋体"/>
          <w:spacing w:val="-1"/>
          <w:position w:val="12"/>
          <w:sz w:val="21"/>
          <w:szCs w:val="21"/>
        </w:rPr>
        <w:t>工业不使用以上三种核算方法，使用本期规模以上工业能源消费量及上年规模以</w:t>
      </w:r>
      <w:r>
        <w:rPr>
          <w:rFonts w:ascii="宋体" w:hAnsi="宋体" w:eastAsia="宋体" w:cs="宋体"/>
          <w:spacing w:val="-2"/>
          <w:position w:val="12"/>
          <w:sz w:val="21"/>
          <w:szCs w:val="21"/>
        </w:rPr>
        <w:t>上工业占工业能源</w:t>
      </w:r>
    </w:p>
    <w:p w14:paraId="1CC6E424">
      <w:pPr>
        <w:spacing w:line="218" w:lineRule="auto"/>
        <w:ind w:left="79"/>
        <w:rPr>
          <w:rFonts w:ascii="宋体" w:hAnsi="宋体" w:eastAsia="宋体" w:cs="宋体"/>
          <w:sz w:val="21"/>
          <w:szCs w:val="21"/>
        </w:rPr>
      </w:pPr>
      <w:r>
        <w:rPr>
          <w:rFonts w:ascii="宋体" w:hAnsi="宋体" w:eastAsia="宋体" w:cs="宋体"/>
          <w:spacing w:val="-2"/>
          <w:sz w:val="21"/>
          <w:szCs w:val="21"/>
        </w:rPr>
        <w:t>消费量比重进行核算。因此，三种核算方法中的工业数据均使用本方法数据结果。</w:t>
      </w:r>
    </w:p>
    <w:p w14:paraId="0CA1C172">
      <w:pPr>
        <w:spacing w:before="113" w:line="219" w:lineRule="auto"/>
        <w:ind w:left="509"/>
        <w:rPr>
          <w:rFonts w:ascii="宋体" w:hAnsi="宋体" w:eastAsia="宋体" w:cs="宋体"/>
          <w:sz w:val="21"/>
          <w:szCs w:val="21"/>
        </w:rPr>
      </w:pPr>
      <w:r>
        <w:rPr>
          <w:rFonts w:ascii="宋体" w:hAnsi="宋体" w:eastAsia="宋体" w:cs="宋体"/>
          <w:spacing w:val="-2"/>
          <w:sz w:val="21"/>
          <w:szCs w:val="21"/>
        </w:rPr>
        <w:t>1.规模以上工业企业数据整理</w:t>
      </w:r>
    </w:p>
    <w:p w14:paraId="34B7177A">
      <w:pPr>
        <w:spacing w:before="111" w:line="219" w:lineRule="auto"/>
        <w:ind w:left="609"/>
        <w:rPr>
          <w:rFonts w:ascii="宋体" w:hAnsi="宋体" w:eastAsia="宋体" w:cs="宋体"/>
          <w:sz w:val="21"/>
          <w:szCs w:val="21"/>
        </w:rPr>
      </w:pPr>
      <w:r>
        <w:rPr>
          <w:rFonts w:ascii="宋体" w:hAnsi="宋体" w:eastAsia="宋体" w:cs="宋体"/>
          <w:spacing w:val="8"/>
          <w:sz w:val="21"/>
          <w:szCs w:val="21"/>
        </w:rPr>
        <w:t>(1)资料来源于205-1/-2表。</w:t>
      </w:r>
    </w:p>
    <w:p w14:paraId="55B5634B">
      <w:pPr>
        <w:spacing w:before="108" w:line="218" w:lineRule="auto"/>
        <w:ind w:left="609"/>
        <w:rPr>
          <w:rFonts w:ascii="宋体" w:hAnsi="宋体" w:eastAsia="宋体" w:cs="宋体"/>
          <w:sz w:val="21"/>
          <w:szCs w:val="21"/>
        </w:rPr>
      </w:pPr>
      <w:r>
        <w:rPr>
          <w:rFonts w:ascii="宋体" w:hAnsi="宋体" w:eastAsia="宋体" w:cs="宋体"/>
          <w:spacing w:val="6"/>
          <w:sz w:val="21"/>
          <w:szCs w:val="21"/>
        </w:rPr>
        <w:t>(2)企业数据整理的目的是将企业电力当量折标系数调整为等价折标系数(发电煤耗)。</w:t>
      </w:r>
    </w:p>
    <w:p w14:paraId="4E72C7CC">
      <w:pPr>
        <w:spacing w:before="125" w:line="219" w:lineRule="auto"/>
        <w:ind w:left="609"/>
        <w:rPr>
          <w:rFonts w:ascii="宋体" w:hAnsi="宋体" w:eastAsia="宋体" w:cs="宋体"/>
          <w:sz w:val="21"/>
          <w:szCs w:val="21"/>
        </w:rPr>
      </w:pPr>
      <w:r>
        <w:rPr>
          <w:rFonts w:ascii="宋体" w:hAnsi="宋体" w:eastAsia="宋体" w:cs="宋体"/>
          <w:spacing w:val="3"/>
          <w:sz w:val="21"/>
          <w:szCs w:val="21"/>
        </w:rPr>
        <w:t>(3)企业数据整理的原则：</w:t>
      </w:r>
    </w:p>
    <w:p w14:paraId="20824292">
      <w:pPr>
        <w:spacing w:before="98" w:line="217" w:lineRule="auto"/>
        <w:ind w:left="509"/>
        <w:rPr>
          <w:rFonts w:ascii="宋体" w:hAnsi="宋体" w:eastAsia="宋体" w:cs="宋体"/>
          <w:sz w:val="21"/>
          <w:szCs w:val="21"/>
        </w:rPr>
      </w:pPr>
      <w:r>
        <w:rPr>
          <w:rFonts w:ascii="宋体" w:hAnsi="宋体" w:eastAsia="宋体" w:cs="宋体"/>
          <w:spacing w:val="8"/>
          <w:sz w:val="21"/>
          <w:szCs w:val="21"/>
        </w:rPr>
        <w:t>①用电企业电力等价折标系数采用本地区平均等价折标系数(按205-2表计算);</w:t>
      </w:r>
    </w:p>
    <w:p w14:paraId="04E12EA6">
      <w:pPr>
        <w:spacing w:before="113" w:line="217" w:lineRule="auto"/>
        <w:ind w:left="509"/>
        <w:rPr>
          <w:rFonts w:ascii="宋体" w:hAnsi="宋体" w:eastAsia="宋体" w:cs="宋体"/>
          <w:sz w:val="21"/>
          <w:szCs w:val="21"/>
        </w:rPr>
      </w:pPr>
      <w:r>
        <w:rPr>
          <w:rFonts w:ascii="宋体" w:hAnsi="宋体" w:eastAsia="宋体" w:cs="宋体"/>
          <w:spacing w:val="-1"/>
          <w:sz w:val="21"/>
          <w:szCs w:val="21"/>
        </w:rPr>
        <w:t>②火力发电企业和有自备电厂且发电量大于本企业用</w:t>
      </w:r>
      <w:r>
        <w:rPr>
          <w:rFonts w:ascii="宋体" w:hAnsi="宋体" w:eastAsia="宋体" w:cs="宋体"/>
          <w:spacing w:val="-2"/>
          <w:sz w:val="21"/>
          <w:szCs w:val="21"/>
        </w:rPr>
        <w:t>电量的企业，采用本企业等价折标系数；</w:t>
      </w:r>
    </w:p>
    <w:p w14:paraId="391D69AB">
      <w:pPr>
        <w:spacing w:line="217" w:lineRule="auto"/>
        <w:rPr>
          <w:rFonts w:ascii="宋体" w:hAnsi="宋体" w:eastAsia="宋体" w:cs="宋体"/>
          <w:sz w:val="21"/>
          <w:szCs w:val="21"/>
        </w:rPr>
        <w:sectPr>
          <w:headerReference r:id="rId83" w:type="default"/>
          <w:pgSz w:w="11910" w:h="16840"/>
          <w:pgMar w:top="1069" w:right="1150" w:bottom="400" w:left="1150" w:header="876" w:footer="0" w:gutter="0"/>
          <w:cols w:space="720" w:num="1"/>
        </w:sectPr>
      </w:pPr>
    </w:p>
    <w:p w14:paraId="320E8E01">
      <w:pPr>
        <w:pStyle w:val="2"/>
        <w:spacing w:line="368" w:lineRule="auto"/>
      </w:pPr>
    </w:p>
    <w:p w14:paraId="3C8A343B">
      <w:pPr>
        <w:spacing w:before="68" w:line="219" w:lineRule="auto"/>
        <w:ind w:left="3509"/>
        <w:rPr>
          <w:rFonts w:ascii="宋体" w:hAnsi="宋体" w:eastAsia="宋体" w:cs="宋体"/>
          <w:sz w:val="21"/>
          <w:szCs w:val="21"/>
        </w:rPr>
      </w:pPr>
      <w:r>
        <w:drawing>
          <wp:anchor distT="0" distB="0" distL="0" distR="0" simplePos="0" relativeHeight="251760640" behindDoc="0" locked="0" layoutInCell="1" allowOverlap="1">
            <wp:simplePos x="0" y="0"/>
            <wp:positionH relativeFrom="column">
              <wp:posOffset>0</wp:posOffset>
            </wp:positionH>
            <wp:positionV relativeFrom="paragraph">
              <wp:posOffset>169545</wp:posOffset>
            </wp:positionV>
            <wp:extent cx="5960110" cy="20320"/>
            <wp:effectExtent l="0" t="0" r="0" b="0"/>
            <wp:wrapNone/>
            <wp:docPr id="138" name="IM 138"/>
            <wp:cNvGraphicFramePr/>
            <a:graphic xmlns:a="http://schemas.openxmlformats.org/drawingml/2006/main">
              <a:graphicData uri="http://schemas.openxmlformats.org/drawingml/2006/picture">
                <pic:pic xmlns:pic="http://schemas.openxmlformats.org/drawingml/2006/picture">
                  <pic:nvPicPr>
                    <pic:cNvPr id="138" name="IM 138"/>
                    <pic:cNvPicPr/>
                  </pic:nvPicPr>
                  <pic:blipFill>
                    <a:blip r:embed="rId101"/>
                    <a:stretch>
                      <a:fillRect/>
                    </a:stretch>
                  </pic:blipFill>
                  <pic:spPr>
                    <a:xfrm>
                      <a:off x="0" y="0"/>
                      <a:ext cx="5959950" cy="20135"/>
                    </a:xfrm>
                    <a:prstGeom prst="rect">
                      <a:avLst/>
                    </a:prstGeom>
                  </pic:spPr>
                </pic:pic>
              </a:graphicData>
            </a:graphic>
          </wp:anchor>
        </w:drawing>
      </w:r>
      <w:r>
        <w:rPr>
          <w:rFonts w:ascii="宋体" w:hAnsi="宋体" w:eastAsia="宋体" w:cs="宋体"/>
          <w:spacing w:val="-7"/>
          <w:sz w:val="21"/>
          <w:szCs w:val="21"/>
        </w:rPr>
        <w:t>福</w:t>
      </w:r>
      <w:r>
        <w:rPr>
          <w:rFonts w:ascii="宋体" w:hAnsi="宋体" w:eastAsia="宋体" w:cs="宋体"/>
          <w:spacing w:val="-33"/>
          <w:sz w:val="21"/>
          <w:szCs w:val="21"/>
        </w:rPr>
        <w:t xml:space="preserve"> </w:t>
      </w:r>
      <w:r>
        <w:rPr>
          <w:rFonts w:ascii="宋体" w:hAnsi="宋体" w:eastAsia="宋体" w:cs="宋体"/>
          <w:spacing w:val="-7"/>
          <w:sz w:val="21"/>
          <w:szCs w:val="21"/>
        </w:rPr>
        <w:t>建</w:t>
      </w:r>
      <w:r>
        <w:rPr>
          <w:rFonts w:ascii="宋体" w:hAnsi="宋体" w:eastAsia="宋体" w:cs="宋体"/>
          <w:spacing w:val="-32"/>
          <w:sz w:val="21"/>
          <w:szCs w:val="21"/>
        </w:rPr>
        <w:t xml:space="preserve"> </w:t>
      </w:r>
      <w:r>
        <w:rPr>
          <w:rFonts w:ascii="宋体" w:hAnsi="宋体" w:eastAsia="宋体" w:cs="宋体"/>
          <w:spacing w:val="-7"/>
          <w:sz w:val="21"/>
          <w:szCs w:val="21"/>
        </w:rPr>
        <w:t>省</w:t>
      </w:r>
      <w:r>
        <w:rPr>
          <w:rFonts w:ascii="宋体" w:hAnsi="宋体" w:eastAsia="宋体" w:cs="宋体"/>
          <w:spacing w:val="-27"/>
          <w:sz w:val="21"/>
          <w:szCs w:val="21"/>
        </w:rPr>
        <w:t xml:space="preserve"> </w:t>
      </w:r>
      <w:r>
        <w:rPr>
          <w:rFonts w:ascii="宋体" w:hAnsi="宋体" w:eastAsia="宋体" w:cs="宋体"/>
          <w:spacing w:val="-7"/>
          <w:sz w:val="21"/>
          <w:szCs w:val="21"/>
        </w:rPr>
        <w:t>能</w:t>
      </w:r>
      <w:r>
        <w:rPr>
          <w:rFonts w:ascii="宋体" w:hAnsi="宋体" w:eastAsia="宋体" w:cs="宋体"/>
          <w:spacing w:val="-36"/>
          <w:sz w:val="21"/>
          <w:szCs w:val="21"/>
        </w:rPr>
        <w:t xml:space="preserve"> </w:t>
      </w:r>
      <w:r>
        <w:rPr>
          <w:rFonts w:ascii="宋体" w:hAnsi="宋体" w:eastAsia="宋体" w:cs="宋体"/>
          <w:spacing w:val="-7"/>
          <w:sz w:val="21"/>
          <w:szCs w:val="21"/>
        </w:rPr>
        <w:t>源</w:t>
      </w:r>
      <w:r>
        <w:rPr>
          <w:rFonts w:ascii="宋体" w:hAnsi="宋体" w:eastAsia="宋体" w:cs="宋体"/>
          <w:spacing w:val="-34"/>
          <w:sz w:val="21"/>
          <w:szCs w:val="21"/>
        </w:rPr>
        <w:t xml:space="preserve"> </w:t>
      </w:r>
      <w:r>
        <w:rPr>
          <w:rFonts w:ascii="宋体" w:hAnsi="宋体" w:eastAsia="宋体" w:cs="宋体"/>
          <w:spacing w:val="-7"/>
          <w:sz w:val="21"/>
          <w:szCs w:val="21"/>
        </w:rPr>
        <w:t>制</w:t>
      </w:r>
      <w:r>
        <w:rPr>
          <w:rFonts w:ascii="宋体" w:hAnsi="宋体" w:eastAsia="宋体" w:cs="宋体"/>
          <w:spacing w:val="-36"/>
          <w:sz w:val="21"/>
          <w:szCs w:val="21"/>
        </w:rPr>
        <w:t xml:space="preserve"> </w:t>
      </w:r>
      <w:r>
        <w:rPr>
          <w:rFonts w:ascii="宋体" w:hAnsi="宋体" w:eastAsia="宋体" w:cs="宋体"/>
          <w:spacing w:val="-7"/>
          <w:sz w:val="21"/>
          <w:szCs w:val="21"/>
        </w:rPr>
        <w:t>度</w:t>
      </w:r>
      <w:r>
        <w:rPr>
          <w:rFonts w:ascii="宋体" w:hAnsi="宋体" w:eastAsia="宋体" w:cs="宋体"/>
          <w:spacing w:val="2"/>
          <w:sz w:val="21"/>
          <w:szCs w:val="21"/>
        </w:rPr>
        <w:t xml:space="preserve">                           </w:t>
      </w:r>
      <w:r>
        <w:rPr>
          <w:rFonts w:ascii="宋体" w:hAnsi="宋体" w:eastAsia="宋体" w:cs="宋体"/>
          <w:spacing w:val="1"/>
          <w:sz w:val="21"/>
          <w:szCs w:val="21"/>
        </w:rPr>
        <w:t xml:space="preserve">     </w:t>
      </w:r>
      <w:r>
        <w:rPr>
          <w:rFonts w:ascii="宋体" w:hAnsi="宋体" w:eastAsia="宋体" w:cs="宋体"/>
          <w:spacing w:val="-7"/>
          <w:position w:val="-1"/>
          <w:sz w:val="21"/>
          <w:szCs w:val="21"/>
        </w:rPr>
        <w:t>—79—</w:t>
      </w:r>
    </w:p>
    <w:p w14:paraId="7AF10856">
      <w:pPr>
        <w:pStyle w:val="2"/>
        <w:spacing w:line="328" w:lineRule="auto"/>
      </w:pPr>
    </w:p>
    <w:p w14:paraId="58FD74D1">
      <w:pPr>
        <w:spacing w:before="68" w:line="263" w:lineRule="auto"/>
        <w:ind w:right="54" w:firstLine="420"/>
        <w:rPr>
          <w:rFonts w:ascii="宋体" w:hAnsi="宋体" w:eastAsia="宋体" w:cs="宋体"/>
          <w:sz w:val="21"/>
          <w:szCs w:val="21"/>
        </w:rPr>
      </w:pPr>
      <w:r>
        <w:rPr>
          <w:rFonts w:ascii="宋体" w:hAnsi="宋体" w:eastAsia="宋体" w:cs="宋体"/>
          <w:spacing w:val="6"/>
          <w:sz w:val="21"/>
          <w:szCs w:val="21"/>
        </w:rPr>
        <w:t>③有自备电厂(或发电机组)且本企业用电量大于发电量的企业，购入的电量(企业电</w:t>
      </w:r>
      <w:r>
        <w:rPr>
          <w:rFonts w:ascii="宋体" w:hAnsi="宋体" w:eastAsia="宋体" w:cs="宋体"/>
          <w:spacing w:val="5"/>
          <w:sz w:val="21"/>
          <w:szCs w:val="21"/>
        </w:rPr>
        <w:t>力消费合计</w:t>
      </w:r>
      <w:r>
        <w:rPr>
          <w:rFonts w:ascii="宋体" w:hAnsi="宋体" w:eastAsia="宋体" w:cs="宋体"/>
          <w:sz w:val="21"/>
          <w:szCs w:val="21"/>
        </w:rPr>
        <w:t xml:space="preserve"> </w:t>
      </w:r>
      <w:r>
        <w:rPr>
          <w:rFonts w:ascii="宋体" w:hAnsi="宋体" w:eastAsia="宋体" w:cs="宋体"/>
          <w:spacing w:val="1"/>
          <w:sz w:val="21"/>
          <w:szCs w:val="21"/>
        </w:rPr>
        <w:t>一电力产出)采用本地区平均等价折标系数，本企业生产的电量采用本企业等价折标系数。</w:t>
      </w:r>
    </w:p>
    <w:p w14:paraId="026D11C7">
      <w:pPr>
        <w:spacing w:before="103" w:line="369" w:lineRule="exact"/>
        <w:ind w:left="420"/>
        <w:rPr>
          <w:rFonts w:ascii="宋体" w:hAnsi="宋体" w:eastAsia="宋体" w:cs="宋体"/>
          <w:sz w:val="21"/>
          <w:szCs w:val="21"/>
        </w:rPr>
      </w:pPr>
      <w:r>
        <w:rPr>
          <w:rFonts w:ascii="宋体" w:hAnsi="宋体" w:eastAsia="宋体" w:cs="宋体"/>
          <w:spacing w:val="-3"/>
          <w:position w:val="11"/>
          <w:sz w:val="21"/>
          <w:szCs w:val="21"/>
        </w:rPr>
        <w:t>2.规模以上工业能源消费量计算</w:t>
      </w:r>
    </w:p>
    <w:p w14:paraId="49A8519A">
      <w:pPr>
        <w:spacing w:before="1" w:line="217" w:lineRule="auto"/>
        <w:ind w:left="519"/>
        <w:rPr>
          <w:rFonts w:ascii="宋体" w:hAnsi="宋体" w:eastAsia="宋体" w:cs="宋体"/>
          <w:sz w:val="21"/>
          <w:szCs w:val="21"/>
        </w:rPr>
      </w:pPr>
      <w:r>
        <w:rPr>
          <w:rFonts w:ascii="宋体" w:hAnsi="宋体" w:eastAsia="宋体" w:cs="宋体"/>
          <w:spacing w:val="7"/>
          <w:sz w:val="21"/>
          <w:szCs w:val="21"/>
        </w:rPr>
        <w:t>(1)电力等价折标系数</w:t>
      </w:r>
    </w:p>
    <w:p w14:paraId="72CB7A28">
      <w:pPr>
        <w:spacing w:before="112" w:line="218" w:lineRule="auto"/>
        <w:ind w:left="420"/>
        <w:rPr>
          <w:rFonts w:ascii="宋体" w:hAnsi="宋体" w:eastAsia="宋体" w:cs="宋体"/>
          <w:sz w:val="21"/>
          <w:szCs w:val="21"/>
        </w:rPr>
      </w:pPr>
      <w:r>
        <w:rPr>
          <w:rFonts w:ascii="宋体" w:hAnsi="宋体" w:eastAsia="宋体" w:cs="宋体"/>
          <w:spacing w:val="14"/>
          <w:sz w:val="21"/>
          <w:szCs w:val="21"/>
        </w:rPr>
        <w:t>电力等价折标系数=火力发电投入的能源合计(205-2表第40行第3栏)÷电力产出量(205-2表</w:t>
      </w:r>
    </w:p>
    <w:p w14:paraId="5C3085C3">
      <w:pPr>
        <w:spacing w:before="113" w:line="359" w:lineRule="exact"/>
        <w:ind w:left="2330"/>
        <w:rPr>
          <w:rFonts w:ascii="宋体" w:hAnsi="宋体" w:eastAsia="宋体" w:cs="宋体"/>
          <w:sz w:val="21"/>
          <w:szCs w:val="21"/>
        </w:rPr>
      </w:pPr>
      <w:r>
        <w:rPr>
          <w:rFonts w:ascii="宋体" w:hAnsi="宋体" w:eastAsia="宋体" w:cs="宋体"/>
          <w:spacing w:val="24"/>
          <w:position w:val="11"/>
          <w:sz w:val="21"/>
          <w:szCs w:val="21"/>
        </w:rPr>
        <w:t>第33行第11栏)</w:t>
      </w:r>
    </w:p>
    <w:p w14:paraId="0FF1E195">
      <w:pPr>
        <w:spacing w:before="1" w:line="217" w:lineRule="auto"/>
        <w:ind w:left="519"/>
        <w:rPr>
          <w:rFonts w:ascii="宋体" w:hAnsi="宋体" w:eastAsia="宋体" w:cs="宋体"/>
          <w:sz w:val="21"/>
          <w:szCs w:val="21"/>
        </w:rPr>
      </w:pPr>
      <w:r>
        <w:rPr>
          <w:rFonts w:ascii="宋体" w:hAnsi="宋体" w:eastAsia="宋体" w:cs="宋体"/>
          <w:spacing w:val="14"/>
          <w:sz w:val="21"/>
          <w:szCs w:val="21"/>
        </w:rPr>
        <w:t>(2)企业能源消费量(等价值)</w:t>
      </w:r>
    </w:p>
    <w:p w14:paraId="096EE5C1">
      <w:pPr>
        <w:spacing w:before="111" w:line="263" w:lineRule="auto"/>
        <w:ind w:left="420" w:right="54"/>
        <w:jc w:val="right"/>
        <w:rPr>
          <w:rFonts w:ascii="宋体" w:hAnsi="宋体" w:eastAsia="宋体" w:cs="宋体"/>
          <w:sz w:val="21"/>
          <w:szCs w:val="21"/>
        </w:rPr>
      </w:pPr>
      <w:r>
        <w:rPr>
          <w:rFonts w:ascii="宋体" w:hAnsi="宋体" w:eastAsia="宋体" w:cs="宋体"/>
          <w:spacing w:val="17"/>
          <w:sz w:val="21"/>
          <w:szCs w:val="21"/>
        </w:rPr>
        <w:t>企业能源消费量(等价值)=综合能源消费量(205-1表代码48)+工业生产电力消费×</w:t>
      </w:r>
      <w:r>
        <w:rPr>
          <w:rFonts w:ascii="宋体" w:hAnsi="宋体" w:eastAsia="宋体" w:cs="宋体"/>
          <w:spacing w:val="16"/>
          <w:sz w:val="21"/>
          <w:szCs w:val="21"/>
        </w:rPr>
        <w:t>(电力等</w:t>
      </w:r>
      <w:r>
        <w:rPr>
          <w:rFonts w:ascii="宋体" w:hAnsi="宋体" w:eastAsia="宋体" w:cs="宋体"/>
          <w:sz w:val="21"/>
          <w:szCs w:val="21"/>
        </w:rPr>
        <w:t xml:space="preserve"> </w:t>
      </w:r>
      <w:r>
        <w:rPr>
          <w:rFonts w:ascii="宋体" w:hAnsi="宋体" w:eastAsia="宋体" w:cs="宋体"/>
          <w:spacing w:val="12"/>
          <w:sz w:val="21"/>
          <w:szCs w:val="21"/>
        </w:rPr>
        <w:t>价折标系数-1.229)一电力产出量×(电力等价折标系数-1.229)</w:t>
      </w:r>
    </w:p>
    <w:p w14:paraId="574A8934">
      <w:pPr>
        <w:spacing w:before="122" w:line="219" w:lineRule="auto"/>
        <w:ind w:right="29"/>
        <w:jc w:val="right"/>
        <w:rPr>
          <w:rFonts w:ascii="宋体" w:hAnsi="宋体" w:eastAsia="宋体" w:cs="宋体"/>
          <w:sz w:val="21"/>
          <w:szCs w:val="21"/>
        </w:rPr>
      </w:pPr>
      <w:r>
        <w:rPr>
          <w:rFonts w:ascii="宋体" w:hAnsi="宋体" w:eastAsia="宋体" w:cs="宋体"/>
          <w:spacing w:val="4"/>
          <w:sz w:val="21"/>
          <w:szCs w:val="21"/>
        </w:rPr>
        <w:t>有自备电厂(或发电机组)的企业按照上述“企业数据整理的原则”分别采用不同系数进行计算。</w:t>
      </w:r>
    </w:p>
    <w:p w14:paraId="568354A6">
      <w:pPr>
        <w:spacing w:before="111" w:line="264" w:lineRule="auto"/>
        <w:ind w:right="43" w:firstLine="420"/>
        <w:rPr>
          <w:rFonts w:ascii="宋体" w:hAnsi="宋体" w:eastAsia="宋体" w:cs="宋体"/>
          <w:sz w:val="21"/>
          <w:szCs w:val="21"/>
        </w:rPr>
      </w:pPr>
      <w:r>
        <w:rPr>
          <w:rFonts w:ascii="宋体" w:hAnsi="宋体" w:eastAsia="宋体" w:cs="宋体"/>
          <w:spacing w:val="-1"/>
          <w:sz w:val="21"/>
          <w:szCs w:val="21"/>
        </w:rPr>
        <w:t>3.工业能源消费量核算方法：使用本期规模以上工业能源消费量及上年规模以上工</w:t>
      </w:r>
      <w:r>
        <w:rPr>
          <w:rFonts w:ascii="宋体" w:hAnsi="宋体" w:eastAsia="宋体" w:cs="宋体"/>
          <w:spacing w:val="-2"/>
          <w:sz w:val="21"/>
          <w:szCs w:val="21"/>
        </w:rPr>
        <w:t>业占工业能源消</w:t>
      </w:r>
      <w:r>
        <w:rPr>
          <w:rFonts w:ascii="宋体" w:hAnsi="宋体" w:eastAsia="宋体" w:cs="宋体"/>
          <w:sz w:val="21"/>
          <w:szCs w:val="21"/>
        </w:rPr>
        <w:t xml:space="preserve"> </w:t>
      </w:r>
      <w:r>
        <w:rPr>
          <w:rFonts w:ascii="宋体" w:hAnsi="宋体" w:eastAsia="宋体" w:cs="宋体"/>
          <w:spacing w:val="-5"/>
          <w:sz w:val="21"/>
          <w:szCs w:val="21"/>
        </w:rPr>
        <w:t>费量比重进行核算。</w:t>
      </w:r>
    </w:p>
    <w:p w14:paraId="20BB819C">
      <w:pPr>
        <w:spacing w:before="119" w:line="219" w:lineRule="auto"/>
        <w:ind w:left="420"/>
        <w:rPr>
          <w:rFonts w:ascii="宋体" w:hAnsi="宋体" w:eastAsia="宋体" w:cs="宋体"/>
          <w:sz w:val="21"/>
          <w:szCs w:val="21"/>
        </w:rPr>
      </w:pPr>
      <w:r>
        <w:rPr>
          <w:rFonts w:ascii="宋体" w:hAnsi="宋体" w:eastAsia="宋体" w:cs="宋体"/>
          <w:sz w:val="21"/>
          <w:szCs w:val="21"/>
        </w:rPr>
        <w:t>本期工业能源消费量=本期规模以上工业能源消费量÷上年规模以上工业</w:t>
      </w:r>
      <w:r>
        <w:rPr>
          <w:rFonts w:ascii="宋体" w:hAnsi="宋体" w:eastAsia="宋体" w:cs="宋体"/>
          <w:spacing w:val="-1"/>
          <w:sz w:val="21"/>
          <w:szCs w:val="21"/>
        </w:rPr>
        <w:t>占工业能源消费量比重</w:t>
      </w:r>
    </w:p>
    <w:p w14:paraId="7CF2989B">
      <w:pPr>
        <w:spacing w:before="101" w:line="265" w:lineRule="auto"/>
        <w:ind w:left="2419" w:right="32" w:hanging="89"/>
        <w:rPr>
          <w:rFonts w:ascii="宋体" w:hAnsi="宋体" w:eastAsia="宋体" w:cs="宋体"/>
          <w:sz w:val="21"/>
          <w:szCs w:val="21"/>
        </w:rPr>
      </w:pPr>
      <w:r>
        <w:rPr>
          <w:rFonts w:ascii="宋体" w:hAnsi="宋体" w:eastAsia="宋体" w:cs="宋体"/>
          <w:spacing w:val="1"/>
          <w:sz w:val="21"/>
          <w:szCs w:val="21"/>
        </w:rPr>
        <w:t>=本期规模以上工业能源消费量÷(上年规模以上工业能源消费量/上年工业能</w:t>
      </w:r>
      <w:r>
        <w:rPr>
          <w:rFonts w:ascii="宋体" w:hAnsi="宋体" w:eastAsia="宋体" w:cs="宋体"/>
          <w:spacing w:val="9"/>
          <w:sz w:val="21"/>
          <w:szCs w:val="21"/>
        </w:rPr>
        <w:t xml:space="preserve"> </w:t>
      </w:r>
      <w:r>
        <w:rPr>
          <w:rFonts w:ascii="宋体" w:hAnsi="宋体" w:eastAsia="宋体" w:cs="宋体"/>
          <w:spacing w:val="6"/>
          <w:sz w:val="21"/>
          <w:szCs w:val="21"/>
        </w:rPr>
        <w:t>源消费量)</w:t>
      </w:r>
    </w:p>
    <w:p w14:paraId="1ADD711F">
      <w:pPr>
        <w:spacing w:before="169" w:line="220" w:lineRule="auto"/>
        <w:ind w:left="420"/>
        <w:rPr>
          <w:rFonts w:ascii="宋体" w:hAnsi="宋体" w:eastAsia="宋体" w:cs="宋体"/>
          <w:sz w:val="21"/>
          <w:szCs w:val="21"/>
        </w:rPr>
      </w:pPr>
      <w:r>
        <w:rPr>
          <w:rFonts w:ascii="宋体" w:hAnsi="宋体" w:eastAsia="宋体" w:cs="宋体"/>
          <w:spacing w:val="-13"/>
          <w:sz w:val="21"/>
          <w:szCs w:val="21"/>
        </w:rPr>
        <w:t>其中：</w:t>
      </w:r>
    </w:p>
    <w:p w14:paraId="43E39C5E">
      <w:pPr>
        <w:spacing w:before="119" w:line="268" w:lineRule="auto"/>
        <w:ind w:firstLine="519"/>
        <w:rPr>
          <w:rFonts w:ascii="宋体" w:hAnsi="宋体" w:eastAsia="宋体" w:cs="宋体"/>
          <w:sz w:val="21"/>
          <w:szCs w:val="21"/>
        </w:rPr>
      </w:pPr>
      <w:r>
        <w:rPr>
          <w:rFonts w:ascii="宋体" w:hAnsi="宋体" w:eastAsia="宋体" w:cs="宋体"/>
          <w:spacing w:val="-4"/>
          <w:sz w:val="21"/>
          <w:szCs w:val="21"/>
        </w:rPr>
        <w:t>(1)  “本期规模以上工业能源消费量”、  “上年规模以上工业能源消费量”是指20</w:t>
      </w:r>
      <w:r>
        <w:rPr>
          <w:rFonts w:ascii="宋体" w:hAnsi="宋体" w:eastAsia="宋体" w:cs="宋体"/>
          <w:spacing w:val="-5"/>
          <w:sz w:val="21"/>
          <w:szCs w:val="21"/>
        </w:rPr>
        <w:t>5-1/-2表本期</w:t>
      </w:r>
      <w:r>
        <w:rPr>
          <w:rFonts w:ascii="宋体" w:hAnsi="宋体" w:eastAsia="宋体" w:cs="宋体"/>
          <w:sz w:val="21"/>
          <w:szCs w:val="21"/>
        </w:rPr>
        <w:t xml:space="preserve"> </w:t>
      </w:r>
      <w:r>
        <w:rPr>
          <w:rFonts w:ascii="宋体" w:hAnsi="宋体" w:eastAsia="宋体" w:cs="宋体"/>
          <w:spacing w:val="-6"/>
          <w:sz w:val="21"/>
          <w:szCs w:val="21"/>
        </w:rPr>
        <w:t>和上年数据。</w:t>
      </w:r>
    </w:p>
    <w:p w14:paraId="1BD1CF44">
      <w:pPr>
        <w:spacing w:before="51" w:line="219" w:lineRule="auto"/>
        <w:ind w:left="519"/>
        <w:rPr>
          <w:rFonts w:ascii="宋体" w:hAnsi="宋体" w:eastAsia="宋体" w:cs="宋体"/>
          <w:sz w:val="21"/>
          <w:szCs w:val="21"/>
        </w:rPr>
      </w:pPr>
      <w:r>
        <w:rPr>
          <w:rFonts w:ascii="宋体" w:hAnsi="宋体" w:eastAsia="宋体" w:cs="宋体"/>
          <w:spacing w:val="-4"/>
          <w:sz w:val="21"/>
          <w:szCs w:val="21"/>
        </w:rPr>
        <w:t>(2)  “上年工业能源消费量”是指上年能源平衡表中工业能源消费</w:t>
      </w:r>
      <w:r>
        <w:rPr>
          <w:rFonts w:ascii="宋体" w:hAnsi="宋体" w:eastAsia="宋体" w:cs="宋体"/>
          <w:spacing w:val="-5"/>
          <w:sz w:val="21"/>
          <w:szCs w:val="21"/>
        </w:rPr>
        <w:t>量数据。</w:t>
      </w:r>
    </w:p>
    <w:p w14:paraId="1D656886">
      <w:pPr>
        <w:spacing w:before="112" w:line="221" w:lineRule="auto"/>
        <w:rPr>
          <w:rFonts w:ascii="宋体" w:hAnsi="宋体" w:eastAsia="宋体" w:cs="宋体"/>
          <w:sz w:val="21"/>
          <w:szCs w:val="21"/>
        </w:rPr>
      </w:pPr>
      <w:r>
        <w:rPr>
          <w:rFonts w:ascii="宋体" w:hAnsi="宋体" w:eastAsia="宋体" w:cs="宋体"/>
          <w:spacing w:val="-3"/>
          <w:sz w:val="21"/>
          <w:szCs w:val="21"/>
        </w:rPr>
        <w:t>表4</w:t>
      </w:r>
    </w:p>
    <w:p w14:paraId="16FFDA1E">
      <w:pPr>
        <w:spacing w:line="44" w:lineRule="exact"/>
      </w:pPr>
    </w:p>
    <w:tbl>
      <w:tblPr>
        <w:tblStyle w:val="5"/>
        <w:tblW w:w="9230" w:type="dxa"/>
        <w:tblInd w:w="1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60"/>
        <w:gridCol w:w="1560"/>
        <w:gridCol w:w="1560"/>
        <w:gridCol w:w="1670"/>
        <w:gridCol w:w="1540"/>
        <w:gridCol w:w="1540"/>
      </w:tblGrid>
      <w:tr w14:paraId="1DD6B1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0" w:hRule="atLeast"/>
        </w:trPr>
        <w:tc>
          <w:tcPr>
            <w:tcW w:w="1360" w:type="dxa"/>
            <w:tcBorders>
              <w:left w:val="nil"/>
            </w:tcBorders>
            <w:vAlign w:val="top"/>
          </w:tcPr>
          <w:p w14:paraId="56D45E8A">
            <w:pPr>
              <w:pStyle w:val="6"/>
              <w:spacing w:before="292" w:line="220" w:lineRule="auto"/>
              <w:ind w:left="320"/>
            </w:pPr>
            <w:r>
              <w:rPr>
                <w:spacing w:val="-2"/>
              </w:rPr>
              <w:t>指标名称</w:t>
            </w:r>
          </w:p>
        </w:tc>
        <w:tc>
          <w:tcPr>
            <w:tcW w:w="1560" w:type="dxa"/>
            <w:vAlign w:val="top"/>
          </w:tcPr>
          <w:p w14:paraId="2F0DC71A">
            <w:pPr>
              <w:pStyle w:val="6"/>
              <w:spacing w:before="182" w:line="228" w:lineRule="auto"/>
              <w:ind w:left="234" w:right="195" w:firstLine="100"/>
            </w:pPr>
            <w:r>
              <w:rPr>
                <w:spacing w:val="-8"/>
              </w:rPr>
              <w:t>上</w:t>
            </w:r>
            <w:r>
              <w:rPr>
                <w:spacing w:val="-24"/>
              </w:rPr>
              <w:t xml:space="preserve"> </w:t>
            </w:r>
            <w:r>
              <w:rPr>
                <w:spacing w:val="-8"/>
              </w:rPr>
              <w:t>年</w:t>
            </w:r>
            <w:r>
              <w:rPr>
                <w:spacing w:val="-23"/>
              </w:rPr>
              <w:t xml:space="preserve"> </w:t>
            </w:r>
            <w:r>
              <w:rPr>
                <w:spacing w:val="-8"/>
              </w:rPr>
              <w:t>工</w:t>
            </w:r>
            <w:r>
              <w:rPr>
                <w:spacing w:val="-26"/>
              </w:rPr>
              <w:t xml:space="preserve"> </w:t>
            </w:r>
            <w:r>
              <w:rPr>
                <w:spacing w:val="-8"/>
              </w:rPr>
              <w:t>业</w:t>
            </w:r>
            <w:r>
              <w:t xml:space="preserve">  </w:t>
            </w:r>
            <w:r>
              <w:rPr>
                <w:spacing w:val="5"/>
              </w:rPr>
              <w:t>(万吨标准煤)</w:t>
            </w:r>
          </w:p>
        </w:tc>
        <w:tc>
          <w:tcPr>
            <w:tcW w:w="1560" w:type="dxa"/>
            <w:vAlign w:val="top"/>
          </w:tcPr>
          <w:p w14:paraId="16042C04">
            <w:pPr>
              <w:pStyle w:val="6"/>
              <w:spacing w:before="52" w:line="219" w:lineRule="auto"/>
              <w:ind w:left="415"/>
            </w:pPr>
            <w:r>
              <w:rPr>
                <w:spacing w:val="-2"/>
              </w:rPr>
              <w:t>上年规模</w:t>
            </w:r>
          </w:p>
          <w:p w14:paraId="1E4C5B6E">
            <w:pPr>
              <w:pStyle w:val="6"/>
              <w:spacing w:before="29" w:line="222" w:lineRule="auto"/>
              <w:ind w:left="415"/>
            </w:pPr>
            <w:r>
              <w:rPr>
                <w:spacing w:val="1"/>
              </w:rPr>
              <w:t>以上工业</w:t>
            </w:r>
          </w:p>
          <w:p w14:paraId="60BD2FED">
            <w:pPr>
              <w:pStyle w:val="6"/>
              <w:spacing w:before="31" w:line="202" w:lineRule="auto"/>
              <w:ind w:left="234"/>
            </w:pPr>
            <w:r>
              <w:rPr>
                <w:spacing w:val="5"/>
              </w:rPr>
              <w:t>(万吨标准煤)</w:t>
            </w:r>
          </w:p>
        </w:tc>
        <w:tc>
          <w:tcPr>
            <w:tcW w:w="1670" w:type="dxa"/>
            <w:vAlign w:val="top"/>
          </w:tcPr>
          <w:p w14:paraId="0CD3C0C6">
            <w:pPr>
              <w:pStyle w:val="6"/>
              <w:spacing w:before="52" w:line="219" w:lineRule="auto"/>
              <w:ind w:left="284"/>
            </w:pPr>
            <w:r>
              <w:rPr>
                <w:spacing w:val="-2"/>
              </w:rPr>
              <w:t>上年规模以上</w:t>
            </w:r>
          </w:p>
          <w:p w14:paraId="617349FB">
            <w:pPr>
              <w:pStyle w:val="6"/>
              <w:spacing w:before="6" w:line="219" w:lineRule="auto"/>
              <w:ind w:left="195"/>
            </w:pPr>
            <w:r>
              <w:rPr>
                <w:spacing w:val="-2"/>
              </w:rPr>
              <w:t>工业占全部工业</w:t>
            </w:r>
          </w:p>
          <w:p w14:paraId="65B46F1E">
            <w:pPr>
              <w:pStyle w:val="6"/>
              <w:spacing w:before="58" w:line="200" w:lineRule="auto"/>
              <w:ind w:left="515"/>
            </w:pPr>
            <w:r>
              <w:rPr>
                <w:spacing w:val="7"/>
              </w:rPr>
              <w:t>比重(%)</w:t>
            </w:r>
          </w:p>
        </w:tc>
        <w:tc>
          <w:tcPr>
            <w:tcW w:w="1540" w:type="dxa"/>
            <w:vAlign w:val="top"/>
          </w:tcPr>
          <w:p w14:paraId="17349103">
            <w:pPr>
              <w:pStyle w:val="6"/>
              <w:spacing w:before="51" w:line="219" w:lineRule="auto"/>
              <w:ind w:left="405"/>
            </w:pPr>
            <w:r>
              <w:rPr>
                <w:spacing w:val="-2"/>
              </w:rPr>
              <w:t>本期规模</w:t>
            </w:r>
          </w:p>
          <w:p w14:paraId="397732A3">
            <w:pPr>
              <w:pStyle w:val="6"/>
              <w:spacing w:before="30" w:line="222" w:lineRule="auto"/>
              <w:ind w:left="405"/>
            </w:pPr>
            <w:r>
              <w:rPr>
                <w:spacing w:val="1"/>
              </w:rPr>
              <w:t>以上工业</w:t>
            </w:r>
          </w:p>
          <w:p w14:paraId="51D60B89">
            <w:pPr>
              <w:pStyle w:val="6"/>
              <w:spacing w:before="31" w:line="202" w:lineRule="auto"/>
              <w:ind w:left="224"/>
            </w:pPr>
            <w:r>
              <w:rPr>
                <w:spacing w:val="5"/>
              </w:rPr>
              <w:t>(万吨标准煤)</w:t>
            </w:r>
          </w:p>
        </w:tc>
        <w:tc>
          <w:tcPr>
            <w:tcW w:w="1540" w:type="dxa"/>
            <w:tcBorders>
              <w:right w:val="nil"/>
            </w:tcBorders>
            <w:vAlign w:val="top"/>
          </w:tcPr>
          <w:p w14:paraId="06849778">
            <w:pPr>
              <w:pStyle w:val="6"/>
              <w:spacing w:before="181" w:line="234" w:lineRule="auto"/>
              <w:ind w:left="225" w:right="190" w:firstLine="89"/>
            </w:pPr>
            <w:r>
              <w:rPr>
                <w:spacing w:val="-9"/>
              </w:rPr>
              <w:t>本</w:t>
            </w:r>
            <w:r>
              <w:rPr>
                <w:spacing w:val="-14"/>
              </w:rPr>
              <w:t xml:space="preserve"> </w:t>
            </w:r>
            <w:r>
              <w:rPr>
                <w:spacing w:val="-9"/>
              </w:rPr>
              <w:t>期</w:t>
            </w:r>
            <w:r>
              <w:rPr>
                <w:spacing w:val="-16"/>
              </w:rPr>
              <w:t xml:space="preserve"> </w:t>
            </w:r>
            <w:r>
              <w:rPr>
                <w:spacing w:val="-9"/>
              </w:rPr>
              <w:t>工</w:t>
            </w:r>
            <w:r>
              <w:rPr>
                <w:spacing w:val="-19"/>
              </w:rPr>
              <w:t xml:space="preserve"> </w:t>
            </w:r>
            <w:r>
              <w:rPr>
                <w:spacing w:val="-9"/>
              </w:rPr>
              <w:t>业</w:t>
            </w:r>
            <w:r>
              <w:t xml:space="preserve">  </w:t>
            </w:r>
            <w:r>
              <w:rPr>
                <w:spacing w:val="5"/>
              </w:rPr>
              <w:t>(万吨标准煤)</w:t>
            </w:r>
          </w:p>
        </w:tc>
      </w:tr>
      <w:tr w14:paraId="7CF0B2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1360" w:type="dxa"/>
            <w:tcBorders>
              <w:left w:val="nil"/>
            </w:tcBorders>
            <w:vAlign w:val="top"/>
          </w:tcPr>
          <w:p w14:paraId="19E864E5">
            <w:pPr>
              <w:pStyle w:val="6"/>
              <w:spacing w:before="65" w:line="218" w:lineRule="auto"/>
              <w:ind w:left="590"/>
            </w:pPr>
            <w:r>
              <w:t>甲</w:t>
            </w:r>
          </w:p>
        </w:tc>
        <w:tc>
          <w:tcPr>
            <w:tcW w:w="1560" w:type="dxa"/>
            <w:vAlign w:val="top"/>
          </w:tcPr>
          <w:p w14:paraId="54CB241D">
            <w:pPr>
              <w:pStyle w:val="6"/>
              <w:spacing w:before="108" w:line="174" w:lineRule="auto"/>
              <w:ind w:left="724"/>
            </w:pPr>
            <w:r>
              <w:t>1</w:t>
            </w:r>
          </w:p>
        </w:tc>
        <w:tc>
          <w:tcPr>
            <w:tcW w:w="1560" w:type="dxa"/>
            <w:vAlign w:val="top"/>
          </w:tcPr>
          <w:p w14:paraId="56BAC926">
            <w:pPr>
              <w:pStyle w:val="6"/>
              <w:spacing w:before="108" w:line="174" w:lineRule="auto"/>
              <w:ind w:left="725"/>
            </w:pPr>
            <w:r>
              <w:t>2</w:t>
            </w:r>
          </w:p>
        </w:tc>
        <w:tc>
          <w:tcPr>
            <w:tcW w:w="1670" w:type="dxa"/>
            <w:vAlign w:val="top"/>
          </w:tcPr>
          <w:p w14:paraId="2596FD5F">
            <w:pPr>
              <w:rPr>
                <w:rFonts w:ascii="Arial"/>
                <w:sz w:val="21"/>
              </w:rPr>
            </w:pPr>
          </w:p>
        </w:tc>
        <w:tc>
          <w:tcPr>
            <w:tcW w:w="1540" w:type="dxa"/>
            <w:vAlign w:val="top"/>
          </w:tcPr>
          <w:p w14:paraId="0C1D08DC">
            <w:pPr>
              <w:pStyle w:val="6"/>
              <w:spacing w:before="108" w:line="174" w:lineRule="auto"/>
              <w:ind w:left="715"/>
            </w:pPr>
            <w:r>
              <w:t>4</w:t>
            </w:r>
          </w:p>
        </w:tc>
        <w:tc>
          <w:tcPr>
            <w:tcW w:w="1540" w:type="dxa"/>
            <w:tcBorders>
              <w:right w:val="nil"/>
            </w:tcBorders>
            <w:vAlign w:val="top"/>
          </w:tcPr>
          <w:p w14:paraId="6709E081">
            <w:pPr>
              <w:pStyle w:val="6"/>
              <w:spacing w:before="110" w:line="172" w:lineRule="auto"/>
              <w:ind w:left="715"/>
            </w:pPr>
            <w:r>
              <w:t>5</w:t>
            </w:r>
          </w:p>
        </w:tc>
      </w:tr>
      <w:tr w14:paraId="209347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1" w:hRule="atLeast"/>
        </w:trPr>
        <w:tc>
          <w:tcPr>
            <w:tcW w:w="1360" w:type="dxa"/>
            <w:tcBorders>
              <w:left w:val="nil"/>
            </w:tcBorders>
            <w:vAlign w:val="top"/>
          </w:tcPr>
          <w:p w14:paraId="7052ED2A">
            <w:pPr>
              <w:pStyle w:val="6"/>
              <w:spacing w:before="224" w:line="219" w:lineRule="auto"/>
              <w:ind w:left="229"/>
            </w:pPr>
            <w:r>
              <w:rPr>
                <w:spacing w:val="1"/>
              </w:rPr>
              <w:t>能源消费最</w:t>
            </w:r>
          </w:p>
        </w:tc>
        <w:tc>
          <w:tcPr>
            <w:tcW w:w="1560" w:type="dxa"/>
            <w:vAlign w:val="top"/>
          </w:tcPr>
          <w:p w14:paraId="76091B8E">
            <w:pPr>
              <w:rPr>
                <w:rFonts w:ascii="Arial"/>
                <w:sz w:val="21"/>
              </w:rPr>
            </w:pPr>
          </w:p>
        </w:tc>
        <w:tc>
          <w:tcPr>
            <w:tcW w:w="1560" w:type="dxa"/>
            <w:vAlign w:val="top"/>
          </w:tcPr>
          <w:p w14:paraId="50869B3A">
            <w:pPr>
              <w:rPr>
                <w:rFonts w:ascii="Arial"/>
                <w:sz w:val="21"/>
              </w:rPr>
            </w:pPr>
          </w:p>
        </w:tc>
        <w:tc>
          <w:tcPr>
            <w:tcW w:w="1670" w:type="dxa"/>
            <w:vAlign w:val="top"/>
          </w:tcPr>
          <w:p w14:paraId="7DF95BB9">
            <w:pPr>
              <w:pStyle w:val="6"/>
              <w:spacing w:before="229" w:line="224" w:lineRule="auto"/>
              <w:ind w:left="604"/>
            </w:pPr>
            <w:r>
              <w:rPr>
                <w:spacing w:val="-2"/>
              </w:rPr>
              <w:t>3=2/1</w:t>
            </w:r>
          </w:p>
        </w:tc>
        <w:tc>
          <w:tcPr>
            <w:tcW w:w="1540" w:type="dxa"/>
            <w:vAlign w:val="top"/>
          </w:tcPr>
          <w:p w14:paraId="141487F3">
            <w:pPr>
              <w:rPr>
                <w:rFonts w:ascii="Arial"/>
                <w:sz w:val="21"/>
              </w:rPr>
            </w:pPr>
          </w:p>
        </w:tc>
        <w:tc>
          <w:tcPr>
            <w:tcW w:w="1540" w:type="dxa"/>
            <w:tcBorders>
              <w:right w:val="nil"/>
            </w:tcBorders>
            <w:vAlign w:val="top"/>
          </w:tcPr>
          <w:p w14:paraId="3980E467">
            <w:pPr>
              <w:pStyle w:val="6"/>
              <w:spacing w:before="229" w:line="224" w:lineRule="auto"/>
              <w:ind w:left="535"/>
            </w:pPr>
            <w:r>
              <w:rPr>
                <w:spacing w:val="-2"/>
              </w:rPr>
              <w:t>5=4/3</w:t>
            </w:r>
          </w:p>
        </w:tc>
      </w:tr>
    </w:tbl>
    <w:p w14:paraId="348AD2B8">
      <w:pPr>
        <w:spacing w:before="76" w:line="232" w:lineRule="auto"/>
        <w:ind w:left="522"/>
        <w:rPr>
          <w:rFonts w:ascii="楷体" w:hAnsi="楷体" w:eastAsia="楷体" w:cs="楷体"/>
          <w:sz w:val="21"/>
          <w:szCs w:val="21"/>
        </w:rPr>
      </w:pPr>
      <w:r>
        <w:rPr>
          <w:rFonts w:ascii="楷体" w:hAnsi="楷体" w:eastAsia="楷体" w:cs="楷体"/>
          <w:b/>
          <w:bCs/>
          <w:spacing w:val="13"/>
          <w:sz w:val="21"/>
          <w:szCs w:val="21"/>
        </w:rPr>
        <w:t>(三)建筑业</w:t>
      </w:r>
    </w:p>
    <w:p w14:paraId="6A5A7B2D">
      <w:pPr>
        <w:spacing w:before="83" w:line="365" w:lineRule="exact"/>
        <w:ind w:left="420"/>
        <w:rPr>
          <w:rFonts w:ascii="宋体" w:hAnsi="宋体" w:eastAsia="宋体" w:cs="宋体"/>
          <w:sz w:val="21"/>
          <w:szCs w:val="21"/>
        </w:rPr>
      </w:pPr>
      <w:r>
        <w:rPr>
          <w:rFonts w:ascii="宋体" w:hAnsi="宋体" w:eastAsia="宋体" w:cs="宋体"/>
          <w:spacing w:val="-3"/>
          <w:position w:val="11"/>
          <w:sz w:val="21"/>
          <w:szCs w:val="21"/>
        </w:rPr>
        <w:t>分别按照核算方法一、核算方法二和核算方法三进行核算。</w:t>
      </w:r>
    </w:p>
    <w:p w14:paraId="01DB9F09">
      <w:pPr>
        <w:spacing w:line="222" w:lineRule="auto"/>
        <w:ind w:left="519"/>
        <w:rPr>
          <w:rFonts w:ascii="楷体" w:hAnsi="楷体" w:eastAsia="楷体" w:cs="楷体"/>
          <w:sz w:val="21"/>
          <w:szCs w:val="21"/>
        </w:rPr>
      </w:pPr>
      <w:r>
        <w:rPr>
          <w:rFonts w:ascii="楷体" w:hAnsi="楷体" w:eastAsia="楷体" w:cs="楷体"/>
          <w:spacing w:val="5"/>
          <w:sz w:val="21"/>
          <w:szCs w:val="21"/>
        </w:rPr>
        <w:t>(四)交通运输、仓储和邮政业</w:t>
      </w:r>
    </w:p>
    <w:p w14:paraId="0E4E107D">
      <w:pPr>
        <w:spacing w:before="102" w:line="267" w:lineRule="auto"/>
        <w:ind w:left="519" w:right="1294" w:hanging="99"/>
        <w:rPr>
          <w:rFonts w:ascii="楷体" w:hAnsi="楷体" w:eastAsia="楷体" w:cs="楷体"/>
          <w:sz w:val="21"/>
          <w:szCs w:val="21"/>
        </w:rPr>
      </w:pPr>
      <w:r>
        <w:rPr>
          <w:rFonts w:ascii="宋体" w:hAnsi="宋体" w:eastAsia="宋体" w:cs="宋体"/>
          <w:spacing w:val="-1"/>
          <w:sz w:val="21"/>
          <w:szCs w:val="21"/>
        </w:rPr>
        <w:t>分别按照核算方法二、核算方法三进行核算，核算方法一使用核算方法</w:t>
      </w:r>
      <w:r>
        <w:rPr>
          <w:rFonts w:ascii="宋体" w:hAnsi="宋体" w:eastAsia="宋体" w:cs="宋体"/>
          <w:spacing w:val="-2"/>
          <w:sz w:val="21"/>
          <w:szCs w:val="21"/>
        </w:rPr>
        <w:t>二数据结果。</w:t>
      </w:r>
      <w:r>
        <w:rPr>
          <w:rFonts w:ascii="宋体" w:hAnsi="宋体" w:eastAsia="宋体" w:cs="宋体"/>
          <w:sz w:val="21"/>
          <w:szCs w:val="21"/>
        </w:rPr>
        <w:t xml:space="preserve"> </w:t>
      </w:r>
      <w:r>
        <w:rPr>
          <w:rFonts w:ascii="楷体" w:hAnsi="楷体" w:eastAsia="楷体" w:cs="楷体"/>
          <w:spacing w:val="5"/>
          <w:sz w:val="21"/>
          <w:szCs w:val="21"/>
        </w:rPr>
        <w:t>(五)服务业”(不含交通运输、仓储和邮政业)</w:t>
      </w:r>
    </w:p>
    <w:p w14:paraId="154DE975">
      <w:pPr>
        <w:spacing w:before="113" w:line="373" w:lineRule="exact"/>
        <w:ind w:left="420"/>
        <w:rPr>
          <w:rFonts w:ascii="宋体" w:hAnsi="宋体" w:eastAsia="宋体" w:cs="宋体"/>
          <w:sz w:val="21"/>
          <w:szCs w:val="21"/>
        </w:rPr>
      </w:pPr>
      <w:r>
        <w:rPr>
          <w:rFonts w:ascii="宋体" w:hAnsi="宋体" w:eastAsia="宋体" w:cs="宋体"/>
          <w:spacing w:val="-3"/>
          <w:position w:val="12"/>
          <w:sz w:val="21"/>
          <w:szCs w:val="21"/>
        </w:rPr>
        <w:t>分别按照核算方法一、核算方法二和核算方法三进行核算。</w:t>
      </w:r>
    </w:p>
    <w:p w14:paraId="5C938D91">
      <w:pPr>
        <w:spacing w:line="229" w:lineRule="auto"/>
        <w:ind w:left="519"/>
        <w:rPr>
          <w:rFonts w:ascii="楷体" w:hAnsi="楷体" w:eastAsia="楷体" w:cs="楷体"/>
          <w:sz w:val="21"/>
          <w:szCs w:val="21"/>
        </w:rPr>
      </w:pPr>
      <w:r>
        <w:rPr>
          <w:rFonts w:ascii="楷体" w:hAnsi="楷体" w:eastAsia="楷体" w:cs="楷体"/>
          <w:spacing w:val="14"/>
          <w:sz w:val="21"/>
          <w:szCs w:val="21"/>
        </w:rPr>
        <w:t>(六)居民生活</w:t>
      </w:r>
    </w:p>
    <w:p w14:paraId="05CC7A1C">
      <w:pPr>
        <w:spacing w:before="96" w:line="219" w:lineRule="auto"/>
        <w:ind w:left="420"/>
        <w:rPr>
          <w:rFonts w:ascii="宋体" w:hAnsi="宋体" w:eastAsia="宋体" w:cs="宋体"/>
          <w:sz w:val="21"/>
          <w:szCs w:val="21"/>
        </w:rPr>
      </w:pPr>
      <w:r>
        <w:rPr>
          <w:rFonts w:ascii="宋体" w:hAnsi="宋体" w:eastAsia="宋体" w:cs="宋体"/>
          <w:spacing w:val="-1"/>
          <w:sz w:val="21"/>
          <w:szCs w:val="21"/>
        </w:rPr>
        <w:t>城镇、乡村均按照核算方法一进行核算，核算方法二、三均使用核算方法一数据结果。</w:t>
      </w:r>
    </w:p>
    <w:p w14:paraId="4518AA8A">
      <w:pPr>
        <w:spacing w:before="127" w:line="221" w:lineRule="auto"/>
        <w:ind w:left="423"/>
        <w:outlineLvl w:val="1"/>
        <w:rPr>
          <w:rFonts w:ascii="黑体" w:hAnsi="黑体" w:eastAsia="黑体" w:cs="黑体"/>
          <w:sz w:val="21"/>
          <w:szCs w:val="21"/>
        </w:rPr>
      </w:pPr>
      <w:r>
        <w:rPr>
          <w:rFonts w:ascii="黑体" w:hAnsi="黑体" w:eastAsia="黑体" w:cs="黑体"/>
          <w:b/>
          <w:bCs/>
          <w:spacing w:val="-20"/>
          <w:sz w:val="21"/>
          <w:szCs w:val="21"/>
        </w:rPr>
        <w:t>四</w:t>
      </w:r>
      <w:r>
        <w:rPr>
          <w:rFonts w:ascii="黑体" w:hAnsi="黑体" w:eastAsia="黑体" w:cs="黑体"/>
          <w:spacing w:val="-24"/>
          <w:sz w:val="21"/>
          <w:szCs w:val="21"/>
        </w:rPr>
        <w:t xml:space="preserve"> </w:t>
      </w:r>
      <w:r>
        <w:rPr>
          <w:rFonts w:ascii="黑体" w:hAnsi="黑体" w:eastAsia="黑体" w:cs="黑体"/>
          <w:b/>
          <w:bCs/>
          <w:spacing w:val="-20"/>
          <w:sz w:val="21"/>
          <w:szCs w:val="21"/>
        </w:rPr>
        <w:t>、审核方法</w:t>
      </w:r>
    </w:p>
    <w:p w14:paraId="3473FE41">
      <w:pPr>
        <w:spacing w:before="103" w:line="290" w:lineRule="auto"/>
        <w:ind w:right="46" w:firstLine="420"/>
        <w:jc w:val="both"/>
        <w:rPr>
          <w:rFonts w:ascii="宋体" w:hAnsi="宋体" w:eastAsia="宋体" w:cs="宋体"/>
          <w:sz w:val="21"/>
          <w:szCs w:val="21"/>
        </w:rPr>
      </w:pPr>
      <w:r>
        <w:rPr>
          <w:rFonts w:ascii="宋体" w:hAnsi="宋体" w:eastAsia="宋体" w:cs="宋体"/>
          <w:spacing w:val="-1"/>
          <w:sz w:val="21"/>
          <w:szCs w:val="21"/>
        </w:rPr>
        <w:t>季度地区能源消费总量审核的重点是电力等价折标系数</w:t>
      </w:r>
      <w:r>
        <w:rPr>
          <w:rFonts w:ascii="宋体" w:hAnsi="宋体" w:eastAsia="宋体" w:cs="宋体"/>
          <w:spacing w:val="-2"/>
          <w:sz w:val="21"/>
          <w:szCs w:val="21"/>
        </w:rPr>
        <w:t>、分行业能耗增速、消费端与供应端数据等</w:t>
      </w:r>
      <w:r>
        <w:rPr>
          <w:rFonts w:ascii="宋体" w:hAnsi="宋体" w:eastAsia="宋体" w:cs="宋体"/>
          <w:sz w:val="21"/>
          <w:szCs w:val="21"/>
        </w:rPr>
        <w:t xml:space="preserve"> </w:t>
      </w:r>
      <w:r>
        <w:rPr>
          <w:rFonts w:ascii="宋体" w:hAnsi="宋体" w:eastAsia="宋体" w:cs="宋体"/>
          <w:spacing w:val="-1"/>
          <w:sz w:val="21"/>
          <w:szCs w:val="21"/>
        </w:rPr>
        <w:t>综合指标。核算本期电力等价折标系数时，其变动克数应参考中</w:t>
      </w:r>
      <w:r>
        <w:rPr>
          <w:rFonts w:ascii="宋体" w:hAnsi="宋体" w:eastAsia="宋体" w:cs="宋体"/>
          <w:spacing w:val="-2"/>
          <w:sz w:val="21"/>
          <w:szCs w:val="21"/>
        </w:rPr>
        <w:t>电联、规模以上工业等价折标系数的变</w:t>
      </w:r>
      <w:r>
        <w:rPr>
          <w:rFonts w:ascii="宋体" w:hAnsi="宋体" w:eastAsia="宋体" w:cs="宋体"/>
          <w:sz w:val="21"/>
          <w:szCs w:val="21"/>
        </w:rPr>
        <w:t xml:space="preserve"> </w:t>
      </w:r>
      <w:r>
        <w:rPr>
          <w:rFonts w:ascii="宋体" w:hAnsi="宋体" w:eastAsia="宋体" w:cs="宋体"/>
          <w:spacing w:val="-4"/>
          <w:sz w:val="21"/>
          <w:szCs w:val="21"/>
        </w:rPr>
        <w:t>动情况。在对分行业能耗增速进行审核时，农、林、牧、渔业，建筑业，服务业”(不含交通运输、仓储</w:t>
      </w:r>
      <w:r>
        <w:rPr>
          <w:rFonts w:ascii="宋体" w:hAnsi="宋体" w:eastAsia="宋体" w:cs="宋体"/>
          <w:spacing w:val="16"/>
          <w:sz w:val="21"/>
          <w:szCs w:val="21"/>
        </w:rPr>
        <w:t xml:space="preserve"> </w:t>
      </w:r>
      <w:r>
        <w:rPr>
          <w:rFonts w:ascii="宋体" w:hAnsi="宋体" w:eastAsia="宋体" w:cs="宋体"/>
          <w:spacing w:val="4"/>
          <w:sz w:val="21"/>
          <w:szCs w:val="21"/>
        </w:rPr>
        <w:t>和邮政业)、城镇居民生活和乡村居民生活主要</w:t>
      </w:r>
      <w:r>
        <w:rPr>
          <w:rFonts w:ascii="宋体" w:hAnsi="宋体" w:eastAsia="宋体" w:cs="宋体"/>
          <w:spacing w:val="3"/>
          <w:sz w:val="21"/>
          <w:szCs w:val="21"/>
        </w:rPr>
        <w:t>依据电力推算数(是指各行业和居民生活本期用电量增</w:t>
      </w:r>
      <w:r>
        <w:rPr>
          <w:rFonts w:ascii="宋体" w:hAnsi="宋体" w:eastAsia="宋体" w:cs="宋体"/>
          <w:sz w:val="21"/>
          <w:szCs w:val="21"/>
        </w:rPr>
        <w:t xml:space="preserve"> </w:t>
      </w:r>
      <w:r>
        <w:rPr>
          <w:rFonts w:ascii="宋体" w:hAnsi="宋体" w:eastAsia="宋体" w:cs="宋体"/>
          <w:spacing w:val="8"/>
          <w:sz w:val="21"/>
          <w:szCs w:val="21"/>
        </w:rPr>
        <w:t>速乘以上年能源平衡表中各行业和居民生活用电量占该行业和居民生活能源消费量的比重及有关数</w:t>
      </w:r>
    </w:p>
    <w:p w14:paraId="072B8292">
      <w:pPr>
        <w:spacing w:line="290" w:lineRule="auto"/>
        <w:rPr>
          <w:rFonts w:ascii="宋体" w:hAnsi="宋体" w:eastAsia="宋体" w:cs="宋体"/>
          <w:sz w:val="21"/>
          <w:szCs w:val="21"/>
        </w:rPr>
        <w:sectPr>
          <w:headerReference r:id="rId84" w:type="default"/>
          <w:pgSz w:w="11910" w:h="16840"/>
          <w:pgMar w:top="400" w:right="1226" w:bottom="400" w:left="1239" w:header="0" w:footer="0" w:gutter="0"/>
          <w:cols w:space="720" w:num="1"/>
        </w:sectPr>
      </w:pPr>
    </w:p>
    <w:p w14:paraId="4EDCE829">
      <w:pPr>
        <w:pStyle w:val="2"/>
        <w:spacing w:line="272" w:lineRule="auto"/>
      </w:pPr>
    </w:p>
    <w:p w14:paraId="440BCB38">
      <w:pPr>
        <w:spacing w:before="65" w:line="332" w:lineRule="auto"/>
        <w:ind w:left="10" w:firstLine="10"/>
        <w:rPr>
          <w:rFonts w:ascii="宋体" w:hAnsi="宋体" w:eastAsia="宋体" w:cs="宋体"/>
          <w:sz w:val="20"/>
          <w:szCs w:val="20"/>
        </w:rPr>
      </w:pPr>
      <w:r>
        <w:rPr>
          <w:rFonts w:ascii="宋体" w:hAnsi="宋体" w:eastAsia="宋体" w:cs="宋体"/>
          <w:spacing w:val="17"/>
          <w:sz w:val="20"/>
          <w:szCs w:val="20"/>
        </w:rPr>
        <w:t>据);规模以上工业主要依据205-1/-2表数据；规模以下工业主要依据增加值数</w:t>
      </w:r>
      <w:r>
        <w:rPr>
          <w:rFonts w:ascii="宋体" w:hAnsi="宋体" w:eastAsia="宋体" w:cs="宋体"/>
          <w:spacing w:val="16"/>
          <w:sz w:val="20"/>
          <w:szCs w:val="20"/>
        </w:rPr>
        <w:t>据和规模以上工业数</w:t>
      </w:r>
      <w:r>
        <w:rPr>
          <w:rFonts w:ascii="宋体" w:hAnsi="宋体" w:eastAsia="宋体" w:cs="宋体"/>
          <w:sz w:val="20"/>
          <w:szCs w:val="20"/>
        </w:rPr>
        <w:t xml:space="preserve"> </w:t>
      </w:r>
      <w:r>
        <w:rPr>
          <w:rFonts w:ascii="宋体" w:hAnsi="宋体" w:eastAsia="宋体" w:cs="宋体"/>
          <w:spacing w:val="9"/>
          <w:sz w:val="20"/>
          <w:szCs w:val="20"/>
        </w:rPr>
        <w:t>据；交通运输、仓储和邮政业主要依据增加值及有关数据。同时，</w:t>
      </w:r>
      <w:r>
        <w:rPr>
          <w:rFonts w:ascii="宋体" w:hAnsi="宋体" w:eastAsia="宋体" w:cs="宋体"/>
          <w:spacing w:val="8"/>
          <w:sz w:val="20"/>
          <w:szCs w:val="20"/>
        </w:rPr>
        <w:t>结合国家数据进行审核。整体而言，</w:t>
      </w:r>
    </w:p>
    <w:p w14:paraId="77F267A8">
      <w:pPr>
        <w:spacing w:line="218" w:lineRule="auto"/>
        <w:ind w:left="30"/>
        <w:rPr>
          <w:rFonts w:ascii="宋体" w:hAnsi="宋体" w:eastAsia="宋体" w:cs="宋体"/>
          <w:sz w:val="20"/>
          <w:szCs w:val="20"/>
        </w:rPr>
      </w:pPr>
      <w:r>
        <w:rPr>
          <w:rFonts w:ascii="宋体" w:hAnsi="宋体" w:eastAsia="宋体" w:cs="宋体"/>
          <w:spacing w:val="8"/>
          <w:sz w:val="20"/>
          <w:szCs w:val="20"/>
        </w:rPr>
        <w:t>能耗核算结果应符合经济社会发展规律和地区实际，综合指标基本衔接。</w:t>
      </w:r>
    </w:p>
    <w:p w14:paraId="5577D30F">
      <w:pPr>
        <w:spacing w:before="173" w:line="360" w:lineRule="exact"/>
        <w:ind w:left="440"/>
        <w:rPr>
          <w:rFonts w:ascii="黑体" w:hAnsi="黑体" w:eastAsia="黑体" w:cs="黑体"/>
          <w:sz w:val="20"/>
          <w:szCs w:val="20"/>
        </w:rPr>
      </w:pPr>
      <w:r>
        <w:rPr>
          <w:rFonts w:ascii="黑体" w:hAnsi="黑体" w:eastAsia="黑体" w:cs="黑体"/>
          <w:spacing w:val="5"/>
          <w:position w:val="11"/>
          <w:sz w:val="20"/>
          <w:szCs w:val="20"/>
        </w:rPr>
        <w:t>五、核算结果报送</w:t>
      </w:r>
    </w:p>
    <w:p w14:paraId="7ABBAA7C">
      <w:pPr>
        <w:spacing w:line="219" w:lineRule="auto"/>
        <w:ind w:left="440"/>
        <w:rPr>
          <w:rFonts w:ascii="宋体" w:hAnsi="宋体" w:eastAsia="宋体" w:cs="宋体"/>
          <w:sz w:val="20"/>
          <w:szCs w:val="20"/>
        </w:rPr>
      </w:pPr>
      <w:r>
        <w:rPr>
          <w:rFonts w:ascii="宋体" w:hAnsi="宋体" w:eastAsia="宋体" w:cs="宋体"/>
          <w:spacing w:val="-3"/>
          <w:sz w:val="20"/>
          <w:szCs w:val="20"/>
        </w:rPr>
        <w:t>1.核算表</w:t>
      </w:r>
    </w:p>
    <w:p w14:paraId="2A39C1AD">
      <w:pPr>
        <w:pStyle w:val="2"/>
        <w:spacing w:line="362" w:lineRule="auto"/>
      </w:pPr>
    </w:p>
    <w:p w14:paraId="0251E4D5">
      <w:pPr>
        <w:spacing w:before="58" w:line="221" w:lineRule="auto"/>
        <w:ind w:left="10"/>
        <w:rPr>
          <w:rFonts w:ascii="宋体" w:hAnsi="宋体" w:eastAsia="宋体" w:cs="宋体"/>
          <w:sz w:val="18"/>
          <w:szCs w:val="18"/>
        </w:rPr>
      </w:pPr>
      <w:r>
        <w:rPr>
          <w:rFonts w:ascii="宋体" w:hAnsi="宋体" w:eastAsia="宋体" w:cs="宋体"/>
          <w:spacing w:val="-3"/>
          <w:sz w:val="18"/>
          <w:szCs w:val="18"/>
        </w:rPr>
        <w:t>表5</w:t>
      </w:r>
    </w:p>
    <w:p w14:paraId="5C719DFD">
      <w:pPr>
        <w:spacing w:line="18" w:lineRule="auto"/>
        <w:rPr>
          <w:rFonts w:ascii="Arial"/>
          <w:sz w:val="2"/>
        </w:rPr>
      </w:pPr>
    </w:p>
    <w:tbl>
      <w:tblPr>
        <w:tblStyle w:val="5"/>
        <w:tblW w:w="9159" w:type="dxa"/>
        <w:tblInd w:w="1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60"/>
        <w:gridCol w:w="1190"/>
        <w:gridCol w:w="410"/>
        <w:gridCol w:w="430"/>
        <w:gridCol w:w="760"/>
        <w:gridCol w:w="780"/>
        <w:gridCol w:w="609"/>
        <w:gridCol w:w="620"/>
      </w:tblGrid>
      <w:tr w14:paraId="08226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4360" w:type="dxa"/>
            <w:vMerge w:val="restart"/>
            <w:tcBorders>
              <w:left w:val="nil"/>
              <w:bottom w:val="nil"/>
            </w:tcBorders>
            <w:vAlign w:val="top"/>
          </w:tcPr>
          <w:p w14:paraId="569A18C2">
            <w:pPr>
              <w:pStyle w:val="6"/>
              <w:spacing w:before="272" w:line="220" w:lineRule="auto"/>
              <w:ind w:left="1829"/>
            </w:pPr>
            <w:r>
              <w:rPr>
                <w:spacing w:val="-2"/>
              </w:rPr>
              <w:t>指标名称</w:t>
            </w:r>
          </w:p>
        </w:tc>
        <w:tc>
          <w:tcPr>
            <w:tcW w:w="1190" w:type="dxa"/>
            <w:vMerge w:val="restart"/>
            <w:tcBorders>
              <w:bottom w:val="nil"/>
            </w:tcBorders>
            <w:vAlign w:val="top"/>
          </w:tcPr>
          <w:p w14:paraId="267F9132">
            <w:pPr>
              <w:pStyle w:val="6"/>
              <w:spacing w:before="272" w:line="220" w:lineRule="auto"/>
              <w:ind w:left="224"/>
            </w:pPr>
            <w:r>
              <w:rPr>
                <w:spacing w:val="-2"/>
              </w:rPr>
              <w:t>计量单位</w:t>
            </w:r>
          </w:p>
        </w:tc>
        <w:tc>
          <w:tcPr>
            <w:tcW w:w="410" w:type="dxa"/>
            <w:vMerge w:val="restart"/>
            <w:tcBorders>
              <w:bottom w:val="nil"/>
            </w:tcBorders>
            <w:vAlign w:val="top"/>
          </w:tcPr>
          <w:p w14:paraId="6D2521FB">
            <w:pPr>
              <w:pStyle w:val="6"/>
              <w:spacing w:before="272" w:line="219" w:lineRule="auto"/>
              <w:ind w:left="14"/>
            </w:pPr>
            <w:r>
              <w:rPr>
                <w:spacing w:val="-2"/>
              </w:rPr>
              <w:t>代码</w:t>
            </w:r>
          </w:p>
        </w:tc>
        <w:tc>
          <w:tcPr>
            <w:tcW w:w="430" w:type="dxa"/>
            <w:vMerge w:val="restart"/>
            <w:tcBorders>
              <w:bottom w:val="nil"/>
            </w:tcBorders>
            <w:vAlign w:val="top"/>
          </w:tcPr>
          <w:p w14:paraId="2733F73D">
            <w:pPr>
              <w:pStyle w:val="6"/>
              <w:spacing w:before="271" w:line="219" w:lineRule="auto"/>
              <w:ind w:left="15"/>
            </w:pPr>
            <w:r>
              <w:rPr>
                <w:spacing w:val="-2"/>
              </w:rPr>
              <w:t>本期</w:t>
            </w:r>
          </w:p>
        </w:tc>
        <w:tc>
          <w:tcPr>
            <w:tcW w:w="760" w:type="dxa"/>
            <w:vMerge w:val="restart"/>
            <w:tcBorders>
              <w:bottom w:val="nil"/>
            </w:tcBorders>
            <w:vAlign w:val="top"/>
          </w:tcPr>
          <w:p w14:paraId="038F61D3">
            <w:pPr>
              <w:pStyle w:val="6"/>
              <w:spacing w:before="272" w:line="219" w:lineRule="auto"/>
              <w:ind w:left="14"/>
            </w:pPr>
            <w:r>
              <w:rPr>
                <w:spacing w:val="2"/>
              </w:rPr>
              <w:t>上年同期</w:t>
            </w:r>
          </w:p>
        </w:tc>
        <w:tc>
          <w:tcPr>
            <w:tcW w:w="780" w:type="dxa"/>
            <w:vMerge w:val="restart"/>
            <w:tcBorders>
              <w:bottom w:val="nil"/>
            </w:tcBorders>
            <w:vAlign w:val="top"/>
          </w:tcPr>
          <w:p w14:paraId="418E1AE9">
            <w:pPr>
              <w:pStyle w:val="6"/>
              <w:spacing w:before="42" w:line="219" w:lineRule="auto"/>
              <w:ind w:left="114"/>
            </w:pPr>
            <w:r>
              <w:rPr>
                <w:spacing w:val="2"/>
              </w:rPr>
              <w:t>比上年</w:t>
            </w:r>
          </w:p>
          <w:p w14:paraId="27A1DB13">
            <w:pPr>
              <w:pStyle w:val="6"/>
              <w:spacing w:before="26" w:line="220" w:lineRule="auto"/>
              <w:ind w:left="24"/>
            </w:pPr>
            <w:r>
              <w:rPr>
                <w:spacing w:val="2"/>
              </w:rPr>
              <w:t>同期增长</w:t>
            </w:r>
          </w:p>
          <w:p w14:paraId="483E4387">
            <w:pPr>
              <w:pStyle w:val="6"/>
              <w:spacing w:before="27" w:line="183" w:lineRule="auto"/>
              <w:ind w:left="245"/>
            </w:pPr>
            <w:r>
              <w:rPr>
                <w:spacing w:val="-9"/>
              </w:rPr>
              <w:t>(%)</w:t>
            </w:r>
          </w:p>
        </w:tc>
        <w:tc>
          <w:tcPr>
            <w:tcW w:w="1229" w:type="dxa"/>
            <w:gridSpan w:val="2"/>
            <w:tcBorders>
              <w:right w:val="nil"/>
            </w:tcBorders>
            <w:vAlign w:val="top"/>
          </w:tcPr>
          <w:p w14:paraId="7C4AC303">
            <w:pPr>
              <w:pStyle w:val="6"/>
              <w:spacing w:before="42" w:line="207" w:lineRule="auto"/>
              <w:ind w:left="34"/>
            </w:pPr>
            <w:r>
              <w:rPr>
                <w:spacing w:val="5"/>
              </w:rPr>
              <w:t>能耗比重(%)</w:t>
            </w:r>
          </w:p>
        </w:tc>
      </w:tr>
      <w:tr w14:paraId="56C96A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4360" w:type="dxa"/>
            <w:vMerge w:val="continue"/>
            <w:tcBorders>
              <w:top w:val="nil"/>
              <w:left w:val="nil"/>
            </w:tcBorders>
            <w:vAlign w:val="top"/>
          </w:tcPr>
          <w:p w14:paraId="5BFFC52E">
            <w:pPr>
              <w:rPr>
                <w:rFonts w:ascii="Arial"/>
                <w:sz w:val="21"/>
              </w:rPr>
            </w:pPr>
          </w:p>
        </w:tc>
        <w:tc>
          <w:tcPr>
            <w:tcW w:w="1190" w:type="dxa"/>
            <w:vMerge w:val="continue"/>
            <w:tcBorders>
              <w:top w:val="nil"/>
            </w:tcBorders>
            <w:vAlign w:val="top"/>
          </w:tcPr>
          <w:p w14:paraId="568659C2">
            <w:pPr>
              <w:rPr>
                <w:rFonts w:ascii="Arial"/>
                <w:sz w:val="21"/>
              </w:rPr>
            </w:pPr>
          </w:p>
        </w:tc>
        <w:tc>
          <w:tcPr>
            <w:tcW w:w="410" w:type="dxa"/>
            <w:vMerge w:val="continue"/>
            <w:tcBorders>
              <w:top w:val="nil"/>
            </w:tcBorders>
            <w:vAlign w:val="top"/>
          </w:tcPr>
          <w:p w14:paraId="757422C3">
            <w:pPr>
              <w:rPr>
                <w:rFonts w:ascii="Arial"/>
                <w:sz w:val="21"/>
              </w:rPr>
            </w:pPr>
          </w:p>
        </w:tc>
        <w:tc>
          <w:tcPr>
            <w:tcW w:w="430" w:type="dxa"/>
            <w:vMerge w:val="continue"/>
            <w:tcBorders>
              <w:top w:val="nil"/>
            </w:tcBorders>
            <w:vAlign w:val="top"/>
          </w:tcPr>
          <w:p w14:paraId="27DE5C0E">
            <w:pPr>
              <w:rPr>
                <w:rFonts w:ascii="Arial"/>
                <w:sz w:val="21"/>
              </w:rPr>
            </w:pPr>
          </w:p>
        </w:tc>
        <w:tc>
          <w:tcPr>
            <w:tcW w:w="760" w:type="dxa"/>
            <w:vMerge w:val="continue"/>
            <w:tcBorders>
              <w:top w:val="nil"/>
            </w:tcBorders>
            <w:vAlign w:val="top"/>
          </w:tcPr>
          <w:p w14:paraId="33FF7BCB">
            <w:pPr>
              <w:rPr>
                <w:rFonts w:ascii="Arial"/>
                <w:sz w:val="21"/>
              </w:rPr>
            </w:pPr>
          </w:p>
        </w:tc>
        <w:tc>
          <w:tcPr>
            <w:tcW w:w="780" w:type="dxa"/>
            <w:vMerge w:val="continue"/>
            <w:tcBorders>
              <w:top w:val="nil"/>
            </w:tcBorders>
            <w:vAlign w:val="top"/>
          </w:tcPr>
          <w:p w14:paraId="521587E5">
            <w:pPr>
              <w:rPr>
                <w:rFonts w:ascii="Arial"/>
                <w:sz w:val="21"/>
              </w:rPr>
            </w:pPr>
          </w:p>
        </w:tc>
        <w:tc>
          <w:tcPr>
            <w:tcW w:w="609" w:type="dxa"/>
            <w:vAlign w:val="top"/>
          </w:tcPr>
          <w:p w14:paraId="68AA8632">
            <w:pPr>
              <w:pStyle w:val="6"/>
              <w:spacing w:before="137" w:line="219" w:lineRule="auto"/>
              <w:ind w:left="114"/>
            </w:pPr>
            <w:r>
              <w:rPr>
                <w:spacing w:val="-2"/>
              </w:rPr>
              <w:t>本期</w:t>
            </w:r>
          </w:p>
        </w:tc>
        <w:tc>
          <w:tcPr>
            <w:tcW w:w="620" w:type="dxa"/>
            <w:tcBorders>
              <w:right w:val="nil"/>
            </w:tcBorders>
            <w:vAlign w:val="top"/>
          </w:tcPr>
          <w:p w14:paraId="1FA03707">
            <w:pPr>
              <w:pStyle w:val="6"/>
              <w:spacing w:before="17" w:line="216" w:lineRule="auto"/>
              <w:ind w:left="126" w:right="117"/>
            </w:pPr>
            <w:r>
              <w:rPr>
                <w:spacing w:val="-5"/>
              </w:rPr>
              <w:t>上年</w:t>
            </w:r>
            <w:r>
              <w:t xml:space="preserve"> </w:t>
            </w:r>
            <w:r>
              <w:rPr>
                <w:spacing w:val="5"/>
              </w:rPr>
              <w:t>同期</w:t>
            </w:r>
          </w:p>
        </w:tc>
      </w:tr>
      <w:tr w14:paraId="029B7F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4360" w:type="dxa"/>
            <w:tcBorders>
              <w:left w:val="nil"/>
            </w:tcBorders>
            <w:vAlign w:val="top"/>
          </w:tcPr>
          <w:p w14:paraId="0E497696">
            <w:pPr>
              <w:pStyle w:val="6"/>
              <w:spacing w:before="72" w:line="222" w:lineRule="auto"/>
              <w:ind w:left="2119"/>
            </w:pPr>
            <w:r>
              <w:t>甲</w:t>
            </w:r>
          </w:p>
        </w:tc>
        <w:tc>
          <w:tcPr>
            <w:tcW w:w="1190" w:type="dxa"/>
            <w:vAlign w:val="top"/>
          </w:tcPr>
          <w:p w14:paraId="18AA9D44">
            <w:pPr>
              <w:pStyle w:val="6"/>
              <w:spacing w:before="83" w:line="231" w:lineRule="auto"/>
              <w:ind w:left="494"/>
            </w:pPr>
            <w:r>
              <w:t>乙</w:t>
            </w:r>
          </w:p>
        </w:tc>
        <w:tc>
          <w:tcPr>
            <w:tcW w:w="410" w:type="dxa"/>
            <w:vAlign w:val="top"/>
          </w:tcPr>
          <w:p w14:paraId="426D95A5">
            <w:pPr>
              <w:pStyle w:val="6"/>
              <w:spacing w:before="69" w:line="220" w:lineRule="auto"/>
              <w:ind w:left="104"/>
            </w:pPr>
            <w:r>
              <w:t>丙</w:t>
            </w:r>
          </w:p>
        </w:tc>
        <w:tc>
          <w:tcPr>
            <w:tcW w:w="430" w:type="dxa"/>
            <w:vAlign w:val="top"/>
          </w:tcPr>
          <w:p w14:paraId="54AD4C41">
            <w:pPr>
              <w:pStyle w:val="6"/>
              <w:spacing w:before="114" w:line="184" w:lineRule="auto"/>
              <w:ind w:left="164"/>
            </w:pPr>
            <w:r>
              <w:t>1</w:t>
            </w:r>
          </w:p>
        </w:tc>
        <w:tc>
          <w:tcPr>
            <w:tcW w:w="760" w:type="dxa"/>
            <w:vAlign w:val="top"/>
          </w:tcPr>
          <w:p w14:paraId="734C4632">
            <w:pPr>
              <w:pStyle w:val="6"/>
              <w:spacing w:before="115" w:line="183" w:lineRule="auto"/>
              <w:ind w:left="324"/>
            </w:pPr>
            <w:r>
              <w:t>2</w:t>
            </w:r>
          </w:p>
        </w:tc>
        <w:tc>
          <w:tcPr>
            <w:tcW w:w="780" w:type="dxa"/>
            <w:vAlign w:val="top"/>
          </w:tcPr>
          <w:p w14:paraId="312FFAC1">
            <w:pPr>
              <w:pStyle w:val="6"/>
              <w:spacing w:before="115" w:line="183" w:lineRule="auto"/>
              <w:ind w:left="334"/>
            </w:pPr>
            <w:r>
              <w:t>3</w:t>
            </w:r>
          </w:p>
        </w:tc>
        <w:tc>
          <w:tcPr>
            <w:tcW w:w="609" w:type="dxa"/>
            <w:vAlign w:val="top"/>
          </w:tcPr>
          <w:p w14:paraId="46718935">
            <w:pPr>
              <w:pStyle w:val="6"/>
              <w:spacing w:before="115" w:line="183" w:lineRule="auto"/>
              <w:ind w:left="255"/>
            </w:pPr>
            <w:r>
              <w:t>4</w:t>
            </w:r>
          </w:p>
        </w:tc>
        <w:tc>
          <w:tcPr>
            <w:tcW w:w="620" w:type="dxa"/>
            <w:tcBorders>
              <w:right w:val="nil"/>
            </w:tcBorders>
            <w:vAlign w:val="top"/>
          </w:tcPr>
          <w:p w14:paraId="1BE337B5">
            <w:pPr>
              <w:pStyle w:val="6"/>
              <w:spacing w:before="116" w:line="182" w:lineRule="auto"/>
              <w:ind w:left="255"/>
            </w:pPr>
            <w:r>
              <w:t>5</w:t>
            </w:r>
          </w:p>
        </w:tc>
      </w:tr>
      <w:tr w14:paraId="3AC644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7" w:hRule="atLeast"/>
        </w:trPr>
        <w:tc>
          <w:tcPr>
            <w:tcW w:w="4360" w:type="dxa"/>
            <w:tcBorders>
              <w:left w:val="nil"/>
            </w:tcBorders>
            <w:vAlign w:val="top"/>
          </w:tcPr>
          <w:p w14:paraId="54E2341B">
            <w:pPr>
              <w:pStyle w:val="6"/>
              <w:spacing w:before="50" w:line="220" w:lineRule="auto"/>
              <w:ind w:left="249"/>
            </w:pPr>
            <w:r>
              <w:rPr>
                <w:spacing w:val="-2"/>
              </w:rPr>
              <w:t>一、能源消费总量</w:t>
            </w:r>
          </w:p>
          <w:p w14:paraId="4873AF26">
            <w:pPr>
              <w:pStyle w:val="6"/>
              <w:spacing w:before="14" w:line="251" w:lineRule="exact"/>
              <w:ind w:left="489"/>
            </w:pPr>
            <w:r>
              <w:rPr>
                <w:position w:val="5"/>
              </w:rPr>
              <w:t>(一)农、林、牧、渔业</w:t>
            </w:r>
          </w:p>
          <w:p w14:paraId="368EAE4F">
            <w:pPr>
              <w:pStyle w:val="6"/>
              <w:spacing w:line="220" w:lineRule="auto"/>
              <w:ind w:left="489"/>
            </w:pPr>
            <w:r>
              <w:t>(二)工业和建筑业</w:t>
            </w:r>
          </w:p>
          <w:p w14:paraId="223C4731">
            <w:pPr>
              <w:pStyle w:val="6"/>
              <w:spacing w:before="26" w:line="232" w:lineRule="auto"/>
              <w:ind w:left="769"/>
            </w:pPr>
            <w:r>
              <w:rPr>
                <w:spacing w:val="1"/>
              </w:rPr>
              <w:t>1.工业</w:t>
            </w:r>
          </w:p>
          <w:p w14:paraId="0E73F1A0">
            <w:pPr>
              <w:pStyle w:val="6"/>
              <w:spacing w:before="21" w:line="236" w:lineRule="auto"/>
              <w:ind w:left="989"/>
            </w:pPr>
            <w:r>
              <w:t>(1)规模以上工业</w:t>
            </w:r>
          </w:p>
          <w:p w14:paraId="4370E069">
            <w:pPr>
              <w:pStyle w:val="6"/>
              <w:spacing w:before="1" w:line="219" w:lineRule="auto"/>
              <w:ind w:left="989"/>
            </w:pPr>
            <w:r>
              <w:t>(2)规模以下工业</w:t>
            </w:r>
          </w:p>
          <w:p w14:paraId="17E61CCD">
            <w:pPr>
              <w:pStyle w:val="6"/>
              <w:spacing w:before="37" w:line="235" w:lineRule="auto"/>
              <w:ind w:left="749"/>
            </w:pPr>
            <w:r>
              <w:rPr>
                <w:spacing w:val="-2"/>
              </w:rPr>
              <w:t>2.建筑业</w:t>
            </w:r>
          </w:p>
          <w:p w14:paraId="1E491044">
            <w:pPr>
              <w:pStyle w:val="6"/>
              <w:spacing w:line="219" w:lineRule="auto"/>
              <w:ind w:left="489"/>
            </w:pPr>
            <w:r>
              <w:rPr>
                <w:spacing w:val="1"/>
              </w:rPr>
              <w:t>(三)服务业*</w:t>
            </w:r>
          </w:p>
          <w:p w14:paraId="0993696F">
            <w:pPr>
              <w:pStyle w:val="6"/>
              <w:spacing w:before="26" w:line="219" w:lineRule="auto"/>
              <w:ind w:left="769"/>
            </w:pPr>
            <w:r>
              <w:t>1.交通运输、仓储和邮政业</w:t>
            </w:r>
          </w:p>
          <w:p w14:paraId="35A36D16">
            <w:pPr>
              <w:pStyle w:val="6"/>
              <w:spacing w:before="37" w:line="223" w:lineRule="auto"/>
              <w:ind w:left="489" w:right="225" w:firstLine="269"/>
            </w:pPr>
            <w:r>
              <w:rPr>
                <w:spacing w:val="1"/>
              </w:rPr>
              <w:t>2.服务业*(不含交通运输、仓储和邮政业)</w:t>
            </w:r>
            <w:r>
              <w:rPr>
                <w:spacing w:val="17"/>
              </w:rPr>
              <w:t xml:space="preserve"> </w:t>
            </w:r>
            <w:r>
              <w:rPr>
                <w:spacing w:val="1"/>
              </w:rPr>
              <w:t>(四)居民生活</w:t>
            </w:r>
          </w:p>
          <w:p w14:paraId="2B206B3D">
            <w:pPr>
              <w:pStyle w:val="6"/>
              <w:spacing w:before="25" w:line="225" w:lineRule="auto"/>
              <w:ind w:left="759"/>
            </w:pPr>
            <w:r>
              <w:rPr>
                <w:spacing w:val="1"/>
              </w:rPr>
              <w:t>1.城镇</w:t>
            </w:r>
          </w:p>
          <w:p w14:paraId="0A39127B">
            <w:pPr>
              <w:pStyle w:val="6"/>
              <w:spacing w:before="1" w:line="218" w:lineRule="auto"/>
              <w:ind w:left="729"/>
            </w:pPr>
            <w:r>
              <w:rPr>
                <w:spacing w:val="-3"/>
              </w:rPr>
              <w:t>2.乡村</w:t>
            </w:r>
          </w:p>
          <w:p w14:paraId="6B345A4C">
            <w:pPr>
              <w:pStyle w:val="6"/>
              <w:spacing w:before="101" w:line="183" w:lineRule="auto"/>
              <w:ind w:left="209"/>
            </w:pPr>
            <w:r>
              <w:rPr>
                <w:spacing w:val="-2"/>
              </w:rPr>
              <w:t>二、GDP</w:t>
            </w:r>
          </w:p>
          <w:p w14:paraId="7C145BC1">
            <w:pPr>
              <w:pStyle w:val="6"/>
              <w:spacing w:before="8" w:line="219" w:lineRule="auto"/>
              <w:ind w:left="209"/>
            </w:pPr>
            <w:r>
              <w:rPr>
                <w:spacing w:val="-1"/>
              </w:rPr>
              <w:t>三、单位GDP能耗</w:t>
            </w:r>
          </w:p>
          <w:p w14:paraId="25E18B89">
            <w:pPr>
              <w:pStyle w:val="6"/>
              <w:spacing w:before="36" w:line="226" w:lineRule="auto"/>
              <w:ind w:left="229"/>
            </w:pPr>
            <w:r>
              <w:t>四、规模以上工业单位增加值能耗</w:t>
            </w:r>
          </w:p>
          <w:p w14:paraId="7C58AD7A">
            <w:pPr>
              <w:pStyle w:val="6"/>
              <w:spacing w:line="201" w:lineRule="auto"/>
              <w:ind w:left="209"/>
            </w:pPr>
            <w:r>
              <w:rPr>
                <w:spacing w:val="-1"/>
              </w:rPr>
              <w:t>五、单位GDP电耗</w:t>
            </w:r>
          </w:p>
        </w:tc>
        <w:tc>
          <w:tcPr>
            <w:tcW w:w="1190" w:type="dxa"/>
            <w:vAlign w:val="top"/>
          </w:tcPr>
          <w:p w14:paraId="1A7A8192">
            <w:pPr>
              <w:pStyle w:val="6"/>
              <w:spacing w:before="60" w:line="220" w:lineRule="auto"/>
              <w:ind w:left="134"/>
            </w:pPr>
            <w:r>
              <w:rPr>
                <w:spacing w:val="-2"/>
              </w:rPr>
              <w:t>万吨标准煤</w:t>
            </w:r>
          </w:p>
          <w:p w14:paraId="46AAD806">
            <w:pPr>
              <w:pStyle w:val="6"/>
              <w:spacing w:before="5" w:line="220" w:lineRule="auto"/>
              <w:ind w:left="134"/>
            </w:pPr>
            <w:r>
              <w:rPr>
                <w:spacing w:val="-2"/>
              </w:rPr>
              <w:t>万吨标准煤</w:t>
            </w:r>
          </w:p>
          <w:p w14:paraId="7BEDB1A0">
            <w:pPr>
              <w:pStyle w:val="6"/>
              <w:spacing w:before="45" w:line="220" w:lineRule="auto"/>
              <w:ind w:left="134"/>
            </w:pPr>
            <w:r>
              <w:rPr>
                <w:spacing w:val="-2"/>
              </w:rPr>
              <w:t>万吨标准煤</w:t>
            </w:r>
          </w:p>
          <w:p w14:paraId="6CF94C1D">
            <w:pPr>
              <w:pStyle w:val="6"/>
              <w:spacing w:before="15" w:line="220" w:lineRule="auto"/>
              <w:ind w:left="134"/>
            </w:pPr>
            <w:r>
              <w:rPr>
                <w:spacing w:val="-2"/>
              </w:rPr>
              <w:t>万吨标准煤</w:t>
            </w:r>
          </w:p>
          <w:p w14:paraId="3D3A09A5">
            <w:pPr>
              <w:pStyle w:val="6"/>
              <w:spacing w:before="5" w:line="220" w:lineRule="auto"/>
              <w:ind w:left="134"/>
            </w:pPr>
            <w:r>
              <w:rPr>
                <w:spacing w:val="-2"/>
              </w:rPr>
              <w:t>万吨标准煤</w:t>
            </w:r>
          </w:p>
          <w:p w14:paraId="384D29CE">
            <w:pPr>
              <w:pStyle w:val="6"/>
              <w:spacing w:before="46" w:line="220" w:lineRule="auto"/>
              <w:ind w:left="134"/>
            </w:pPr>
            <w:r>
              <w:rPr>
                <w:spacing w:val="-2"/>
              </w:rPr>
              <w:t>万吨标准煤</w:t>
            </w:r>
          </w:p>
          <w:p w14:paraId="4214546E">
            <w:pPr>
              <w:pStyle w:val="6"/>
              <w:spacing w:before="5" w:line="220" w:lineRule="auto"/>
              <w:ind w:left="134"/>
            </w:pPr>
            <w:r>
              <w:rPr>
                <w:spacing w:val="-2"/>
              </w:rPr>
              <w:t>万吨标准煤</w:t>
            </w:r>
          </w:p>
          <w:p w14:paraId="0C1E57D2">
            <w:pPr>
              <w:pStyle w:val="6"/>
              <w:spacing w:before="46" w:line="220" w:lineRule="auto"/>
              <w:ind w:left="134"/>
            </w:pPr>
            <w:r>
              <w:rPr>
                <w:spacing w:val="-2"/>
              </w:rPr>
              <w:t>万吨标准煤</w:t>
            </w:r>
          </w:p>
          <w:p w14:paraId="55E5CF4B">
            <w:pPr>
              <w:pStyle w:val="6"/>
              <w:spacing w:before="15" w:line="220" w:lineRule="auto"/>
              <w:ind w:left="134"/>
            </w:pPr>
            <w:r>
              <w:rPr>
                <w:spacing w:val="-2"/>
              </w:rPr>
              <w:t>万吨标准煤</w:t>
            </w:r>
          </w:p>
          <w:p w14:paraId="4F9F8B61">
            <w:pPr>
              <w:pStyle w:val="6"/>
              <w:spacing w:before="26" w:line="220" w:lineRule="auto"/>
              <w:ind w:left="134"/>
            </w:pPr>
            <w:r>
              <w:rPr>
                <w:spacing w:val="-2"/>
              </w:rPr>
              <w:t>万吨标准煤</w:t>
            </w:r>
          </w:p>
          <w:p w14:paraId="6A8A8490">
            <w:pPr>
              <w:pStyle w:val="6"/>
              <w:spacing w:before="25" w:line="220" w:lineRule="auto"/>
              <w:ind w:left="134"/>
            </w:pPr>
            <w:r>
              <w:rPr>
                <w:spacing w:val="-2"/>
              </w:rPr>
              <w:t>万吨标准煤</w:t>
            </w:r>
          </w:p>
          <w:p w14:paraId="4232BEBF">
            <w:pPr>
              <w:pStyle w:val="6"/>
              <w:spacing w:before="26" w:line="220" w:lineRule="auto"/>
              <w:ind w:left="134"/>
            </w:pPr>
            <w:r>
              <w:rPr>
                <w:spacing w:val="-2"/>
              </w:rPr>
              <w:t>万吨标准煤</w:t>
            </w:r>
          </w:p>
          <w:p w14:paraId="77265A95">
            <w:pPr>
              <w:pStyle w:val="6"/>
              <w:spacing w:before="25" w:line="220" w:lineRule="auto"/>
              <w:ind w:left="134"/>
            </w:pPr>
            <w:r>
              <w:rPr>
                <w:spacing w:val="-2"/>
              </w:rPr>
              <w:t>万吨标准煤</w:t>
            </w:r>
          </w:p>
          <w:p w14:paraId="4E8B878A">
            <w:pPr>
              <w:pStyle w:val="6"/>
              <w:spacing w:before="36" w:line="220" w:lineRule="auto"/>
              <w:ind w:left="404"/>
            </w:pPr>
            <w:r>
              <w:rPr>
                <w:spacing w:val="-2"/>
              </w:rPr>
              <w:t>亿元</w:t>
            </w:r>
          </w:p>
          <w:p w14:paraId="7D558D98">
            <w:pPr>
              <w:pStyle w:val="6"/>
              <w:spacing w:before="15" w:line="228" w:lineRule="auto"/>
              <w:ind w:left="15"/>
              <w:jc w:val="both"/>
            </w:pPr>
            <w:r>
              <w:rPr>
                <w:spacing w:val="-1"/>
              </w:rPr>
              <w:t>吨标准煤/万元</w:t>
            </w:r>
            <w:r>
              <w:t xml:space="preserve"> </w:t>
            </w:r>
            <w:r>
              <w:rPr>
                <w:spacing w:val="-1"/>
              </w:rPr>
              <w:t>吨标准煤/万元</w:t>
            </w:r>
            <w:r>
              <w:t xml:space="preserve"> </w:t>
            </w:r>
            <w:r>
              <w:rPr>
                <w:spacing w:val="10"/>
              </w:rPr>
              <w:t>千瓦时/万元</w:t>
            </w:r>
          </w:p>
        </w:tc>
        <w:tc>
          <w:tcPr>
            <w:tcW w:w="410" w:type="dxa"/>
            <w:vAlign w:val="top"/>
          </w:tcPr>
          <w:p w14:paraId="0F25FB8F">
            <w:pPr>
              <w:pStyle w:val="6"/>
              <w:spacing w:before="105" w:line="184" w:lineRule="auto"/>
              <w:ind w:left="104"/>
            </w:pPr>
            <w:r>
              <w:rPr>
                <w:spacing w:val="-3"/>
              </w:rPr>
              <w:t>01</w:t>
            </w:r>
          </w:p>
          <w:p w14:paraId="479DC197">
            <w:pPr>
              <w:pStyle w:val="6"/>
              <w:spacing w:before="61" w:line="183" w:lineRule="auto"/>
              <w:ind w:left="104"/>
            </w:pPr>
            <w:r>
              <w:rPr>
                <w:spacing w:val="-3"/>
              </w:rPr>
              <w:t>02</w:t>
            </w:r>
          </w:p>
          <w:p w14:paraId="67D268F2">
            <w:pPr>
              <w:pStyle w:val="6"/>
              <w:spacing w:before="61" w:line="183" w:lineRule="auto"/>
              <w:ind w:left="104"/>
            </w:pPr>
            <w:r>
              <w:rPr>
                <w:spacing w:val="-3"/>
              </w:rPr>
              <w:t>03</w:t>
            </w:r>
          </w:p>
          <w:p w14:paraId="63DEFF9C">
            <w:pPr>
              <w:pStyle w:val="6"/>
              <w:spacing w:before="61" w:line="183" w:lineRule="auto"/>
              <w:ind w:left="104"/>
            </w:pPr>
            <w:r>
              <w:rPr>
                <w:spacing w:val="-3"/>
              </w:rPr>
              <w:t>04</w:t>
            </w:r>
          </w:p>
          <w:p w14:paraId="0DEC8544">
            <w:pPr>
              <w:pStyle w:val="6"/>
              <w:spacing w:before="62" w:line="183" w:lineRule="auto"/>
              <w:ind w:left="104"/>
            </w:pPr>
            <w:r>
              <w:rPr>
                <w:spacing w:val="-3"/>
              </w:rPr>
              <w:t>05</w:t>
            </w:r>
          </w:p>
          <w:p w14:paraId="23C6D9D2">
            <w:pPr>
              <w:pStyle w:val="6"/>
              <w:spacing w:before="61" w:line="183" w:lineRule="auto"/>
              <w:ind w:left="104"/>
            </w:pPr>
            <w:r>
              <w:rPr>
                <w:spacing w:val="-3"/>
              </w:rPr>
              <w:t>06</w:t>
            </w:r>
          </w:p>
          <w:p w14:paraId="48A35B57">
            <w:pPr>
              <w:pStyle w:val="6"/>
              <w:spacing w:before="62" w:line="183" w:lineRule="auto"/>
              <w:ind w:left="104"/>
            </w:pPr>
            <w:r>
              <w:rPr>
                <w:spacing w:val="-3"/>
              </w:rPr>
              <w:t>07</w:t>
            </w:r>
          </w:p>
          <w:p w14:paraId="24C374B8">
            <w:pPr>
              <w:pStyle w:val="6"/>
              <w:spacing w:before="61" w:line="183" w:lineRule="auto"/>
              <w:ind w:left="104"/>
            </w:pPr>
            <w:r>
              <w:rPr>
                <w:spacing w:val="-3"/>
              </w:rPr>
              <w:t>08</w:t>
            </w:r>
          </w:p>
          <w:p w14:paraId="01054094">
            <w:pPr>
              <w:pStyle w:val="6"/>
              <w:spacing w:before="62" w:line="183" w:lineRule="auto"/>
              <w:ind w:left="104"/>
            </w:pPr>
            <w:r>
              <w:rPr>
                <w:spacing w:val="-3"/>
              </w:rPr>
              <w:t>09</w:t>
            </w:r>
          </w:p>
          <w:p w14:paraId="5A55BE0D">
            <w:pPr>
              <w:pStyle w:val="6"/>
              <w:spacing w:before="71" w:line="184" w:lineRule="auto"/>
              <w:ind w:left="104"/>
            </w:pPr>
            <w:r>
              <w:rPr>
                <w:spacing w:val="-6"/>
              </w:rPr>
              <w:t>10</w:t>
            </w:r>
          </w:p>
          <w:p w14:paraId="6DFA9B52">
            <w:pPr>
              <w:pStyle w:val="6"/>
              <w:spacing w:before="50" w:line="184" w:lineRule="auto"/>
              <w:ind w:left="104"/>
            </w:pPr>
            <w:r>
              <w:rPr>
                <w:spacing w:val="-6"/>
              </w:rPr>
              <w:t>11</w:t>
            </w:r>
          </w:p>
          <w:p w14:paraId="04D2D1B8">
            <w:pPr>
              <w:pStyle w:val="6"/>
              <w:spacing w:before="71" w:line="184" w:lineRule="auto"/>
              <w:ind w:left="104"/>
            </w:pPr>
            <w:r>
              <w:rPr>
                <w:spacing w:val="-6"/>
              </w:rPr>
              <w:t>12</w:t>
            </w:r>
          </w:p>
          <w:p w14:paraId="43E09FB2">
            <w:pPr>
              <w:pStyle w:val="6"/>
              <w:spacing w:before="60" w:line="184" w:lineRule="auto"/>
              <w:ind w:left="104"/>
            </w:pPr>
            <w:r>
              <w:rPr>
                <w:spacing w:val="-6"/>
              </w:rPr>
              <w:t>13</w:t>
            </w:r>
          </w:p>
          <w:p w14:paraId="65259770">
            <w:pPr>
              <w:pStyle w:val="6"/>
              <w:spacing w:before="51" w:line="184" w:lineRule="auto"/>
              <w:ind w:left="104"/>
            </w:pPr>
            <w:r>
              <w:rPr>
                <w:spacing w:val="-6"/>
              </w:rPr>
              <w:t>14</w:t>
            </w:r>
          </w:p>
          <w:p w14:paraId="7E82C5D0">
            <w:pPr>
              <w:pStyle w:val="6"/>
              <w:spacing w:before="60" w:line="184" w:lineRule="auto"/>
              <w:ind w:left="104"/>
            </w:pPr>
            <w:r>
              <w:rPr>
                <w:spacing w:val="-6"/>
              </w:rPr>
              <w:t>15</w:t>
            </w:r>
          </w:p>
          <w:p w14:paraId="0B6AC154">
            <w:pPr>
              <w:pStyle w:val="6"/>
              <w:spacing w:before="81" w:line="184" w:lineRule="auto"/>
              <w:ind w:left="104"/>
            </w:pPr>
            <w:r>
              <w:rPr>
                <w:spacing w:val="-6"/>
              </w:rPr>
              <w:t>16</w:t>
            </w:r>
          </w:p>
          <w:p w14:paraId="6C706105">
            <w:pPr>
              <w:pStyle w:val="6"/>
              <w:spacing w:before="21" w:line="141" w:lineRule="exact"/>
              <w:ind w:left="104"/>
            </w:pPr>
            <w:r>
              <w:rPr>
                <w:spacing w:val="-6"/>
                <w:position w:val="-2"/>
              </w:rPr>
              <w:t>17</w:t>
            </w:r>
          </w:p>
        </w:tc>
        <w:tc>
          <w:tcPr>
            <w:tcW w:w="430" w:type="dxa"/>
            <w:vAlign w:val="top"/>
          </w:tcPr>
          <w:p w14:paraId="2F6B4FAC">
            <w:pPr>
              <w:rPr>
                <w:rFonts w:ascii="Arial"/>
                <w:sz w:val="21"/>
              </w:rPr>
            </w:pPr>
          </w:p>
        </w:tc>
        <w:tc>
          <w:tcPr>
            <w:tcW w:w="760" w:type="dxa"/>
            <w:vAlign w:val="top"/>
          </w:tcPr>
          <w:p w14:paraId="5F4A2732">
            <w:pPr>
              <w:rPr>
                <w:rFonts w:ascii="Arial"/>
                <w:sz w:val="21"/>
              </w:rPr>
            </w:pPr>
          </w:p>
        </w:tc>
        <w:tc>
          <w:tcPr>
            <w:tcW w:w="780" w:type="dxa"/>
            <w:vAlign w:val="top"/>
          </w:tcPr>
          <w:p w14:paraId="5AD70984">
            <w:pPr>
              <w:rPr>
                <w:rFonts w:ascii="Arial"/>
                <w:sz w:val="21"/>
              </w:rPr>
            </w:pPr>
          </w:p>
        </w:tc>
        <w:tc>
          <w:tcPr>
            <w:tcW w:w="609" w:type="dxa"/>
            <w:vAlign w:val="top"/>
          </w:tcPr>
          <w:p w14:paraId="7D839B77">
            <w:pPr>
              <w:pStyle w:val="6"/>
              <w:spacing w:before="135" w:line="184" w:lineRule="auto"/>
              <w:ind w:left="164"/>
            </w:pPr>
            <w:r>
              <w:rPr>
                <w:spacing w:val="-5"/>
              </w:rPr>
              <w:t>100</w:t>
            </w:r>
          </w:p>
        </w:tc>
        <w:tc>
          <w:tcPr>
            <w:tcW w:w="620" w:type="dxa"/>
            <w:tcBorders>
              <w:right w:val="nil"/>
            </w:tcBorders>
            <w:vAlign w:val="top"/>
          </w:tcPr>
          <w:p w14:paraId="57378651">
            <w:pPr>
              <w:pStyle w:val="6"/>
              <w:spacing w:before="145" w:line="184" w:lineRule="auto"/>
              <w:ind w:left="166"/>
            </w:pPr>
            <w:r>
              <w:rPr>
                <w:spacing w:val="-5"/>
              </w:rPr>
              <w:t>100</w:t>
            </w:r>
          </w:p>
        </w:tc>
      </w:tr>
    </w:tbl>
    <w:p w14:paraId="0935EE63">
      <w:pPr>
        <w:spacing w:before="142" w:line="219" w:lineRule="auto"/>
        <w:ind w:left="450"/>
        <w:rPr>
          <w:rFonts w:ascii="宋体" w:hAnsi="宋体" w:eastAsia="宋体" w:cs="宋体"/>
          <w:sz w:val="20"/>
          <w:szCs w:val="20"/>
        </w:rPr>
      </w:pPr>
      <w:r>
        <w:rPr>
          <w:rFonts w:ascii="宋体" w:hAnsi="宋体" w:eastAsia="宋体" w:cs="宋体"/>
          <w:spacing w:val="12"/>
          <w:sz w:val="20"/>
          <w:szCs w:val="20"/>
        </w:rPr>
        <w:t>其中，万元地区生产总值能耗(简称单位</w:t>
      </w:r>
      <w:r>
        <w:rPr>
          <w:rFonts w:ascii="宋体" w:hAnsi="宋体" w:eastAsia="宋体" w:cs="宋体"/>
          <w:spacing w:val="-48"/>
          <w:sz w:val="20"/>
          <w:szCs w:val="20"/>
        </w:rPr>
        <w:t xml:space="preserve"> </w:t>
      </w:r>
      <w:r>
        <w:rPr>
          <w:rFonts w:ascii="宋体" w:hAnsi="宋体" w:eastAsia="宋体" w:cs="宋体"/>
          <w:sz w:val="20"/>
          <w:szCs w:val="20"/>
        </w:rPr>
        <w:t>GDP</w:t>
      </w:r>
      <w:r>
        <w:rPr>
          <w:rFonts w:ascii="宋体" w:hAnsi="宋体" w:eastAsia="宋体" w:cs="宋体"/>
          <w:spacing w:val="46"/>
          <w:sz w:val="20"/>
          <w:szCs w:val="20"/>
        </w:rPr>
        <w:t xml:space="preserve"> </w:t>
      </w:r>
      <w:r>
        <w:rPr>
          <w:rFonts w:ascii="宋体" w:hAnsi="宋体" w:eastAsia="宋体" w:cs="宋体"/>
          <w:spacing w:val="12"/>
          <w:sz w:val="20"/>
          <w:szCs w:val="20"/>
        </w:rPr>
        <w:t>能耗</w:t>
      </w:r>
      <w:r>
        <w:rPr>
          <w:rFonts w:ascii="宋体" w:hAnsi="宋体" w:eastAsia="宋体" w:cs="宋体"/>
          <w:spacing w:val="11"/>
          <w:sz w:val="20"/>
          <w:szCs w:val="20"/>
        </w:rPr>
        <w:t>)及其降低率计算方法：</w:t>
      </w:r>
    </w:p>
    <w:p w14:paraId="34F067D3">
      <w:pPr>
        <w:spacing w:before="25" w:line="530" w:lineRule="exact"/>
        <w:ind w:firstLine="420"/>
      </w:pPr>
      <w:r>
        <w:rPr>
          <w:position w:val="-10"/>
        </w:rPr>
        <w:drawing>
          <wp:inline distT="0" distB="0" distL="0" distR="0">
            <wp:extent cx="1847215" cy="335915"/>
            <wp:effectExtent l="0" t="0" r="0" b="0"/>
            <wp:docPr id="142" name="IM 142"/>
            <wp:cNvGraphicFramePr/>
            <a:graphic xmlns:a="http://schemas.openxmlformats.org/drawingml/2006/main">
              <a:graphicData uri="http://schemas.openxmlformats.org/drawingml/2006/picture">
                <pic:pic xmlns:pic="http://schemas.openxmlformats.org/drawingml/2006/picture">
                  <pic:nvPicPr>
                    <pic:cNvPr id="142" name="IM 142"/>
                    <pic:cNvPicPr/>
                  </pic:nvPicPr>
                  <pic:blipFill>
                    <a:blip r:embed="rId102"/>
                    <a:stretch>
                      <a:fillRect/>
                    </a:stretch>
                  </pic:blipFill>
                  <pic:spPr>
                    <a:xfrm>
                      <a:off x="0" y="0"/>
                      <a:ext cx="1847830" cy="336521"/>
                    </a:xfrm>
                    <a:prstGeom prst="rect">
                      <a:avLst/>
                    </a:prstGeom>
                  </pic:spPr>
                </pic:pic>
              </a:graphicData>
            </a:graphic>
          </wp:inline>
        </w:drawing>
      </w:r>
    </w:p>
    <w:p w14:paraId="32FD4D86">
      <w:pPr>
        <w:spacing w:before="10" w:line="620" w:lineRule="exact"/>
        <w:ind w:firstLine="419"/>
      </w:pPr>
      <w:r>
        <w:rPr>
          <w:position w:val="-12"/>
        </w:rPr>
        <w:drawing>
          <wp:inline distT="0" distB="0" distL="0" distR="0">
            <wp:extent cx="5181600" cy="393065"/>
            <wp:effectExtent l="0" t="0" r="0" b="0"/>
            <wp:docPr id="144" name="IM 144"/>
            <wp:cNvGraphicFramePr/>
            <a:graphic xmlns:a="http://schemas.openxmlformats.org/drawingml/2006/main">
              <a:graphicData uri="http://schemas.openxmlformats.org/drawingml/2006/picture">
                <pic:pic xmlns:pic="http://schemas.openxmlformats.org/drawingml/2006/picture">
                  <pic:nvPicPr>
                    <pic:cNvPr id="144" name="IM 144"/>
                    <pic:cNvPicPr/>
                  </pic:nvPicPr>
                  <pic:blipFill>
                    <a:blip r:embed="rId103"/>
                    <a:stretch>
                      <a:fillRect/>
                    </a:stretch>
                  </pic:blipFill>
                  <pic:spPr>
                    <a:xfrm>
                      <a:off x="0" y="0"/>
                      <a:ext cx="5181944" cy="393624"/>
                    </a:xfrm>
                    <a:prstGeom prst="rect">
                      <a:avLst/>
                    </a:prstGeom>
                  </pic:spPr>
                </pic:pic>
              </a:graphicData>
            </a:graphic>
          </wp:inline>
        </w:drawing>
      </w:r>
    </w:p>
    <w:p w14:paraId="234C67C6">
      <w:pPr>
        <w:spacing w:before="59" w:line="1231" w:lineRule="exact"/>
        <w:ind w:firstLine="3410"/>
      </w:pPr>
      <w:r>
        <w:rPr>
          <w:position w:val="-24"/>
        </w:rPr>
        <w:drawing>
          <wp:inline distT="0" distB="0" distL="0" distR="0">
            <wp:extent cx="3340100" cy="781685"/>
            <wp:effectExtent l="0" t="0" r="0" b="0"/>
            <wp:docPr id="146" name="IM 146"/>
            <wp:cNvGraphicFramePr/>
            <a:graphic xmlns:a="http://schemas.openxmlformats.org/drawingml/2006/main">
              <a:graphicData uri="http://schemas.openxmlformats.org/drawingml/2006/picture">
                <pic:pic xmlns:pic="http://schemas.openxmlformats.org/drawingml/2006/picture">
                  <pic:nvPicPr>
                    <pic:cNvPr id="146" name="IM 146"/>
                    <pic:cNvPicPr/>
                  </pic:nvPicPr>
                  <pic:blipFill>
                    <a:blip r:embed="rId104"/>
                    <a:stretch>
                      <a:fillRect/>
                    </a:stretch>
                  </pic:blipFill>
                  <pic:spPr>
                    <a:xfrm>
                      <a:off x="0" y="0"/>
                      <a:ext cx="3340268" cy="781887"/>
                    </a:xfrm>
                    <a:prstGeom prst="rect">
                      <a:avLst/>
                    </a:prstGeom>
                  </pic:spPr>
                </pic:pic>
              </a:graphicData>
            </a:graphic>
          </wp:inline>
        </w:drawing>
      </w:r>
    </w:p>
    <w:p w14:paraId="5F5A5429">
      <w:pPr>
        <w:spacing w:before="89" w:line="294" w:lineRule="auto"/>
        <w:ind w:left="10" w:right="9" w:firstLine="430"/>
        <w:jc w:val="both"/>
        <w:rPr>
          <w:rFonts w:ascii="宋体" w:hAnsi="宋体" w:eastAsia="宋体" w:cs="宋体"/>
          <w:sz w:val="20"/>
          <w:szCs w:val="20"/>
        </w:rPr>
      </w:pPr>
      <w:r>
        <w:rPr>
          <w:rFonts w:ascii="宋体" w:hAnsi="宋体" w:eastAsia="宋体" w:cs="宋体"/>
          <w:spacing w:val="12"/>
          <w:sz w:val="20"/>
          <w:szCs w:val="20"/>
        </w:rPr>
        <w:t>计算能源消费总量发展速度和</w:t>
      </w:r>
      <w:r>
        <w:rPr>
          <w:rFonts w:ascii="宋体" w:hAnsi="宋体" w:eastAsia="宋体" w:cs="宋体"/>
          <w:sz w:val="20"/>
          <w:szCs w:val="20"/>
        </w:rPr>
        <w:t>GDP</w:t>
      </w:r>
      <w:r>
        <w:rPr>
          <w:rFonts w:ascii="宋体" w:hAnsi="宋体" w:eastAsia="宋体" w:cs="宋体"/>
          <w:spacing w:val="12"/>
          <w:sz w:val="20"/>
          <w:szCs w:val="20"/>
        </w:rPr>
        <w:t xml:space="preserve"> 发展速度时，两年的能源消费总量和</w:t>
      </w:r>
      <w:r>
        <w:rPr>
          <w:rFonts w:ascii="宋体" w:hAnsi="宋体" w:eastAsia="宋体" w:cs="宋体"/>
          <w:sz w:val="20"/>
          <w:szCs w:val="20"/>
        </w:rPr>
        <w:t>GDP</w:t>
      </w:r>
      <w:r>
        <w:rPr>
          <w:rFonts w:ascii="宋体" w:hAnsi="宋体" w:eastAsia="宋体" w:cs="宋体"/>
          <w:spacing w:val="-2"/>
          <w:sz w:val="20"/>
          <w:szCs w:val="20"/>
        </w:rPr>
        <w:t xml:space="preserve"> </w:t>
      </w:r>
      <w:r>
        <w:rPr>
          <w:rFonts w:ascii="宋体" w:hAnsi="宋体" w:eastAsia="宋体" w:cs="宋体"/>
          <w:spacing w:val="12"/>
          <w:sz w:val="20"/>
          <w:szCs w:val="20"/>
        </w:rPr>
        <w:t>均使用2位小数；计算</w:t>
      </w:r>
      <w:r>
        <w:rPr>
          <w:rFonts w:ascii="宋体" w:hAnsi="宋体" w:eastAsia="宋体" w:cs="宋体"/>
          <w:sz w:val="20"/>
          <w:szCs w:val="20"/>
        </w:rPr>
        <w:t xml:space="preserve"> </w:t>
      </w:r>
      <w:r>
        <w:rPr>
          <w:rFonts w:ascii="宋体" w:hAnsi="宋体" w:eastAsia="宋体" w:cs="宋体"/>
          <w:spacing w:val="20"/>
          <w:sz w:val="20"/>
          <w:szCs w:val="20"/>
        </w:rPr>
        <w:t>单位</w:t>
      </w:r>
      <w:r>
        <w:rPr>
          <w:rFonts w:ascii="Times New Roman" w:hAnsi="Times New Roman" w:eastAsia="Times New Roman" w:cs="Times New Roman"/>
          <w:sz w:val="20"/>
          <w:szCs w:val="20"/>
        </w:rPr>
        <w:t>GDP</w:t>
      </w:r>
      <w:r>
        <w:rPr>
          <w:rFonts w:ascii="Times New Roman" w:hAnsi="Times New Roman" w:eastAsia="Times New Roman" w:cs="Times New Roman"/>
          <w:spacing w:val="-6"/>
          <w:sz w:val="20"/>
          <w:szCs w:val="20"/>
        </w:rPr>
        <w:t xml:space="preserve"> </w:t>
      </w:r>
      <w:r>
        <w:rPr>
          <w:rFonts w:ascii="宋体" w:hAnsi="宋体" w:eastAsia="宋体" w:cs="宋体"/>
          <w:spacing w:val="20"/>
          <w:sz w:val="20"/>
          <w:szCs w:val="20"/>
        </w:rPr>
        <w:t>能耗上升或下降(±%)时，两个发展速度均使用1位小数；单</w:t>
      </w:r>
      <w:r>
        <w:rPr>
          <w:rFonts w:ascii="宋体" w:hAnsi="宋体" w:eastAsia="宋体" w:cs="宋体"/>
          <w:spacing w:val="19"/>
          <w:sz w:val="20"/>
          <w:szCs w:val="20"/>
        </w:rPr>
        <w:t>位</w:t>
      </w:r>
      <w:r>
        <w:rPr>
          <w:rFonts w:ascii="Times New Roman" w:hAnsi="Times New Roman" w:eastAsia="Times New Roman" w:cs="Times New Roman"/>
          <w:sz w:val="20"/>
          <w:szCs w:val="20"/>
        </w:rPr>
        <w:t>GDP</w:t>
      </w:r>
      <w:r>
        <w:rPr>
          <w:rFonts w:ascii="宋体" w:hAnsi="宋体" w:eastAsia="宋体" w:cs="宋体"/>
          <w:spacing w:val="19"/>
          <w:sz w:val="20"/>
          <w:szCs w:val="20"/>
        </w:rPr>
        <w:t>能耗上升或下降(±%)</w:t>
      </w:r>
      <w:r>
        <w:rPr>
          <w:rFonts w:ascii="宋体" w:hAnsi="宋体" w:eastAsia="宋体" w:cs="宋体"/>
          <w:sz w:val="20"/>
          <w:szCs w:val="20"/>
        </w:rPr>
        <w:t xml:space="preserve"> </w:t>
      </w:r>
      <w:r>
        <w:rPr>
          <w:rFonts w:ascii="宋体" w:hAnsi="宋体" w:eastAsia="宋体" w:cs="宋体"/>
          <w:spacing w:val="16"/>
          <w:sz w:val="20"/>
          <w:szCs w:val="20"/>
        </w:rPr>
        <w:t>保留1位小数对外提供；规模以上工业单位增加值能耗和单位</w:t>
      </w:r>
      <w:r>
        <w:rPr>
          <w:rFonts w:ascii="Times New Roman" w:hAnsi="Times New Roman" w:eastAsia="Times New Roman" w:cs="Times New Roman"/>
          <w:sz w:val="20"/>
          <w:szCs w:val="20"/>
        </w:rPr>
        <w:t>GDP</w:t>
      </w:r>
      <w:r>
        <w:rPr>
          <w:rFonts w:ascii="宋体" w:hAnsi="宋体" w:eastAsia="宋体" w:cs="宋体"/>
          <w:spacing w:val="16"/>
          <w:sz w:val="20"/>
          <w:szCs w:val="20"/>
        </w:rPr>
        <w:t>电耗上升或下</w:t>
      </w:r>
      <w:r>
        <w:rPr>
          <w:rFonts w:ascii="宋体" w:hAnsi="宋体" w:eastAsia="宋体" w:cs="宋体"/>
          <w:spacing w:val="15"/>
          <w:sz w:val="20"/>
          <w:szCs w:val="20"/>
        </w:rPr>
        <w:t>降(±%)同上。</w:t>
      </w:r>
    </w:p>
    <w:p w14:paraId="61E76F17">
      <w:pPr>
        <w:pStyle w:val="2"/>
        <w:spacing w:line="427" w:lineRule="auto"/>
      </w:pPr>
    </w:p>
    <w:p w14:paraId="42EC2C5E">
      <w:pPr>
        <w:spacing w:before="66" w:line="221" w:lineRule="auto"/>
        <w:ind w:left="529"/>
        <w:rPr>
          <w:rFonts w:ascii="宋体" w:hAnsi="宋体" w:eastAsia="宋体" w:cs="宋体"/>
          <w:sz w:val="20"/>
          <w:szCs w:val="20"/>
        </w:rPr>
      </w:pPr>
      <w:r>
        <w:rPr>
          <w:rFonts w:ascii="宋体" w:hAnsi="宋体" w:eastAsia="宋体" w:cs="宋体"/>
          <w:spacing w:val="-16"/>
          <w:w w:val="97"/>
          <w:sz w:val="20"/>
          <w:szCs w:val="20"/>
        </w:rPr>
        <w:t>(</w:t>
      </w:r>
      <w:r>
        <w:rPr>
          <w:rFonts w:ascii="宋体" w:hAnsi="宋体" w:eastAsia="宋体" w:cs="宋体"/>
          <w:spacing w:val="-36"/>
          <w:sz w:val="20"/>
          <w:szCs w:val="20"/>
        </w:rPr>
        <w:t xml:space="preserve"> </w:t>
      </w:r>
      <w:r>
        <w:rPr>
          <w:rFonts w:ascii="宋体" w:hAnsi="宋体" w:eastAsia="宋体" w:cs="宋体"/>
          <w:spacing w:val="-16"/>
          <w:w w:val="97"/>
          <w:sz w:val="20"/>
          <w:szCs w:val="20"/>
        </w:rPr>
        <w:t>略</w:t>
      </w:r>
      <w:r>
        <w:rPr>
          <w:rFonts w:ascii="宋体" w:hAnsi="宋体" w:eastAsia="宋体" w:cs="宋体"/>
          <w:spacing w:val="-43"/>
          <w:sz w:val="20"/>
          <w:szCs w:val="20"/>
        </w:rPr>
        <w:t xml:space="preserve"> </w:t>
      </w:r>
      <w:r>
        <w:rPr>
          <w:rFonts w:ascii="宋体" w:hAnsi="宋体" w:eastAsia="宋体" w:cs="宋体"/>
          <w:spacing w:val="-16"/>
          <w:w w:val="97"/>
          <w:sz w:val="20"/>
          <w:szCs w:val="20"/>
        </w:rPr>
        <w:t>)</w:t>
      </w:r>
    </w:p>
    <w:sectPr>
      <w:headerReference r:id="rId85" w:type="default"/>
      <w:pgSz w:w="11910" w:h="16840"/>
      <w:pgMar w:top="1149" w:right="1241" w:bottom="400" w:left="1239" w:header="857"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姚体">
    <w:altName w:val="宋体"/>
    <w:panose1 w:val="02010601030101010101"/>
    <w:charset w:val="86"/>
    <w:family w:val="auto"/>
    <w:pitch w:val="default"/>
    <w:sig w:usb0="00000000" w:usb1="00000000" w:usb2="00000000" w:usb3="00000000" w:csb0="00040000" w:csb1="00000000"/>
  </w:font>
  <w:font w:name="幼圆">
    <w:altName w:val="宋体"/>
    <w:panose1 w:val="0201050906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677E4">
    <w:pPr>
      <w:spacing w:line="209" w:lineRule="auto"/>
      <w:ind w:left="7"/>
      <w:rPr>
        <w:rFonts w:ascii="宋体" w:hAnsi="宋体" w:eastAsia="宋体" w:cs="宋体"/>
        <w:sz w:val="18"/>
        <w:szCs w:val="18"/>
      </w:rPr>
    </w:pPr>
    <w:r>
      <w:rPr>
        <w:rFonts w:ascii="宋体" w:hAnsi="宋体" w:eastAsia="宋体" w:cs="宋体"/>
        <w:b/>
        <w:bCs/>
        <w:spacing w:val="-4"/>
        <w:sz w:val="18"/>
        <w:szCs w:val="18"/>
      </w:rPr>
      <w:t>纺织品(17)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DA32B5">
    <w:pPr>
      <w:pStyle w:val="2"/>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35748">
    <w:pPr>
      <w:spacing w:line="176" w:lineRule="auto"/>
      <w:ind w:left="3824"/>
      <w:rPr>
        <w:rFonts w:ascii="宋体" w:hAnsi="宋体" w:eastAsia="宋体" w:cs="宋体"/>
        <w:sz w:val="17"/>
        <w:szCs w:val="17"/>
      </w:rPr>
    </w:pPr>
    <w:r>
      <w:drawing>
        <wp:anchor distT="0" distB="0" distL="0" distR="0" simplePos="0" relativeHeight="251660288" behindDoc="0" locked="0" layoutInCell="1" allowOverlap="1">
          <wp:simplePos x="0" y="0"/>
          <wp:positionH relativeFrom="column">
            <wp:posOffset>0</wp:posOffset>
          </wp:positionH>
          <wp:positionV relativeFrom="paragraph">
            <wp:posOffset>102235</wp:posOffset>
          </wp:positionV>
          <wp:extent cx="5971540" cy="6985"/>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
                  <a:stretch>
                    <a:fillRect/>
                  </a:stretch>
                </pic:blipFill>
                <pic:spPr>
                  <a:xfrm>
                    <a:off x="0" y="0"/>
                    <a:ext cx="5971811" cy="7217"/>
                  </a:xfrm>
                  <a:prstGeom prst="rect">
                    <a:avLst/>
                  </a:prstGeom>
                </pic:spPr>
              </pic:pic>
            </a:graphicData>
          </a:graphic>
        </wp:anchor>
      </w:drawing>
    </w:r>
    <w:r>
      <w:pict>
        <v:shape id="_x0000_s2049" o:spid="_x0000_s2049" o:spt="202" type="#_x0000_t202" style="position:absolute;left:0pt;margin-left:-0.75pt;margin-top:1.75pt;height:8.95pt;width:8.8pt;z-index:251659264;mso-width-relative:page;mso-height-relative:page;" filled="f" stroked="f" coordsize="21600,21600">
          <v:path/>
          <v:fill on="f" focussize="0,0"/>
          <v:stroke on="f"/>
          <v:imagedata o:title=""/>
          <o:lock v:ext="edit" aspectratio="f"/>
          <v:textbox inset="0mm,0mm,0mm,0mm">
            <w:txbxContent>
              <w:p w14:paraId="3F333270">
                <w:pPr>
                  <w:spacing w:before="19" w:line="183" w:lineRule="auto"/>
                  <w:ind w:left="20"/>
                  <w:rPr>
                    <w:rFonts w:ascii="宋体" w:hAnsi="宋体" w:eastAsia="宋体" w:cs="宋体"/>
                    <w:sz w:val="14"/>
                    <w:szCs w:val="14"/>
                  </w:rPr>
                </w:pPr>
                <w:r>
                  <w:rPr>
                    <w:rFonts w:ascii="宋体" w:hAnsi="宋体" w:eastAsia="宋体" w:cs="宋体"/>
                    <w:spacing w:val="-2"/>
                    <w:sz w:val="14"/>
                    <w:szCs w:val="14"/>
                  </w:rPr>
                  <w:t>-2</w:t>
                </w:r>
              </w:p>
            </w:txbxContent>
          </v:textbox>
        </v:shape>
      </w:pict>
    </w:r>
    <w:r>
      <w:rPr>
        <w:rFonts w:ascii="宋体" w:hAnsi="宋体" w:eastAsia="宋体" w:cs="宋体"/>
        <w:spacing w:val="-8"/>
        <w:sz w:val="17"/>
        <w:szCs w:val="17"/>
      </w:rPr>
      <w:t>福</w:t>
    </w:r>
    <w:r>
      <w:rPr>
        <w:rFonts w:ascii="宋体" w:hAnsi="宋体" w:eastAsia="宋体" w:cs="宋体"/>
        <w:spacing w:val="24"/>
        <w:w w:val="101"/>
        <w:sz w:val="17"/>
        <w:szCs w:val="17"/>
      </w:rPr>
      <w:t xml:space="preserve"> </w:t>
    </w:r>
    <w:r>
      <w:rPr>
        <w:rFonts w:ascii="宋体" w:hAnsi="宋体" w:eastAsia="宋体" w:cs="宋体"/>
        <w:spacing w:val="-8"/>
        <w:sz w:val="17"/>
        <w:szCs w:val="17"/>
      </w:rPr>
      <w:t>建</w:t>
    </w:r>
    <w:r>
      <w:rPr>
        <w:rFonts w:ascii="宋体" w:hAnsi="宋体" w:eastAsia="宋体" w:cs="宋体"/>
        <w:spacing w:val="21"/>
        <w:sz w:val="17"/>
        <w:szCs w:val="17"/>
      </w:rPr>
      <w:t xml:space="preserve"> </w:t>
    </w:r>
    <w:r>
      <w:rPr>
        <w:rFonts w:ascii="宋体" w:hAnsi="宋体" w:eastAsia="宋体" w:cs="宋体"/>
        <w:spacing w:val="-8"/>
        <w:sz w:val="17"/>
        <w:szCs w:val="17"/>
      </w:rPr>
      <w:t>省</w:t>
    </w:r>
    <w:r>
      <w:rPr>
        <w:rFonts w:ascii="宋体" w:hAnsi="宋体" w:eastAsia="宋体" w:cs="宋体"/>
        <w:spacing w:val="25"/>
        <w:sz w:val="17"/>
        <w:szCs w:val="17"/>
      </w:rPr>
      <w:t xml:space="preserve"> </w:t>
    </w:r>
    <w:r>
      <w:rPr>
        <w:rFonts w:ascii="宋体" w:hAnsi="宋体" w:eastAsia="宋体" w:cs="宋体"/>
        <w:spacing w:val="-8"/>
        <w:sz w:val="17"/>
        <w:szCs w:val="17"/>
      </w:rPr>
      <w:t>能</w:t>
    </w:r>
    <w:r>
      <w:rPr>
        <w:rFonts w:ascii="宋体" w:hAnsi="宋体" w:eastAsia="宋体" w:cs="宋体"/>
        <w:spacing w:val="17"/>
        <w:sz w:val="17"/>
        <w:szCs w:val="17"/>
      </w:rPr>
      <w:t xml:space="preserve"> </w:t>
    </w:r>
    <w:r>
      <w:rPr>
        <w:rFonts w:ascii="宋体" w:hAnsi="宋体" w:eastAsia="宋体" w:cs="宋体"/>
        <w:spacing w:val="-8"/>
        <w:sz w:val="17"/>
        <w:szCs w:val="17"/>
      </w:rPr>
      <w:t>源</w:t>
    </w:r>
    <w:r>
      <w:rPr>
        <w:rFonts w:ascii="宋体" w:hAnsi="宋体" w:eastAsia="宋体" w:cs="宋体"/>
        <w:spacing w:val="19"/>
        <w:sz w:val="17"/>
        <w:szCs w:val="17"/>
      </w:rPr>
      <w:t xml:space="preserve"> </w:t>
    </w:r>
    <w:r>
      <w:rPr>
        <w:rFonts w:ascii="宋体" w:hAnsi="宋体" w:eastAsia="宋体" w:cs="宋体"/>
        <w:spacing w:val="-8"/>
        <w:sz w:val="17"/>
        <w:szCs w:val="17"/>
      </w:rPr>
      <w:t>制</w:t>
    </w:r>
    <w:r>
      <w:rPr>
        <w:rFonts w:ascii="宋体" w:hAnsi="宋体" w:eastAsia="宋体" w:cs="宋体"/>
        <w:spacing w:val="18"/>
        <w:sz w:val="17"/>
        <w:szCs w:val="17"/>
      </w:rPr>
      <w:t xml:space="preserve"> </w:t>
    </w:r>
    <w:r>
      <w:rPr>
        <w:rFonts w:ascii="宋体" w:hAnsi="宋体" w:eastAsia="宋体" w:cs="宋体"/>
        <w:spacing w:val="-8"/>
        <w:sz w:val="17"/>
        <w:szCs w:val="17"/>
      </w:rPr>
      <w:t>度</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71435">
    <w:pPr>
      <w:tabs>
        <w:tab w:val="left" w:pos="3841"/>
      </w:tabs>
      <w:spacing w:line="173" w:lineRule="auto"/>
      <w:ind w:left="94"/>
      <w:rPr>
        <w:rFonts w:ascii="宋体" w:hAnsi="宋体" w:eastAsia="宋体" w:cs="宋体"/>
        <w:sz w:val="17"/>
        <w:szCs w:val="17"/>
      </w:rPr>
    </w:pPr>
    <w:r>
      <w:rPr>
        <w:rFonts w:ascii="宋体" w:hAnsi="宋体" w:eastAsia="宋体" w:cs="宋体"/>
        <w:sz w:val="17"/>
        <w:szCs w:val="17"/>
        <w:u w:val="single" w:color="auto"/>
      </w:rPr>
      <w:tab/>
    </w:r>
    <w:r>
      <w:rPr>
        <w:rFonts w:ascii="宋体" w:hAnsi="宋体" w:eastAsia="宋体" w:cs="宋体"/>
        <w:spacing w:val="-16"/>
        <w:sz w:val="17"/>
        <w:szCs w:val="17"/>
        <w:u w:val="single" w:color="auto"/>
      </w:rPr>
      <w:t>福</w:t>
    </w:r>
    <w:r>
      <w:rPr>
        <w:rFonts w:ascii="宋体" w:hAnsi="宋体" w:eastAsia="宋体" w:cs="宋体"/>
        <w:spacing w:val="18"/>
        <w:sz w:val="17"/>
        <w:szCs w:val="17"/>
        <w:u w:val="single" w:color="auto"/>
      </w:rPr>
      <w:t xml:space="preserve"> </w:t>
    </w:r>
    <w:r>
      <w:rPr>
        <w:rFonts w:ascii="宋体" w:hAnsi="宋体" w:eastAsia="宋体" w:cs="宋体"/>
        <w:spacing w:val="-16"/>
        <w:sz w:val="17"/>
        <w:szCs w:val="17"/>
        <w:u w:val="single" w:color="auto"/>
      </w:rPr>
      <w:t>建</w:t>
    </w:r>
    <w:r>
      <w:rPr>
        <w:rFonts w:ascii="宋体" w:hAnsi="宋体" w:eastAsia="宋体" w:cs="宋体"/>
        <w:spacing w:val="18"/>
        <w:sz w:val="17"/>
        <w:szCs w:val="17"/>
        <w:u w:val="single" w:color="auto"/>
      </w:rPr>
      <w:t xml:space="preserve"> </w:t>
    </w:r>
    <w:r>
      <w:rPr>
        <w:rFonts w:ascii="宋体" w:hAnsi="宋体" w:eastAsia="宋体" w:cs="宋体"/>
        <w:spacing w:val="-16"/>
        <w:sz w:val="17"/>
        <w:szCs w:val="17"/>
        <w:u w:val="single" w:color="auto"/>
      </w:rPr>
      <w:t>省</w:t>
    </w:r>
    <w:r>
      <w:rPr>
        <w:rFonts w:ascii="宋体" w:hAnsi="宋体" w:eastAsia="宋体" w:cs="宋体"/>
        <w:spacing w:val="21"/>
        <w:sz w:val="17"/>
        <w:szCs w:val="17"/>
        <w:u w:val="single" w:color="auto"/>
      </w:rPr>
      <w:t xml:space="preserve"> </w:t>
    </w:r>
    <w:r>
      <w:rPr>
        <w:rFonts w:ascii="宋体" w:hAnsi="宋体" w:eastAsia="宋体" w:cs="宋体"/>
        <w:spacing w:val="-16"/>
        <w:sz w:val="17"/>
        <w:szCs w:val="17"/>
        <w:u w:val="single" w:color="auto"/>
      </w:rPr>
      <w:t>能</w:t>
    </w:r>
    <w:r>
      <w:rPr>
        <w:rFonts w:ascii="宋体" w:hAnsi="宋体" w:eastAsia="宋体" w:cs="宋体"/>
        <w:spacing w:val="14"/>
        <w:sz w:val="17"/>
        <w:szCs w:val="17"/>
        <w:u w:val="single" w:color="auto"/>
      </w:rPr>
      <w:t xml:space="preserve"> </w:t>
    </w:r>
    <w:r>
      <w:rPr>
        <w:rFonts w:ascii="宋体" w:hAnsi="宋体" w:eastAsia="宋体" w:cs="宋体"/>
        <w:spacing w:val="-16"/>
        <w:sz w:val="17"/>
        <w:szCs w:val="17"/>
        <w:u w:val="single" w:color="auto"/>
      </w:rPr>
      <w:t>源</w:t>
    </w:r>
    <w:r>
      <w:rPr>
        <w:rFonts w:ascii="宋体" w:hAnsi="宋体" w:eastAsia="宋体" w:cs="宋体"/>
        <w:spacing w:val="16"/>
        <w:sz w:val="17"/>
        <w:szCs w:val="17"/>
        <w:u w:val="single" w:color="auto"/>
      </w:rPr>
      <w:t xml:space="preserve"> </w:t>
    </w:r>
    <w:r>
      <w:rPr>
        <w:rFonts w:ascii="宋体" w:hAnsi="宋体" w:eastAsia="宋体" w:cs="宋体"/>
        <w:spacing w:val="-16"/>
        <w:sz w:val="17"/>
        <w:szCs w:val="17"/>
        <w:u w:val="single" w:color="auto"/>
      </w:rPr>
      <w:t>制</w:t>
    </w:r>
    <w:r>
      <w:rPr>
        <w:rFonts w:ascii="宋体" w:hAnsi="宋体" w:eastAsia="宋体" w:cs="宋体"/>
        <w:spacing w:val="14"/>
        <w:sz w:val="17"/>
        <w:szCs w:val="17"/>
        <w:u w:val="single" w:color="auto"/>
      </w:rPr>
      <w:t xml:space="preserve"> </w:t>
    </w:r>
    <w:r>
      <w:rPr>
        <w:rFonts w:ascii="宋体" w:hAnsi="宋体" w:eastAsia="宋体" w:cs="宋体"/>
        <w:spacing w:val="-16"/>
        <w:sz w:val="17"/>
        <w:szCs w:val="17"/>
        <w:u w:val="single" w:color="auto"/>
      </w:rPr>
      <w:t>度</w:t>
    </w:r>
    <w:r>
      <w:rPr>
        <w:rFonts w:ascii="宋体" w:hAnsi="宋体" w:eastAsia="宋体" w:cs="宋体"/>
        <w:sz w:val="17"/>
        <w:szCs w:val="17"/>
        <w:u w:val="single" w:color="auto"/>
      </w:rPr>
      <w:t xml:space="preserve">                                            </w:t>
    </w:r>
    <w:r>
      <w:rPr>
        <w:rFonts w:ascii="宋体" w:hAnsi="宋体" w:eastAsia="宋体" w:cs="宋体"/>
        <w:spacing w:val="-3"/>
        <w:w w:val="40"/>
        <w:sz w:val="17"/>
        <w:szCs w:val="17"/>
      </w:rPr>
      <w:t>—</w:t>
    </w:r>
    <w:r>
      <w:rPr>
        <w:rFonts w:ascii="宋体" w:hAnsi="宋体" w:eastAsia="宋体" w:cs="宋体"/>
        <w:spacing w:val="-16"/>
        <w:sz w:val="17"/>
        <w:szCs w:val="17"/>
      </w:rPr>
      <w:t>11—</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80347">
    <w:pPr>
      <w:spacing w:line="172" w:lineRule="auto"/>
      <w:ind w:left="10"/>
      <w:rPr>
        <w:rFonts w:ascii="宋体" w:hAnsi="宋体" w:eastAsia="宋体" w:cs="宋体"/>
        <w:sz w:val="17"/>
        <w:szCs w:val="17"/>
      </w:rPr>
    </w:pPr>
    <w:r>
      <w:rPr>
        <w:rFonts w:ascii="宋体" w:hAnsi="宋体" w:eastAsia="宋体" w:cs="宋体"/>
        <w:spacing w:val="-4"/>
        <w:position w:val="-1"/>
        <w:sz w:val="14"/>
        <w:szCs w:val="14"/>
      </w:rPr>
      <w:t xml:space="preserve">-12 </w:t>
    </w:r>
    <w:r>
      <w:rPr>
        <w:rFonts w:ascii="宋体" w:hAnsi="宋体" w:eastAsia="宋体" w:cs="宋体"/>
        <w:spacing w:val="-4"/>
        <w:sz w:val="17"/>
        <w:szCs w:val="17"/>
        <w:u w:val="single" w:color="auto"/>
      </w:rPr>
      <w:t xml:space="preserve">                                            福</w:t>
    </w:r>
    <w:r>
      <w:rPr>
        <w:rFonts w:ascii="宋体" w:hAnsi="宋体" w:eastAsia="宋体" w:cs="宋体"/>
        <w:spacing w:val="20"/>
        <w:sz w:val="17"/>
        <w:szCs w:val="17"/>
        <w:u w:val="single" w:color="auto"/>
      </w:rPr>
      <w:t xml:space="preserve"> </w:t>
    </w:r>
    <w:r>
      <w:rPr>
        <w:rFonts w:ascii="宋体" w:hAnsi="宋体" w:eastAsia="宋体" w:cs="宋体"/>
        <w:spacing w:val="-4"/>
        <w:sz w:val="17"/>
        <w:szCs w:val="17"/>
        <w:u w:val="single" w:color="auto"/>
      </w:rPr>
      <w:t>建</w:t>
    </w:r>
    <w:r>
      <w:rPr>
        <w:rFonts w:ascii="宋体" w:hAnsi="宋体" w:eastAsia="宋体" w:cs="宋体"/>
        <w:spacing w:val="19"/>
        <w:sz w:val="17"/>
        <w:szCs w:val="17"/>
        <w:u w:val="single" w:color="auto"/>
      </w:rPr>
      <w:t xml:space="preserve"> </w:t>
    </w:r>
    <w:r>
      <w:rPr>
        <w:rFonts w:ascii="宋体" w:hAnsi="宋体" w:eastAsia="宋体" w:cs="宋体"/>
        <w:spacing w:val="-4"/>
        <w:sz w:val="17"/>
        <w:szCs w:val="17"/>
        <w:u w:val="single" w:color="auto"/>
      </w:rPr>
      <w:t>省</w:t>
    </w:r>
    <w:r>
      <w:rPr>
        <w:rFonts w:ascii="宋体" w:hAnsi="宋体" w:eastAsia="宋体" w:cs="宋体"/>
        <w:spacing w:val="23"/>
        <w:w w:val="101"/>
        <w:sz w:val="17"/>
        <w:szCs w:val="17"/>
        <w:u w:val="single" w:color="auto"/>
      </w:rPr>
      <w:t xml:space="preserve"> </w:t>
    </w:r>
    <w:r>
      <w:rPr>
        <w:rFonts w:ascii="宋体" w:hAnsi="宋体" w:eastAsia="宋体" w:cs="宋体"/>
        <w:spacing w:val="-4"/>
        <w:sz w:val="17"/>
        <w:szCs w:val="17"/>
        <w:u w:val="single" w:color="auto"/>
      </w:rPr>
      <w:t>能</w:t>
    </w:r>
    <w:r>
      <w:rPr>
        <w:rFonts w:ascii="宋体" w:hAnsi="宋体" w:eastAsia="宋体" w:cs="宋体"/>
        <w:spacing w:val="15"/>
        <w:sz w:val="17"/>
        <w:szCs w:val="17"/>
        <w:u w:val="single" w:color="auto"/>
      </w:rPr>
      <w:t xml:space="preserve"> </w:t>
    </w:r>
    <w:r>
      <w:rPr>
        <w:rFonts w:ascii="宋体" w:hAnsi="宋体" w:eastAsia="宋体" w:cs="宋体"/>
        <w:spacing w:val="-4"/>
        <w:sz w:val="17"/>
        <w:szCs w:val="17"/>
        <w:u w:val="single" w:color="auto"/>
      </w:rPr>
      <w:t>源</w:t>
    </w:r>
    <w:r>
      <w:rPr>
        <w:rFonts w:ascii="宋体" w:hAnsi="宋体" w:eastAsia="宋体" w:cs="宋体"/>
        <w:spacing w:val="18"/>
        <w:sz w:val="17"/>
        <w:szCs w:val="17"/>
        <w:u w:val="single" w:color="auto"/>
      </w:rPr>
      <w:t xml:space="preserve"> </w:t>
    </w:r>
    <w:r>
      <w:rPr>
        <w:rFonts w:ascii="宋体" w:hAnsi="宋体" w:eastAsia="宋体" w:cs="宋体"/>
        <w:spacing w:val="-4"/>
        <w:sz w:val="17"/>
        <w:szCs w:val="17"/>
        <w:u w:val="single" w:color="auto"/>
      </w:rPr>
      <w:t>制</w:t>
    </w:r>
    <w:r>
      <w:rPr>
        <w:rFonts w:ascii="宋体" w:hAnsi="宋体" w:eastAsia="宋体" w:cs="宋体"/>
        <w:spacing w:val="16"/>
        <w:sz w:val="17"/>
        <w:szCs w:val="17"/>
        <w:u w:val="single" w:color="auto"/>
      </w:rPr>
      <w:t xml:space="preserve"> </w:t>
    </w:r>
    <w:r>
      <w:rPr>
        <w:rFonts w:ascii="宋体" w:hAnsi="宋体" w:eastAsia="宋体" w:cs="宋体"/>
        <w:spacing w:val="-4"/>
        <w:sz w:val="17"/>
        <w:szCs w:val="17"/>
        <w:u w:val="single" w:color="auto"/>
      </w:rPr>
      <w:t xml:space="preserve">度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EEFD2">
    <w:pPr>
      <w:spacing w:line="174" w:lineRule="auto"/>
      <w:ind w:left="3560"/>
      <w:rPr>
        <w:rFonts w:ascii="宋体" w:hAnsi="宋体" w:eastAsia="宋体" w:cs="宋体"/>
        <w:sz w:val="18"/>
        <w:szCs w:val="18"/>
      </w:rPr>
    </w:pPr>
    <w:r>
      <w:pict>
        <v:rect id="_x0000_s2054" o:spid="_x0000_s2054" o:spt="1" style="position:absolute;left:0pt;margin-left:0pt;margin-top:8.2pt;height:0.8pt;width:471.45pt;z-index:251675648;mso-width-relative:page;mso-height-relative:page;" fillcolor="#000000" filled="t" stroked="f" coordsize="21600,21600">
          <v:path/>
          <v:fill on="t" focussize="0,0"/>
          <v:stroke on="f"/>
          <v:imagedata o:title=""/>
          <o:lock v:ext="edit"/>
        </v:rect>
      </w:pict>
    </w:r>
    <w:r>
      <w:pict>
        <v:shape id="_x0000_s2055" o:spid="_x0000_s2055" o:spt="202" type="#_x0000_t202" style="position:absolute;left:0pt;margin-left:460.85pt;margin-top:2.05pt;height:8.5pt;width:11.55pt;z-index:251674624;mso-width-relative:page;mso-height-relative:page;" filled="f" stroked="f" coordsize="21600,21600">
          <v:path/>
          <v:fill on="f" focussize="0,0"/>
          <v:stroke on="f"/>
          <v:imagedata o:title=""/>
          <o:lock v:ext="edit" aspectratio="f"/>
          <v:textbox inset="0mm,0mm,0mm,0mm">
            <w:txbxContent>
              <w:p w14:paraId="58FDE71C">
                <w:pPr>
                  <w:spacing w:before="19" w:line="184" w:lineRule="auto"/>
                  <w:ind w:left="20"/>
                  <w:rPr>
                    <w:rFonts w:ascii="宋体" w:hAnsi="宋体" w:eastAsia="宋体" w:cs="宋体"/>
                    <w:sz w:val="13"/>
                    <w:szCs w:val="13"/>
                  </w:rPr>
                </w:pPr>
                <w:r>
                  <w:rPr>
                    <w:rFonts w:ascii="宋体" w:hAnsi="宋体" w:eastAsia="宋体" w:cs="宋体"/>
                    <w:spacing w:val="-1"/>
                    <w:sz w:val="13"/>
                    <w:szCs w:val="13"/>
                  </w:rPr>
                  <w:t>-13</w:t>
                </w:r>
              </w:p>
            </w:txbxContent>
          </v:textbox>
        </v:shape>
      </w:pict>
    </w:r>
    <w:r>
      <w:rPr>
        <w:rFonts w:ascii="宋体" w:hAnsi="宋体" w:eastAsia="宋体" w:cs="宋体"/>
        <w:spacing w:val="-6"/>
        <w:sz w:val="18"/>
        <w:szCs w:val="18"/>
      </w:rPr>
      <w:t>福 建</w:t>
    </w:r>
    <w:r>
      <w:rPr>
        <w:rFonts w:ascii="宋体" w:hAnsi="宋体" w:eastAsia="宋体" w:cs="宋体"/>
        <w:spacing w:val="8"/>
        <w:sz w:val="18"/>
        <w:szCs w:val="18"/>
      </w:rPr>
      <w:t xml:space="preserve"> </w:t>
    </w:r>
    <w:r>
      <w:rPr>
        <w:rFonts w:ascii="宋体" w:hAnsi="宋体" w:eastAsia="宋体" w:cs="宋体"/>
        <w:spacing w:val="-6"/>
        <w:sz w:val="18"/>
        <w:szCs w:val="18"/>
      </w:rPr>
      <w:t>省</w:t>
    </w:r>
    <w:r>
      <w:rPr>
        <w:rFonts w:ascii="宋体" w:hAnsi="宋体" w:eastAsia="宋体" w:cs="宋体"/>
        <w:spacing w:val="11"/>
        <w:sz w:val="18"/>
        <w:szCs w:val="18"/>
      </w:rPr>
      <w:t xml:space="preserve"> </w:t>
    </w:r>
    <w:r>
      <w:rPr>
        <w:rFonts w:ascii="宋体" w:hAnsi="宋体" w:eastAsia="宋体" w:cs="宋体"/>
        <w:spacing w:val="-6"/>
        <w:sz w:val="18"/>
        <w:szCs w:val="18"/>
      </w:rPr>
      <w:t>能</w:t>
    </w:r>
    <w:r>
      <w:rPr>
        <w:rFonts w:ascii="宋体" w:hAnsi="宋体" w:eastAsia="宋体" w:cs="宋体"/>
        <w:spacing w:val="4"/>
        <w:sz w:val="18"/>
        <w:szCs w:val="18"/>
      </w:rPr>
      <w:t xml:space="preserve"> </w:t>
    </w:r>
    <w:r>
      <w:rPr>
        <w:rFonts w:ascii="宋体" w:hAnsi="宋体" w:eastAsia="宋体" w:cs="宋体"/>
        <w:spacing w:val="-6"/>
        <w:sz w:val="18"/>
        <w:szCs w:val="18"/>
      </w:rPr>
      <w:t>源</w:t>
    </w:r>
    <w:r>
      <w:rPr>
        <w:rFonts w:ascii="宋体" w:hAnsi="宋体" w:eastAsia="宋体" w:cs="宋体"/>
        <w:spacing w:val="6"/>
        <w:sz w:val="18"/>
        <w:szCs w:val="18"/>
      </w:rPr>
      <w:t xml:space="preserve"> </w:t>
    </w:r>
    <w:r>
      <w:rPr>
        <w:rFonts w:ascii="宋体" w:hAnsi="宋体" w:eastAsia="宋体" w:cs="宋体"/>
        <w:spacing w:val="-6"/>
        <w:sz w:val="18"/>
        <w:szCs w:val="18"/>
      </w:rPr>
      <w:t>制</w:t>
    </w:r>
    <w:r>
      <w:rPr>
        <w:rFonts w:ascii="宋体" w:hAnsi="宋体" w:eastAsia="宋体" w:cs="宋体"/>
        <w:spacing w:val="4"/>
        <w:sz w:val="18"/>
        <w:szCs w:val="18"/>
      </w:rPr>
      <w:t xml:space="preserve"> </w:t>
    </w:r>
    <w:r>
      <w:rPr>
        <w:rFonts w:ascii="宋体" w:hAnsi="宋体" w:eastAsia="宋体" w:cs="宋体"/>
        <w:spacing w:val="-6"/>
        <w:sz w:val="18"/>
        <w:szCs w:val="18"/>
      </w:rPr>
      <w:t>度</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E50A7B">
    <w:pPr>
      <w:spacing w:line="179" w:lineRule="auto"/>
      <w:ind w:left="3838"/>
      <w:rPr>
        <w:rFonts w:ascii="宋体" w:hAnsi="宋体" w:eastAsia="宋体" w:cs="宋体"/>
        <w:sz w:val="17"/>
        <w:szCs w:val="17"/>
      </w:rPr>
    </w:pPr>
    <w:r>
      <w:drawing>
        <wp:anchor distT="0" distB="0" distL="0" distR="0" simplePos="0" relativeHeight="251677696" behindDoc="0" locked="0" layoutInCell="1" allowOverlap="1">
          <wp:simplePos x="0" y="0"/>
          <wp:positionH relativeFrom="column">
            <wp:posOffset>0</wp:posOffset>
          </wp:positionH>
          <wp:positionV relativeFrom="paragraph">
            <wp:posOffset>102235</wp:posOffset>
          </wp:positionV>
          <wp:extent cx="5984875" cy="8890"/>
          <wp:effectExtent l="0" t="0" r="0" b="0"/>
          <wp:wrapNone/>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1"/>
                  <a:stretch>
                    <a:fillRect/>
                  </a:stretch>
                </pic:blipFill>
                <pic:spPr>
                  <a:xfrm>
                    <a:off x="0" y="0"/>
                    <a:ext cx="5984909" cy="8995"/>
                  </a:xfrm>
                  <a:prstGeom prst="rect">
                    <a:avLst/>
                  </a:prstGeom>
                </pic:spPr>
              </pic:pic>
            </a:graphicData>
          </a:graphic>
        </wp:anchor>
      </w:drawing>
    </w:r>
    <w:r>
      <w:pict>
        <v:shape id="_x0000_s2056" o:spid="_x0000_s2056" o:spt="202" type="#_x0000_t202" style="position:absolute;left:0pt;margin-left:-0.75pt;margin-top:1pt;height:10pt;width:17.8pt;z-index:251676672;mso-width-relative:page;mso-height-relative:page;" filled="f" stroked="f" coordsize="21600,21600">
          <v:path/>
          <v:fill on="f" focussize="0,0"/>
          <v:stroke on="f"/>
          <v:imagedata o:title=""/>
          <o:lock v:ext="edit" aspectratio="f"/>
          <v:textbox inset="0mm,0mm,0mm,0mm">
            <w:txbxContent>
              <w:p w14:paraId="36BFD981">
                <w:pPr>
                  <w:spacing w:before="19" w:line="184" w:lineRule="auto"/>
                  <w:ind w:left="20"/>
                  <w:rPr>
                    <w:rFonts w:ascii="宋体" w:hAnsi="宋体" w:eastAsia="宋体" w:cs="宋体"/>
                    <w:sz w:val="16"/>
                    <w:szCs w:val="16"/>
                  </w:rPr>
                </w:pPr>
                <w:r>
                  <w:rPr>
                    <w:rFonts w:ascii="宋体" w:hAnsi="宋体" w:eastAsia="宋体" w:cs="宋体"/>
                    <w:spacing w:val="-1"/>
                    <w:sz w:val="16"/>
                    <w:szCs w:val="16"/>
                  </w:rPr>
                  <w:t>-14.</w:t>
                </w:r>
              </w:p>
            </w:txbxContent>
          </v:textbox>
        </v:shape>
      </w:pict>
    </w:r>
    <w:r>
      <w:rPr>
        <w:rFonts w:ascii="宋体" w:hAnsi="宋体" w:eastAsia="宋体" w:cs="宋体"/>
        <w:spacing w:val="-8"/>
        <w:sz w:val="17"/>
        <w:szCs w:val="17"/>
      </w:rPr>
      <w:t>福</w:t>
    </w:r>
    <w:r>
      <w:rPr>
        <w:rFonts w:ascii="宋体" w:hAnsi="宋体" w:eastAsia="宋体" w:cs="宋体"/>
        <w:spacing w:val="25"/>
        <w:sz w:val="17"/>
        <w:szCs w:val="17"/>
      </w:rPr>
      <w:t xml:space="preserve"> </w:t>
    </w:r>
    <w:r>
      <w:rPr>
        <w:rFonts w:ascii="宋体" w:hAnsi="宋体" w:eastAsia="宋体" w:cs="宋体"/>
        <w:spacing w:val="-8"/>
        <w:sz w:val="17"/>
        <w:szCs w:val="17"/>
      </w:rPr>
      <w:t>建</w:t>
    </w:r>
    <w:r>
      <w:rPr>
        <w:rFonts w:ascii="宋体" w:hAnsi="宋体" w:eastAsia="宋体" w:cs="宋体"/>
        <w:spacing w:val="21"/>
        <w:sz w:val="17"/>
        <w:szCs w:val="17"/>
      </w:rPr>
      <w:t xml:space="preserve"> </w:t>
    </w:r>
    <w:r>
      <w:rPr>
        <w:rFonts w:ascii="宋体" w:hAnsi="宋体" w:eastAsia="宋体" w:cs="宋体"/>
        <w:spacing w:val="-8"/>
        <w:sz w:val="17"/>
        <w:szCs w:val="17"/>
      </w:rPr>
      <w:t>省</w:t>
    </w:r>
    <w:r>
      <w:rPr>
        <w:rFonts w:ascii="宋体" w:hAnsi="宋体" w:eastAsia="宋体" w:cs="宋体"/>
        <w:spacing w:val="25"/>
        <w:sz w:val="17"/>
        <w:szCs w:val="17"/>
      </w:rPr>
      <w:t xml:space="preserve"> </w:t>
    </w:r>
    <w:r>
      <w:rPr>
        <w:rFonts w:ascii="宋体" w:hAnsi="宋体" w:eastAsia="宋体" w:cs="宋体"/>
        <w:spacing w:val="-8"/>
        <w:sz w:val="17"/>
        <w:szCs w:val="17"/>
      </w:rPr>
      <w:t>能</w:t>
    </w:r>
    <w:r>
      <w:rPr>
        <w:rFonts w:ascii="宋体" w:hAnsi="宋体" w:eastAsia="宋体" w:cs="宋体"/>
        <w:spacing w:val="18"/>
        <w:sz w:val="17"/>
        <w:szCs w:val="17"/>
      </w:rPr>
      <w:t xml:space="preserve"> </w:t>
    </w:r>
    <w:r>
      <w:rPr>
        <w:rFonts w:ascii="宋体" w:hAnsi="宋体" w:eastAsia="宋体" w:cs="宋体"/>
        <w:spacing w:val="-8"/>
        <w:sz w:val="17"/>
        <w:szCs w:val="17"/>
      </w:rPr>
      <w:t>源</w:t>
    </w:r>
    <w:r>
      <w:rPr>
        <w:rFonts w:ascii="宋体" w:hAnsi="宋体" w:eastAsia="宋体" w:cs="宋体"/>
        <w:spacing w:val="19"/>
        <w:sz w:val="17"/>
        <w:szCs w:val="17"/>
      </w:rPr>
      <w:t xml:space="preserve"> </w:t>
    </w:r>
    <w:r>
      <w:rPr>
        <w:rFonts w:ascii="宋体" w:hAnsi="宋体" w:eastAsia="宋体" w:cs="宋体"/>
        <w:spacing w:val="-8"/>
        <w:sz w:val="17"/>
        <w:szCs w:val="17"/>
      </w:rPr>
      <w:t>制</w:t>
    </w:r>
    <w:r>
      <w:rPr>
        <w:rFonts w:ascii="宋体" w:hAnsi="宋体" w:eastAsia="宋体" w:cs="宋体"/>
        <w:spacing w:val="18"/>
        <w:sz w:val="17"/>
        <w:szCs w:val="17"/>
      </w:rPr>
      <w:t xml:space="preserve"> </w:t>
    </w:r>
    <w:r>
      <w:rPr>
        <w:rFonts w:ascii="宋体" w:hAnsi="宋体" w:eastAsia="宋体" w:cs="宋体"/>
        <w:spacing w:val="-8"/>
        <w:sz w:val="17"/>
        <w:szCs w:val="17"/>
      </w:rPr>
      <w:t>度</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4250F5">
    <w:pPr>
      <w:spacing w:line="182" w:lineRule="auto"/>
      <w:ind w:left="3610"/>
      <w:rPr>
        <w:rFonts w:ascii="宋体" w:hAnsi="宋体" w:eastAsia="宋体" w:cs="宋体"/>
        <w:sz w:val="18"/>
        <w:szCs w:val="18"/>
      </w:rPr>
    </w:pPr>
    <w:r>
      <w:drawing>
        <wp:anchor distT="0" distB="0" distL="0" distR="0" simplePos="0" relativeHeight="251678720" behindDoc="0" locked="0" layoutInCell="1" allowOverlap="1">
          <wp:simplePos x="0" y="0"/>
          <wp:positionH relativeFrom="column">
            <wp:posOffset>31115</wp:posOffset>
          </wp:positionH>
          <wp:positionV relativeFrom="paragraph">
            <wp:posOffset>108585</wp:posOffset>
          </wp:positionV>
          <wp:extent cx="5978525" cy="10795"/>
          <wp:effectExtent l="0" t="0" r="0" b="0"/>
          <wp:wrapNone/>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1"/>
                  <a:stretch>
                    <a:fillRect/>
                  </a:stretch>
                </pic:blipFill>
                <pic:spPr>
                  <a:xfrm>
                    <a:off x="0" y="0"/>
                    <a:ext cx="5978494" cy="10949"/>
                  </a:xfrm>
                  <a:prstGeom prst="rect">
                    <a:avLst/>
                  </a:prstGeom>
                </pic:spPr>
              </pic:pic>
            </a:graphicData>
          </a:graphic>
        </wp:anchor>
      </w:drawing>
    </w:r>
    <w:r>
      <w:rPr>
        <w:rFonts w:ascii="宋体" w:hAnsi="宋体" w:eastAsia="宋体" w:cs="宋体"/>
        <w:spacing w:val="-4"/>
        <w:sz w:val="18"/>
        <w:szCs w:val="18"/>
      </w:rPr>
      <w:t>福 建</w:t>
    </w:r>
    <w:r>
      <w:rPr>
        <w:rFonts w:ascii="宋体" w:hAnsi="宋体" w:eastAsia="宋体" w:cs="宋体"/>
        <w:spacing w:val="18"/>
        <w:sz w:val="18"/>
        <w:szCs w:val="18"/>
      </w:rPr>
      <w:t xml:space="preserve"> </w:t>
    </w:r>
    <w:r>
      <w:rPr>
        <w:rFonts w:ascii="宋体" w:hAnsi="宋体" w:eastAsia="宋体" w:cs="宋体"/>
        <w:spacing w:val="-4"/>
        <w:sz w:val="18"/>
        <w:szCs w:val="18"/>
      </w:rPr>
      <w:t>省</w:t>
    </w:r>
    <w:r>
      <w:rPr>
        <w:rFonts w:ascii="宋体" w:hAnsi="宋体" w:eastAsia="宋体" w:cs="宋体"/>
        <w:spacing w:val="11"/>
        <w:sz w:val="18"/>
        <w:szCs w:val="18"/>
      </w:rPr>
      <w:t xml:space="preserve"> </w:t>
    </w:r>
    <w:r>
      <w:rPr>
        <w:rFonts w:ascii="宋体" w:hAnsi="宋体" w:eastAsia="宋体" w:cs="宋体"/>
        <w:spacing w:val="-4"/>
        <w:sz w:val="18"/>
        <w:szCs w:val="18"/>
      </w:rPr>
      <w:t>能 源</w:t>
    </w:r>
    <w:r>
      <w:rPr>
        <w:rFonts w:ascii="宋体" w:hAnsi="宋体" w:eastAsia="宋体" w:cs="宋体"/>
        <w:spacing w:val="6"/>
        <w:sz w:val="18"/>
        <w:szCs w:val="18"/>
      </w:rPr>
      <w:t xml:space="preserve"> </w:t>
    </w:r>
    <w:r>
      <w:rPr>
        <w:rFonts w:ascii="宋体" w:hAnsi="宋体" w:eastAsia="宋体" w:cs="宋体"/>
        <w:spacing w:val="-4"/>
        <w:sz w:val="18"/>
        <w:szCs w:val="18"/>
      </w:rPr>
      <w:t>制</w:t>
    </w:r>
    <w:r>
      <w:rPr>
        <w:rFonts w:ascii="宋体" w:hAnsi="宋体" w:eastAsia="宋体" w:cs="宋体"/>
        <w:spacing w:val="4"/>
        <w:sz w:val="18"/>
        <w:szCs w:val="18"/>
      </w:rPr>
      <w:t xml:space="preserve"> </w:t>
    </w:r>
    <w:r>
      <w:rPr>
        <w:rFonts w:ascii="宋体" w:hAnsi="宋体" w:eastAsia="宋体" w:cs="宋体"/>
        <w:spacing w:val="-4"/>
        <w:sz w:val="18"/>
        <w:szCs w:val="18"/>
      </w:rPr>
      <w:t>度                                         —15—</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390EB">
    <w:pPr>
      <w:spacing w:line="163" w:lineRule="auto"/>
      <w:ind w:left="31"/>
      <w:rPr>
        <w:rFonts w:ascii="宋体" w:hAnsi="宋体" w:eastAsia="宋体" w:cs="宋体"/>
        <w:sz w:val="17"/>
        <w:szCs w:val="17"/>
      </w:rPr>
    </w:pPr>
    <w:r>
      <w:rPr>
        <w:rFonts w:ascii="宋体" w:hAnsi="宋体" w:eastAsia="宋体" w:cs="宋体"/>
        <w:b/>
        <w:bCs/>
        <w:spacing w:val="-15"/>
        <w:w w:val="96"/>
        <w:sz w:val="18"/>
        <w:szCs w:val="18"/>
      </w:rPr>
      <w:t>—16—</w:t>
    </w:r>
    <w:r>
      <w:rPr>
        <w:rFonts w:ascii="宋体" w:hAnsi="宋体" w:eastAsia="宋体" w:cs="宋体"/>
        <w:spacing w:val="-72"/>
        <w:sz w:val="18"/>
        <w:szCs w:val="18"/>
      </w:rPr>
      <w:t xml:space="preserve"> </w:t>
    </w:r>
    <w:r>
      <w:rPr>
        <w:rFonts w:ascii="宋体" w:hAnsi="宋体" w:eastAsia="宋体" w:cs="宋体"/>
        <w:spacing w:val="1"/>
        <w:sz w:val="17"/>
        <w:szCs w:val="17"/>
        <w:u w:val="single" w:color="auto"/>
      </w:rPr>
      <w:t xml:space="preserve">                                        </w:t>
    </w:r>
    <w:r>
      <w:rPr>
        <w:rFonts w:ascii="宋体" w:hAnsi="宋体" w:eastAsia="宋体" w:cs="宋体"/>
        <w:spacing w:val="-15"/>
        <w:w w:val="96"/>
        <w:sz w:val="17"/>
        <w:szCs w:val="17"/>
        <w:u w:val="single" w:color="auto"/>
      </w:rPr>
      <w:t>福</w:t>
    </w:r>
    <w:r>
      <w:rPr>
        <w:rFonts w:ascii="宋体" w:hAnsi="宋体" w:eastAsia="宋体" w:cs="宋体"/>
        <w:spacing w:val="38"/>
        <w:w w:val="101"/>
        <w:sz w:val="17"/>
        <w:szCs w:val="17"/>
        <w:u w:val="single" w:color="auto"/>
      </w:rPr>
      <w:t xml:space="preserve"> </w:t>
    </w:r>
    <w:r>
      <w:rPr>
        <w:rFonts w:ascii="宋体" w:hAnsi="宋体" w:eastAsia="宋体" w:cs="宋体"/>
        <w:spacing w:val="-15"/>
        <w:w w:val="96"/>
        <w:sz w:val="17"/>
        <w:szCs w:val="17"/>
        <w:u w:val="single" w:color="auto"/>
      </w:rPr>
      <w:t>建</w:t>
    </w:r>
    <w:r>
      <w:rPr>
        <w:rFonts w:ascii="宋体" w:hAnsi="宋体" w:eastAsia="宋体" w:cs="宋体"/>
        <w:spacing w:val="21"/>
        <w:sz w:val="17"/>
        <w:szCs w:val="17"/>
        <w:u w:val="single" w:color="auto"/>
      </w:rPr>
      <w:t xml:space="preserve"> </w:t>
    </w:r>
    <w:r>
      <w:rPr>
        <w:rFonts w:ascii="宋体" w:hAnsi="宋体" w:eastAsia="宋体" w:cs="宋体"/>
        <w:spacing w:val="-15"/>
        <w:w w:val="96"/>
        <w:sz w:val="17"/>
        <w:szCs w:val="17"/>
        <w:u w:val="single" w:color="auto"/>
      </w:rPr>
      <w:t>省</w:t>
    </w:r>
    <w:r>
      <w:rPr>
        <w:rFonts w:ascii="宋体" w:hAnsi="宋体" w:eastAsia="宋体" w:cs="宋体"/>
        <w:spacing w:val="25"/>
        <w:sz w:val="17"/>
        <w:szCs w:val="17"/>
        <w:u w:val="single" w:color="auto"/>
      </w:rPr>
      <w:t xml:space="preserve"> </w:t>
    </w:r>
    <w:r>
      <w:rPr>
        <w:rFonts w:ascii="宋体" w:hAnsi="宋体" w:eastAsia="宋体" w:cs="宋体"/>
        <w:spacing w:val="-15"/>
        <w:w w:val="96"/>
        <w:sz w:val="17"/>
        <w:szCs w:val="17"/>
        <w:u w:val="single" w:color="auto"/>
      </w:rPr>
      <w:t>能</w:t>
    </w:r>
    <w:r>
      <w:rPr>
        <w:rFonts w:ascii="宋体" w:hAnsi="宋体" w:eastAsia="宋体" w:cs="宋体"/>
        <w:spacing w:val="17"/>
        <w:sz w:val="17"/>
        <w:szCs w:val="17"/>
        <w:u w:val="single" w:color="auto"/>
      </w:rPr>
      <w:t xml:space="preserve"> </w:t>
    </w:r>
    <w:r>
      <w:rPr>
        <w:rFonts w:ascii="宋体" w:hAnsi="宋体" w:eastAsia="宋体" w:cs="宋体"/>
        <w:spacing w:val="-15"/>
        <w:w w:val="96"/>
        <w:sz w:val="17"/>
        <w:szCs w:val="17"/>
        <w:u w:val="single" w:color="auto"/>
      </w:rPr>
      <w:t>源</w:t>
    </w:r>
    <w:r>
      <w:rPr>
        <w:rFonts w:ascii="宋体" w:hAnsi="宋体" w:eastAsia="宋体" w:cs="宋体"/>
        <w:spacing w:val="19"/>
        <w:sz w:val="17"/>
        <w:szCs w:val="17"/>
        <w:u w:val="single" w:color="auto"/>
      </w:rPr>
      <w:t xml:space="preserve"> </w:t>
    </w:r>
    <w:r>
      <w:rPr>
        <w:rFonts w:ascii="宋体" w:hAnsi="宋体" w:eastAsia="宋体" w:cs="宋体"/>
        <w:spacing w:val="-15"/>
        <w:w w:val="96"/>
        <w:sz w:val="17"/>
        <w:szCs w:val="17"/>
        <w:u w:val="single" w:color="auto"/>
      </w:rPr>
      <w:t>制</w:t>
    </w:r>
    <w:r>
      <w:rPr>
        <w:rFonts w:ascii="宋体" w:hAnsi="宋体" w:eastAsia="宋体" w:cs="宋体"/>
        <w:spacing w:val="18"/>
        <w:sz w:val="17"/>
        <w:szCs w:val="17"/>
        <w:u w:val="single" w:color="auto"/>
      </w:rPr>
      <w:t xml:space="preserve"> </w:t>
    </w:r>
    <w:r>
      <w:rPr>
        <w:rFonts w:ascii="宋体" w:hAnsi="宋体" w:eastAsia="宋体" w:cs="宋体"/>
        <w:spacing w:val="-15"/>
        <w:w w:val="96"/>
        <w:sz w:val="17"/>
        <w:szCs w:val="17"/>
        <w:u w:val="single" w:color="auto"/>
      </w:rPr>
      <w:t>度</w:t>
    </w:r>
    <w:r>
      <w:rPr>
        <w:rFonts w:ascii="宋体" w:hAnsi="宋体" w:eastAsia="宋体" w:cs="宋体"/>
        <w:sz w:val="17"/>
        <w:szCs w:val="17"/>
        <w:u w:val="single" w:color="auto"/>
      </w:rPr>
      <w:t xml:space="preserve">                                             </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A1310">
    <w:pPr>
      <w:spacing w:line="182" w:lineRule="auto"/>
      <w:ind w:left="3630"/>
      <w:rPr>
        <w:rFonts w:ascii="宋体" w:hAnsi="宋体" w:eastAsia="宋体" w:cs="宋体"/>
        <w:sz w:val="17"/>
        <w:szCs w:val="17"/>
      </w:rPr>
    </w:pPr>
    <w:r>
      <w:drawing>
        <wp:anchor distT="0" distB="0" distL="0" distR="0" simplePos="0" relativeHeight="251682816" behindDoc="0" locked="0" layoutInCell="1" allowOverlap="1">
          <wp:simplePos x="0" y="0"/>
          <wp:positionH relativeFrom="column">
            <wp:posOffset>0</wp:posOffset>
          </wp:positionH>
          <wp:positionV relativeFrom="paragraph">
            <wp:posOffset>102870</wp:posOffset>
          </wp:positionV>
          <wp:extent cx="5992495" cy="10795"/>
          <wp:effectExtent l="0" t="0" r="0" b="0"/>
          <wp:wrapNone/>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1"/>
                  <a:stretch>
                    <a:fillRect/>
                  </a:stretch>
                </pic:blipFill>
                <pic:spPr>
                  <a:xfrm>
                    <a:off x="0" y="0"/>
                    <a:ext cx="5992468" cy="10773"/>
                  </a:xfrm>
                  <a:prstGeom prst="rect">
                    <a:avLst/>
                  </a:prstGeom>
                </pic:spPr>
              </pic:pic>
            </a:graphicData>
          </a:graphic>
        </wp:anchor>
      </w:drawing>
    </w:r>
    <w:r>
      <w:pict>
        <v:shape id="_x0000_s2057" o:spid="_x0000_s2057" o:spt="202" type="#_x0000_t202" style="position:absolute;left:0pt;margin-left:453.1pt;margin-top:0.3pt;height:11pt;width:19.75pt;z-index:251681792;mso-width-relative:page;mso-height-relative:page;" filled="f" stroked="f" coordsize="21600,21600">
          <v:path/>
          <v:fill on="f" focussize="0,0"/>
          <v:stroke on="f"/>
          <v:imagedata o:title=""/>
          <o:lock v:ext="edit" aspectratio="f"/>
          <v:textbox inset="0mm,0mm,0mm,0mm">
            <w:txbxContent>
              <w:p w14:paraId="6C097014">
                <w:pPr>
                  <w:spacing w:before="19" w:line="184" w:lineRule="auto"/>
                  <w:ind w:left="20"/>
                  <w:rPr>
                    <w:rFonts w:ascii="宋体" w:hAnsi="宋体" w:eastAsia="宋体" w:cs="宋体"/>
                    <w:sz w:val="18"/>
                    <w:szCs w:val="18"/>
                  </w:rPr>
                </w:pPr>
                <w:r>
                  <w:rPr>
                    <w:rFonts w:ascii="宋体" w:hAnsi="宋体" w:eastAsia="宋体" w:cs="宋体"/>
                    <w:spacing w:val="-2"/>
                    <w:sz w:val="18"/>
                    <w:szCs w:val="18"/>
                  </w:rPr>
                  <w:t>-17.</w:t>
                </w:r>
              </w:p>
            </w:txbxContent>
          </v:textbox>
        </v:shape>
      </w:pict>
    </w:r>
    <w:r>
      <w:rPr>
        <w:rFonts w:ascii="宋体" w:hAnsi="宋体" w:eastAsia="宋体" w:cs="宋体"/>
        <w:spacing w:val="-8"/>
        <w:sz w:val="17"/>
        <w:szCs w:val="17"/>
      </w:rPr>
      <w:t>福</w:t>
    </w:r>
    <w:r>
      <w:rPr>
        <w:rFonts w:ascii="宋体" w:hAnsi="宋体" w:eastAsia="宋体" w:cs="宋体"/>
        <w:spacing w:val="15"/>
        <w:sz w:val="17"/>
        <w:szCs w:val="17"/>
      </w:rPr>
      <w:t xml:space="preserve"> </w:t>
    </w:r>
    <w:r>
      <w:rPr>
        <w:rFonts w:ascii="宋体" w:hAnsi="宋体" w:eastAsia="宋体" w:cs="宋体"/>
        <w:spacing w:val="-8"/>
        <w:sz w:val="17"/>
        <w:szCs w:val="17"/>
      </w:rPr>
      <w:t>建</w:t>
    </w:r>
    <w:r>
      <w:rPr>
        <w:rFonts w:ascii="宋体" w:hAnsi="宋体" w:eastAsia="宋体" w:cs="宋体"/>
        <w:spacing w:val="12"/>
        <w:sz w:val="17"/>
        <w:szCs w:val="17"/>
      </w:rPr>
      <w:t xml:space="preserve"> </w:t>
    </w:r>
    <w:r>
      <w:rPr>
        <w:rFonts w:ascii="宋体" w:hAnsi="宋体" w:eastAsia="宋体" w:cs="宋体"/>
        <w:spacing w:val="-8"/>
        <w:sz w:val="17"/>
        <w:szCs w:val="17"/>
      </w:rPr>
      <w:t>省</w:t>
    </w:r>
    <w:r>
      <w:rPr>
        <w:rFonts w:ascii="宋体" w:hAnsi="宋体" w:eastAsia="宋体" w:cs="宋体"/>
        <w:spacing w:val="16"/>
        <w:sz w:val="17"/>
        <w:szCs w:val="17"/>
      </w:rPr>
      <w:t xml:space="preserve"> </w:t>
    </w:r>
    <w:r>
      <w:rPr>
        <w:rFonts w:ascii="宋体" w:hAnsi="宋体" w:eastAsia="宋体" w:cs="宋体"/>
        <w:spacing w:val="-8"/>
        <w:sz w:val="17"/>
        <w:szCs w:val="17"/>
      </w:rPr>
      <w:t>能</w:t>
    </w:r>
    <w:r>
      <w:rPr>
        <w:rFonts w:ascii="宋体" w:hAnsi="宋体" w:eastAsia="宋体" w:cs="宋体"/>
        <w:spacing w:val="9"/>
        <w:sz w:val="17"/>
        <w:szCs w:val="17"/>
      </w:rPr>
      <w:t xml:space="preserve"> </w:t>
    </w:r>
    <w:r>
      <w:rPr>
        <w:rFonts w:ascii="宋体" w:hAnsi="宋体" w:eastAsia="宋体" w:cs="宋体"/>
        <w:spacing w:val="-8"/>
        <w:sz w:val="17"/>
        <w:szCs w:val="17"/>
      </w:rPr>
      <w:t>源</w:t>
    </w:r>
    <w:r>
      <w:rPr>
        <w:rFonts w:ascii="宋体" w:hAnsi="宋体" w:eastAsia="宋体" w:cs="宋体"/>
        <w:spacing w:val="10"/>
        <w:sz w:val="17"/>
        <w:szCs w:val="17"/>
      </w:rPr>
      <w:t xml:space="preserve"> </w:t>
    </w:r>
    <w:r>
      <w:rPr>
        <w:rFonts w:ascii="宋体" w:hAnsi="宋体" w:eastAsia="宋体" w:cs="宋体"/>
        <w:spacing w:val="-8"/>
        <w:sz w:val="17"/>
        <w:szCs w:val="17"/>
      </w:rPr>
      <w:t>制</w:t>
    </w:r>
    <w:r>
      <w:rPr>
        <w:rFonts w:ascii="宋体" w:hAnsi="宋体" w:eastAsia="宋体" w:cs="宋体"/>
        <w:spacing w:val="8"/>
        <w:sz w:val="17"/>
        <w:szCs w:val="17"/>
      </w:rPr>
      <w:t xml:space="preserve"> </w:t>
    </w:r>
    <w:r>
      <w:rPr>
        <w:rFonts w:ascii="宋体" w:hAnsi="宋体" w:eastAsia="宋体" w:cs="宋体"/>
        <w:spacing w:val="-8"/>
        <w:sz w:val="17"/>
        <w:szCs w:val="17"/>
      </w:rPr>
      <w:t>度</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75FCC">
    <w:pPr>
      <w:spacing w:line="140" w:lineRule="auto"/>
      <w:ind w:left="21"/>
      <w:rPr>
        <w:rFonts w:ascii="宋体" w:hAnsi="宋体" w:eastAsia="宋体" w:cs="宋体"/>
        <w:sz w:val="17"/>
        <w:szCs w:val="17"/>
      </w:rPr>
    </w:pPr>
    <w:r>
      <w:rPr>
        <w:rFonts w:ascii="宋体" w:hAnsi="宋体" w:eastAsia="宋体" w:cs="宋体"/>
        <w:b/>
        <w:bCs/>
        <w:spacing w:val="-14"/>
        <w:w w:val="90"/>
        <w:sz w:val="21"/>
        <w:szCs w:val="21"/>
      </w:rPr>
      <w:t>—18—</w:t>
    </w:r>
    <w:r>
      <w:rPr>
        <w:rFonts w:ascii="宋体" w:hAnsi="宋体" w:eastAsia="宋体" w:cs="宋体"/>
        <w:spacing w:val="-87"/>
        <w:sz w:val="21"/>
        <w:szCs w:val="21"/>
      </w:rPr>
      <w:t xml:space="preserve"> </w:t>
    </w:r>
    <w:r>
      <w:rPr>
        <w:rFonts w:ascii="宋体" w:hAnsi="宋体" w:eastAsia="宋体" w:cs="宋体"/>
        <w:spacing w:val="2"/>
        <w:sz w:val="17"/>
        <w:szCs w:val="17"/>
        <w:u w:val="single" w:color="auto"/>
      </w:rPr>
      <w:t xml:space="preserve">                      </w:t>
    </w:r>
    <w:r>
      <w:rPr>
        <w:rFonts w:ascii="宋体" w:hAnsi="宋体" w:eastAsia="宋体" w:cs="宋体"/>
        <w:spacing w:val="1"/>
        <w:sz w:val="17"/>
        <w:szCs w:val="17"/>
        <w:u w:val="single" w:color="auto"/>
      </w:rPr>
      <w:t xml:space="preserve">                  </w:t>
    </w:r>
    <w:r>
      <w:rPr>
        <w:rFonts w:ascii="宋体" w:hAnsi="宋体" w:eastAsia="宋体" w:cs="宋体"/>
        <w:spacing w:val="-14"/>
        <w:w w:val="90"/>
        <w:sz w:val="17"/>
        <w:szCs w:val="17"/>
        <w:u w:val="single" w:color="auto"/>
      </w:rPr>
      <w:t>福</w:t>
    </w:r>
    <w:r>
      <w:rPr>
        <w:rFonts w:ascii="宋体" w:hAnsi="宋体" w:eastAsia="宋体" w:cs="宋体"/>
        <w:spacing w:val="21"/>
        <w:w w:val="101"/>
        <w:sz w:val="17"/>
        <w:szCs w:val="17"/>
        <w:u w:val="single" w:color="auto"/>
      </w:rPr>
      <w:t xml:space="preserve"> </w:t>
    </w:r>
    <w:r>
      <w:rPr>
        <w:rFonts w:ascii="宋体" w:hAnsi="宋体" w:eastAsia="宋体" w:cs="宋体"/>
        <w:spacing w:val="-14"/>
        <w:w w:val="90"/>
        <w:sz w:val="17"/>
        <w:szCs w:val="17"/>
        <w:u w:val="single" w:color="auto"/>
      </w:rPr>
      <w:t>建</w:t>
    </w:r>
    <w:r>
      <w:rPr>
        <w:rFonts w:ascii="宋体" w:hAnsi="宋体" w:eastAsia="宋体" w:cs="宋体"/>
        <w:spacing w:val="21"/>
        <w:sz w:val="17"/>
        <w:szCs w:val="17"/>
        <w:u w:val="single" w:color="auto"/>
      </w:rPr>
      <w:t xml:space="preserve"> </w:t>
    </w:r>
    <w:r>
      <w:rPr>
        <w:rFonts w:ascii="宋体" w:hAnsi="宋体" w:eastAsia="宋体" w:cs="宋体"/>
        <w:spacing w:val="-14"/>
        <w:w w:val="90"/>
        <w:sz w:val="17"/>
        <w:szCs w:val="17"/>
        <w:u w:val="single" w:color="auto"/>
      </w:rPr>
      <w:t>省</w:t>
    </w:r>
    <w:r>
      <w:rPr>
        <w:rFonts w:ascii="宋体" w:hAnsi="宋体" w:eastAsia="宋体" w:cs="宋体"/>
        <w:spacing w:val="25"/>
        <w:sz w:val="17"/>
        <w:szCs w:val="17"/>
        <w:u w:val="single" w:color="auto"/>
      </w:rPr>
      <w:t xml:space="preserve"> </w:t>
    </w:r>
    <w:r>
      <w:rPr>
        <w:rFonts w:ascii="宋体" w:hAnsi="宋体" w:eastAsia="宋体" w:cs="宋体"/>
        <w:spacing w:val="-14"/>
        <w:w w:val="90"/>
        <w:sz w:val="17"/>
        <w:szCs w:val="17"/>
        <w:u w:val="single" w:color="auto"/>
      </w:rPr>
      <w:t>能</w:t>
    </w:r>
    <w:r>
      <w:rPr>
        <w:rFonts w:ascii="宋体" w:hAnsi="宋体" w:eastAsia="宋体" w:cs="宋体"/>
        <w:spacing w:val="18"/>
        <w:sz w:val="17"/>
        <w:szCs w:val="17"/>
        <w:u w:val="single" w:color="auto"/>
      </w:rPr>
      <w:t xml:space="preserve"> </w:t>
    </w:r>
    <w:r>
      <w:rPr>
        <w:rFonts w:ascii="宋体" w:hAnsi="宋体" w:eastAsia="宋体" w:cs="宋体"/>
        <w:spacing w:val="-14"/>
        <w:w w:val="90"/>
        <w:sz w:val="17"/>
        <w:szCs w:val="17"/>
        <w:u w:val="single" w:color="auto"/>
      </w:rPr>
      <w:t>源</w:t>
    </w:r>
    <w:r>
      <w:rPr>
        <w:rFonts w:ascii="宋体" w:hAnsi="宋体" w:eastAsia="宋体" w:cs="宋体"/>
        <w:spacing w:val="19"/>
        <w:sz w:val="17"/>
        <w:szCs w:val="17"/>
        <w:u w:val="single" w:color="auto"/>
      </w:rPr>
      <w:t xml:space="preserve"> </w:t>
    </w:r>
    <w:r>
      <w:rPr>
        <w:rFonts w:ascii="宋体" w:hAnsi="宋体" w:eastAsia="宋体" w:cs="宋体"/>
        <w:spacing w:val="-14"/>
        <w:w w:val="90"/>
        <w:sz w:val="17"/>
        <w:szCs w:val="17"/>
        <w:u w:val="single" w:color="auto"/>
      </w:rPr>
      <w:t>制</w:t>
    </w:r>
    <w:r>
      <w:rPr>
        <w:rFonts w:ascii="宋体" w:hAnsi="宋体" w:eastAsia="宋体" w:cs="宋体"/>
        <w:spacing w:val="18"/>
        <w:sz w:val="17"/>
        <w:szCs w:val="17"/>
        <w:u w:val="single" w:color="auto"/>
      </w:rPr>
      <w:t xml:space="preserve"> </w:t>
    </w:r>
    <w:r>
      <w:rPr>
        <w:rFonts w:ascii="宋体" w:hAnsi="宋体" w:eastAsia="宋体" w:cs="宋体"/>
        <w:spacing w:val="-14"/>
        <w:w w:val="90"/>
        <w:sz w:val="17"/>
        <w:szCs w:val="17"/>
        <w:u w:val="single" w:color="auto"/>
      </w:rPr>
      <w:t>度</w:t>
    </w:r>
    <w:r>
      <w:rPr>
        <w:rFonts w:ascii="宋体" w:hAnsi="宋体" w:eastAsia="宋体" w:cs="宋体"/>
        <w:sz w:val="17"/>
        <w:szCs w:val="17"/>
        <w:u w:val="single" w:color="auto"/>
      </w:rPr>
      <w:t xml:space="preserve">                                             </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6EEEA7">
    <w:pPr>
      <w:spacing w:line="172" w:lineRule="auto"/>
      <w:ind w:left="3630"/>
      <w:rPr>
        <w:rFonts w:ascii="宋体" w:hAnsi="宋体" w:eastAsia="宋体" w:cs="宋体"/>
        <w:sz w:val="18"/>
        <w:szCs w:val="18"/>
      </w:rPr>
    </w:pPr>
    <w:r>
      <w:drawing>
        <wp:anchor distT="0" distB="0" distL="0" distR="0" simplePos="0" relativeHeight="251685888" behindDoc="0" locked="0" layoutInCell="1" allowOverlap="1">
          <wp:simplePos x="0" y="0"/>
          <wp:positionH relativeFrom="column">
            <wp:posOffset>0</wp:posOffset>
          </wp:positionH>
          <wp:positionV relativeFrom="paragraph">
            <wp:posOffset>102235</wp:posOffset>
          </wp:positionV>
          <wp:extent cx="5978525" cy="10795"/>
          <wp:effectExtent l="0" t="0" r="0" b="0"/>
          <wp:wrapNone/>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1"/>
                  <a:stretch>
                    <a:fillRect/>
                  </a:stretch>
                </pic:blipFill>
                <pic:spPr>
                  <a:xfrm>
                    <a:off x="0" y="0"/>
                    <a:ext cx="5978494" cy="10773"/>
                  </a:xfrm>
                  <a:prstGeom prst="rect">
                    <a:avLst/>
                  </a:prstGeom>
                </pic:spPr>
              </pic:pic>
            </a:graphicData>
          </a:graphic>
        </wp:anchor>
      </w:drawing>
    </w:r>
    <w:r>
      <w:rPr>
        <w:rFonts w:ascii="宋体" w:hAnsi="宋体" w:eastAsia="宋体" w:cs="宋体"/>
        <w:spacing w:val="-3"/>
        <w:sz w:val="17"/>
        <w:szCs w:val="17"/>
      </w:rPr>
      <w:t>福 建</w:t>
    </w:r>
    <w:r>
      <w:rPr>
        <w:rFonts w:ascii="宋体" w:hAnsi="宋体" w:eastAsia="宋体" w:cs="宋体"/>
        <w:spacing w:val="12"/>
        <w:sz w:val="17"/>
        <w:szCs w:val="17"/>
      </w:rPr>
      <w:t xml:space="preserve"> </w:t>
    </w:r>
    <w:r>
      <w:rPr>
        <w:rFonts w:ascii="宋体" w:hAnsi="宋体" w:eastAsia="宋体" w:cs="宋体"/>
        <w:spacing w:val="-3"/>
        <w:sz w:val="17"/>
        <w:szCs w:val="17"/>
      </w:rPr>
      <w:t>省</w:t>
    </w:r>
    <w:r>
      <w:rPr>
        <w:rFonts w:ascii="宋体" w:hAnsi="宋体" w:eastAsia="宋体" w:cs="宋体"/>
        <w:spacing w:val="16"/>
        <w:sz w:val="17"/>
        <w:szCs w:val="17"/>
      </w:rPr>
      <w:t xml:space="preserve"> </w:t>
    </w:r>
    <w:r>
      <w:rPr>
        <w:rFonts w:ascii="宋体" w:hAnsi="宋体" w:eastAsia="宋体" w:cs="宋体"/>
        <w:spacing w:val="-3"/>
        <w:sz w:val="17"/>
        <w:szCs w:val="17"/>
      </w:rPr>
      <w:t>能</w:t>
    </w:r>
    <w:r>
      <w:rPr>
        <w:rFonts w:ascii="宋体" w:hAnsi="宋体" w:eastAsia="宋体" w:cs="宋体"/>
        <w:spacing w:val="8"/>
        <w:sz w:val="17"/>
        <w:szCs w:val="17"/>
      </w:rPr>
      <w:t xml:space="preserve"> </w:t>
    </w:r>
    <w:r>
      <w:rPr>
        <w:rFonts w:ascii="宋体" w:hAnsi="宋体" w:eastAsia="宋体" w:cs="宋体"/>
        <w:spacing w:val="-3"/>
        <w:sz w:val="17"/>
        <w:szCs w:val="17"/>
      </w:rPr>
      <w:t>源</w:t>
    </w:r>
    <w:r>
      <w:rPr>
        <w:rFonts w:ascii="宋体" w:hAnsi="宋体" w:eastAsia="宋体" w:cs="宋体"/>
        <w:spacing w:val="10"/>
        <w:sz w:val="17"/>
        <w:szCs w:val="17"/>
      </w:rPr>
      <w:t xml:space="preserve"> </w:t>
    </w:r>
    <w:r>
      <w:rPr>
        <w:rFonts w:ascii="宋体" w:hAnsi="宋体" w:eastAsia="宋体" w:cs="宋体"/>
        <w:spacing w:val="-3"/>
        <w:sz w:val="17"/>
        <w:szCs w:val="17"/>
      </w:rPr>
      <w:t>制</w:t>
    </w:r>
    <w:r>
      <w:rPr>
        <w:rFonts w:ascii="宋体" w:hAnsi="宋体" w:eastAsia="宋体" w:cs="宋体"/>
        <w:spacing w:val="9"/>
        <w:sz w:val="17"/>
        <w:szCs w:val="17"/>
      </w:rPr>
      <w:t xml:space="preserve"> </w:t>
    </w:r>
    <w:r>
      <w:rPr>
        <w:rFonts w:ascii="宋体" w:hAnsi="宋体" w:eastAsia="宋体" w:cs="宋体"/>
        <w:spacing w:val="-3"/>
        <w:sz w:val="17"/>
        <w:szCs w:val="17"/>
      </w:rPr>
      <w:t xml:space="preserve">度                                           </w:t>
    </w:r>
    <w:r>
      <w:rPr>
        <w:rFonts w:ascii="宋体" w:hAnsi="宋体" w:eastAsia="宋体" w:cs="宋体"/>
        <w:spacing w:val="-3"/>
        <w:sz w:val="18"/>
        <w:szCs w:val="18"/>
      </w:rPr>
      <w:t>—1</w:t>
    </w:r>
    <w:r>
      <w:rPr>
        <w:rFonts w:ascii="宋体" w:hAnsi="宋体" w:eastAsia="宋体" w:cs="宋体"/>
        <w:spacing w:val="-4"/>
        <w:sz w:val="18"/>
        <w:szCs w:val="18"/>
      </w:rPr>
      <w:t>9—</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7A9FB7">
    <w:pPr>
      <w:spacing w:line="163" w:lineRule="auto"/>
      <w:ind w:left="4"/>
      <w:rPr>
        <w:rFonts w:ascii="宋体" w:hAnsi="宋体" w:eastAsia="宋体" w:cs="宋体"/>
        <w:sz w:val="17"/>
        <w:szCs w:val="17"/>
      </w:rPr>
    </w:pPr>
    <w:r>
      <w:rPr>
        <w:rFonts w:ascii="宋体" w:hAnsi="宋体" w:eastAsia="宋体" w:cs="宋体"/>
        <w:spacing w:val="-13"/>
        <w:w w:val="96"/>
        <w:sz w:val="18"/>
        <w:szCs w:val="18"/>
      </w:rPr>
      <w:t>—20—</w:t>
    </w:r>
    <w:r>
      <w:rPr>
        <w:rFonts w:ascii="宋体" w:hAnsi="宋体" w:eastAsia="宋体" w:cs="宋体"/>
        <w:spacing w:val="1"/>
        <w:sz w:val="17"/>
        <w:szCs w:val="17"/>
        <w:u w:val="single" w:color="auto"/>
      </w:rPr>
      <w:t xml:space="preserve">                                  </w:t>
    </w:r>
    <w:r>
      <w:rPr>
        <w:rFonts w:ascii="宋体" w:hAnsi="宋体" w:eastAsia="宋体" w:cs="宋体"/>
        <w:sz w:val="17"/>
        <w:szCs w:val="17"/>
        <w:u w:val="single" w:color="auto"/>
      </w:rPr>
      <w:t xml:space="preserve">      </w:t>
    </w:r>
    <w:r>
      <w:rPr>
        <w:rFonts w:ascii="宋体" w:hAnsi="宋体" w:eastAsia="宋体" w:cs="宋体"/>
        <w:spacing w:val="-13"/>
        <w:w w:val="96"/>
        <w:sz w:val="17"/>
        <w:szCs w:val="17"/>
        <w:u w:val="single" w:color="auto"/>
      </w:rPr>
      <w:t>福</w:t>
    </w:r>
    <w:r>
      <w:rPr>
        <w:rFonts w:ascii="宋体" w:hAnsi="宋体" w:eastAsia="宋体" w:cs="宋体"/>
        <w:spacing w:val="21"/>
        <w:sz w:val="17"/>
        <w:szCs w:val="17"/>
        <w:u w:val="single" w:color="auto"/>
      </w:rPr>
      <w:t xml:space="preserve"> </w:t>
    </w:r>
    <w:r>
      <w:rPr>
        <w:rFonts w:ascii="宋体" w:hAnsi="宋体" w:eastAsia="宋体" w:cs="宋体"/>
        <w:spacing w:val="-13"/>
        <w:w w:val="96"/>
        <w:sz w:val="17"/>
        <w:szCs w:val="17"/>
        <w:u w:val="single" w:color="auto"/>
      </w:rPr>
      <w:t>建</w:t>
    </w:r>
    <w:r>
      <w:rPr>
        <w:rFonts w:ascii="宋体" w:hAnsi="宋体" w:eastAsia="宋体" w:cs="宋体"/>
        <w:spacing w:val="21"/>
        <w:sz w:val="17"/>
        <w:szCs w:val="17"/>
        <w:u w:val="single" w:color="auto"/>
      </w:rPr>
      <w:t xml:space="preserve"> </w:t>
    </w:r>
    <w:r>
      <w:rPr>
        <w:rFonts w:ascii="宋体" w:hAnsi="宋体" w:eastAsia="宋体" w:cs="宋体"/>
        <w:spacing w:val="-13"/>
        <w:w w:val="96"/>
        <w:sz w:val="17"/>
        <w:szCs w:val="17"/>
        <w:u w:val="single" w:color="auto"/>
      </w:rPr>
      <w:t>省</w:t>
    </w:r>
    <w:r>
      <w:rPr>
        <w:rFonts w:ascii="宋体" w:hAnsi="宋体" w:eastAsia="宋体" w:cs="宋体"/>
        <w:spacing w:val="24"/>
        <w:sz w:val="17"/>
        <w:szCs w:val="17"/>
        <w:u w:val="single" w:color="auto"/>
      </w:rPr>
      <w:t xml:space="preserve"> </w:t>
    </w:r>
    <w:r>
      <w:rPr>
        <w:rFonts w:ascii="宋体" w:hAnsi="宋体" w:eastAsia="宋体" w:cs="宋体"/>
        <w:spacing w:val="-13"/>
        <w:w w:val="96"/>
        <w:sz w:val="17"/>
        <w:szCs w:val="17"/>
        <w:u w:val="single" w:color="auto"/>
      </w:rPr>
      <w:t>能</w:t>
    </w:r>
    <w:r>
      <w:rPr>
        <w:rFonts w:ascii="宋体" w:hAnsi="宋体" w:eastAsia="宋体" w:cs="宋体"/>
        <w:spacing w:val="17"/>
        <w:sz w:val="17"/>
        <w:szCs w:val="17"/>
        <w:u w:val="single" w:color="auto"/>
      </w:rPr>
      <w:t xml:space="preserve"> </w:t>
    </w:r>
    <w:r>
      <w:rPr>
        <w:rFonts w:ascii="宋体" w:hAnsi="宋体" w:eastAsia="宋体" w:cs="宋体"/>
        <w:spacing w:val="-13"/>
        <w:w w:val="96"/>
        <w:sz w:val="17"/>
        <w:szCs w:val="17"/>
        <w:u w:val="single" w:color="auto"/>
      </w:rPr>
      <w:t>源</w:t>
    </w:r>
    <w:r>
      <w:rPr>
        <w:rFonts w:ascii="宋体" w:hAnsi="宋体" w:eastAsia="宋体" w:cs="宋体"/>
        <w:spacing w:val="19"/>
        <w:sz w:val="17"/>
        <w:szCs w:val="17"/>
        <w:u w:val="single" w:color="auto"/>
      </w:rPr>
      <w:t xml:space="preserve"> </w:t>
    </w:r>
    <w:r>
      <w:rPr>
        <w:rFonts w:ascii="宋体" w:hAnsi="宋体" w:eastAsia="宋体" w:cs="宋体"/>
        <w:spacing w:val="-13"/>
        <w:w w:val="96"/>
        <w:sz w:val="17"/>
        <w:szCs w:val="17"/>
        <w:u w:val="single" w:color="auto"/>
      </w:rPr>
      <w:t>制</w:t>
    </w:r>
    <w:r>
      <w:rPr>
        <w:rFonts w:ascii="宋体" w:hAnsi="宋体" w:eastAsia="宋体" w:cs="宋体"/>
        <w:spacing w:val="17"/>
        <w:sz w:val="17"/>
        <w:szCs w:val="17"/>
        <w:u w:val="single" w:color="auto"/>
      </w:rPr>
      <w:t xml:space="preserve"> </w:t>
    </w:r>
    <w:r>
      <w:rPr>
        <w:rFonts w:ascii="宋体" w:hAnsi="宋体" w:eastAsia="宋体" w:cs="宋体"/>
        <w:spacing w:val="-13"/>
        <w:w w:val="96"/>
        <w:sz w:val="17"/>
        <w:szCs w:val="17"/>
        <w:u w:val="single" w:color="auto"/>
      </w:rPr>
      <w:t>度</w:t>
    </w:r>
    <w:r>
      <w:rPr>
        <w:rFonts w:ascii="宋体" w:hAnsi="宋体" w:eastAsia="宋体" w:cs="宋体"/>
        <w:sz w:val="17"/>
        <w:szCs w:val="17"/>
        <w:u w:val="single" w:color="auto"/>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A8D4E9">
    <w:pPr>
      <w:spacing w:line="176" w:lineRule="auto"/>
      <w:jc w:val="right"/>
      <w:rPr>
        <w:rFonts w:ascii="宋体" w:hAnsi="宋体" w:eastAsia="宋体" w:cs="宋体"/>
        <w:sz w:val="21"/>
        <w:szCs w:val="21"/>
      </w:rPr>
    </w:pPr>
    <w:r>
      <w:drawing>
        <wp:anchor distT="0" distB="0" distL="0" distR="0" simplePos="0" relativeHeight="251661312" behindDoc="0" locked="0" layoutInCell="1" allowOverlap="1">
          <wp:simplePos x="0" y="0"/>
          <wp:positionH relativeFrom="column">
            <wp:posOffset>0</wp:posOffset>
          </wp:positionH>
          <wp:positionV relativeFrom="paragraph">
            <wp:posOffset>127000</wp:posOffset>
          </wp:positionV>
          <wp:extent cx="5966460" cy="13970"/>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
                  <a:stretch>
                    <a:fillRect/>
                  </a:stretch>
                </pic:blipFill>
                <pic:spPr>
                  <a:xfrm>
                    <a:off x="0" y="0"/>
                    <a:ext cx="5966302" cy="13825"/>
                  </a:xfrm>
                  <a:prstGeom prst="rect">
                    <a:avLst/>
                  </a:prstGeom>
                </pic:spPr>
              </pic:pic>
            </a:graphicData>
          </a:graphic>
        </wp:anchor>
      </w:drawing>
    </w:r>
    <w:r>
      <w:rPr>
        <w:rFonts w:ascii="宋体" w:hAnsi="宋体" w:eastAsia="宋体" w:cs="宋体"/>
        <w:spacing w:val="-5"/>
        <w:sz w:val="21"/>
        <w:szCs w:val="21"/>
      </w:rPr>
      <w:t>福</w:t>
    </w:r>
    <w:r>
      <w:rPr>
        <w:rFonts w:ascii="宋体" w:hAnsi="宋体" w:eastAsia="宋体" w:cs="宋体"/>
        <w:spacing w:val="-19"/>
        <w:sz w:val="21"/>
        <w:szCs w:val="21"/>
      </w:rPr>
      <w:t xml:space="preserve"> </w:t>
    </w:r>
    <w:r>
      <w:rPr>
        <w:rFonts w:ascii="宋体" w:hAnsi="宋体" w:eastAsia="宋体" w:cs="宋体"/>
        <w:spacing w:val="-5"/>
        <w:sz w:val="21"/>
        <w:szCs w:val="21"/>
      </w:rPr>
      <w:t>建</w:t>
    </w:r>
    <w:r>
      <w:rPr>
        <w:rFonts w:ascii="宋体" w:hAnsi="宋体" w:eastAsia="宋体" w:cs="宋体"/>
        <w:spacing w:val="-26"/>
        <w:sz w:val="21"/>
        <w:szCs w:val="21"/>
      </w:rPr>
      <w:t xml:space="preserve"> </w:t>
    </w:r>
    <w:r>
      <w:rPr>
        <w:rFonts w:ascii="宋体" w:hAnsi="宋体" w:eastAsia="宋体" w:cs="宋体"/>
        <w:spacing w:val="-5"/>
        <w:sz w:val="21"/>
        <w:szCs w:val="21"/>
      </w:rPr>
      <w:t>省</w:t>
    </w:r>
    <w:r>
      <w:rPr>
        <w:rFonts w:ascii="宋体" w:hAnsi="宋体" w:eastAsia="宋体" w:cs="宋体"/>
        <w:spacing w:val="-20"/>
        <w:sz w:val="21"/>
        <w:szCs w:val="21"/>
      </w:rPr>
      <w:t xml:space="preserve"> </w:t>
    </w:r>
    <w:r>
      <w:rPr>
        <w:rFonts w:ascii="宋体" w:hAnsi="宋体" w:eastAsia="宋体" w:cs="宋体"/>
        <w:spacing w:val="-5"/>
        <w:sz w:val="21"/>
        <w:szCs w:val="21"/>
      </w:rPr>
      <w:t>能</w:t>
    </w:r>
    <w:r>
      <w:rPr>
        <w:rFonts w:ascii="宋体" w:hAnsi="宋体" w:eastAsia="宋体" w:cs="宋体"/>
        <w:spacing w:val="-29"/>
        <w:sz w:val="21"/>
        <w:szCs w:val="21"/>
      </w:rPr>
      <w:t xml:space="preserve"> </w:t>
    </w:r>
    <w:r>
      <w:rPr>
        <w:rFonts w:ascii="宋体" w:hAnsi="宋体" w:eastAsia="宋体" w:cs="宋体"/>
        <w:spacing w:val="-5"/>
        <w:sz w:val="21"/>
        <w:szCs w:val="21"/>
      </w:rPr>
      <w:t>源</w:t>
    </w:r>
    <w:r>
      <w:rPr>
        <w:rFonts w:ascii="宋体" w:hAnsi="宋体" w:eastAsia="宋体" w:cs="宋体"/>
        <w:spacing w:val="-28"/>
        <w:sz w:val="21"/>
        <w:szCs w:val="21"/>
      </w:rPr>
      <w:t xml:space="preserve"> </w:t>
    </w:r>
    <w:r>
      <w:rPr>
        <w:rFonts w:ascii="宋体" w:hAnsi="宋体" w:eastAsia="宋体" w:cs="宋体"/>
        <w:spacing w:val="-5"/>
        <w:sz w:val="21"/>
        <w:szCs w:val="21"/>
      </w:rPr>
      <w:t>制</w:t>
    </w:r>
    <w:r>
      <w:rPr>
        <w:rFonts w:ascii="宋体" w:hAnsi="宋体" w:eastAsia="宋体" w:cs="宋体"/>
        <w:spacing w:val="-30"/>
        <w:sz w:val="21"/>
        <w:szCs w:val="21"/>
      </w:rPr>
      <w:t xml:space="preserve"> </w:t>
    </w:r>
    <w:r>
      <w:rPr>
        <w:rFonts w:ascii="宋体" w:hAnsi="宋体" w:eastAsia="宋体" w:cs="宋体"/>
        <w:spacing w:val="-5"/>
        <w:sz w:val="21"/>
        <w:szCs w:val="21"/>
      </w:rPr>
      <w:t xml:space="preserve">度                                   </w:t>
    </w:r>
    <w:r>
      <w:rPr>
        <w:rFonts w:ascii="宋体" w:hAnsi="宋体" w:eastAsia="宋体" w:cs="宋体"/>
        <w:spacing w:val="-5"/>
        <w:position w:val="-1"/>
        <w:sz w:val="21"/>
        <w:szCs w:val="21"/>
      </w:rPr>
      <w:t>—3—</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C49FC">
    <w:pPr>
      <w:tabs>
        <w:tab w:val="left" w:pos="3742"/>
      </w:tabs>
      <w:spacing w:line="173" w:lineRule="auto"/>
      <w:ind w:left="5"/>
      <w:rPr>
        <w:rFonts w:ascii="宋体" w:hAnsi="宋体" w:eastAsia="宋体" w:cs="宋体"/>
        <w:sz w:val="17"/>
        <w:szCs w:val="17"/>
      </w:rPr>
    </w:pPr>
    <w:r>
      <w:rPr>
        <w:rFonts w:ascii="宋体" w:hAnsi="宋体" w:eastAsia="宋体" w:cs="宋体"/>
        <w:sz w:val="17"/>
        <w:szCs w:val="17"/>
        <w:u w:val="single" w:color="auto"/>
      </w:rPr>
      <w:tab/>
    </w:r>
    <w:r>
      <w:rPr>
        <w:rFonts w:ascii="宋体" w:hAnsi="宋体" w:eastAsia="宋体" w:cs="宋体"/>
        <w:spacing w:val="-17"/>
        <w:w w:val="99"/>
        <w:sz w:val="17"/>
        <w:szCs w:val="17"/>
        <w:u w:val="single" w:color="auto"/>
      </w:rPr>
      <w:t>福</w:t>
    </w:r>
    <w:r>
      <w:rPr>
        <w:rFonts w:ascii="宋体" w:hAnsi="宋体" w:eastAsia="宋体" w:cs="宋体"/>
        <w:spacing w:val="24"/>
        <w:sz w:val="17"/>
        <w:szCs w:val="17"/>
        <w:u w:val="single" w:color="auto"/>
      </w:rPr>
      <w:t xml:space="preserve"> </w:t>
    </w:r>
    <w:r>
      <w:rPr>
        <w:rFonts w:ascii="宋体" w:hAnsi="宋体" w:eastAsia="宋体" w:cs="宋体"/>
        <w:spacing w:val="-17"/>
        <w:w w:val="99"/>
        <w:sz w:val="17"/>
        <w:szCs w:val="17"/>
        <w:u w:val="single" w:color="auto"/>
      </w:rPr>
      <w:t>建</w:t>
    </w:r>
    <w:r>
      <w:rPr>
        <w:rFonts w:ascii="宋体" w:hAnsi="宋体" w:eastAsia="宋体" w:cs="宋体"/>
        <w:spacing w:val="17"/>
        <w:sz w:val="17"/>
        <w:szCs w:val="17"/>
        <w:u w:val="single" w:color="auto"/>
      </w:rPr>
      <w:t xml:space="preserve"> </w:t>
    </w:r>
    <w:r>
      <w:rPr>
        <w:rFonts w:ascii="宋体" w:hAnsi="宋体" w:eastAsia="宋体" w:cs="宋体"/>
        <w:spacing w:val="-17"/>
        <w:w w:val="99"/>
        <w:sz w:val="17"/>
        <w:szCs w:val="17"/>
        <w:u w:val="single" w:color="auto"/>
      </w:rPr>
      <w:t>省</w:t>
    </w:r>
    <w:r>
      <w:rPr>
        <w:rFonts w:ascii="宋体" w:hAnsi="宋体" w:eastAsia="宋体" w:cs="宋体"/>
        <w:spacing w:val="21"/>
        <w:sz w:val="17"/>
        <w:szCs w:val="17"/>
        <w:u w:val="single" w:color="auto"/>
      </w:rPr>
      <w:t xml:space="preserve"> </w:t>
    </w:r>
    <w:r>
      <w:rPr>
        <w:rFonts w:ascii="宋体" w:hAnsi="宋体" w:eastAsia="宋体" w:cs="宋体"/>
        <w:spacing w:val="-17"/>
        <w:w w:val="99"/>
        <w:sz w:val="17"/>
        <w:szCs w:val="17"/>
        <w:u w:val="single" w:color="auto"/>
      </w:rPr>
      <w:t>能</w:t>
    </w:r>
    <w:r>
      <w:rPr>
        <w:rFonts w:ascii="宋体" w:hAnsi="宋体" w:eastAsia="宋体" w:cs="宋体"/>
        <w:spacing w:val="14"/>
        <w:sz w:val="17"/>
        <w:szCs w:val="17"/>
        <w:u w:val="single" w:color="auto"/>
      </w:rPr>
      <w:t xml:space="preserve"> </w:t>
    </w:r>
    <w:r>
      <w:rPr>
        <w:rFonts w:ascii="宋体" w:hAnsi="宋体" w:eastAsia="宋体" w:cs="宋体"/>
        <w:spacing w:val="-17"/>
        <w:w w:val="99"/>
        <w:sz w:val="17"/>
        <w:szCs w:val="17"/>
        <w:u w:val="single" w:color="auto"/>
      </w:rPr>
      <w:t>源</w:t>
    </w:r>
    <w:r>
      <w:rPr>
        <w:rFonts w:ascii="宋体" w:hAnsi="宋体" w:eastAsia="宋体" w:cs="宋体"/>
        <w:spacing w:val="15"/>
        <w:sz w:val="17"/>
        <w:szCs w:val="17"/>
        <w:u w:val="single" w:color="auto"/>
      </w:rPr>
      <w:t xml:space="preserve"> </w:t>
    </w:r>
    <w:r>
      <w:rPr>
        <w:rFonts w:ascii="宋体" w:hAnsi="宋体" w:eastAsia="宋体" w:cs="宋体"/>
        <w:spacing w:val="-17"/>
        <w:w w:val="99"/>
        <w:sz w:val="17"/>
        <w:szCs w:val="17"/>
        <w:u w:val="single" w:color="auto"/>
      </w:rPr>
      <w:t>制</w:t>
    </w:r>
    <w:r>
      <w:rPr>
        <w:rFonts w:ascii="宋体" w:hAnsi="宋体" w:eastAsia="宋体" w:cs="宋体"/>
        <w:spacing w:val="14"/>
        <w:sz w:val="17"/>
        <w:szCs w:val="17"/>
        <w:u w:val="single" w:color="auto"/>
      </w:rPr>
      <w:t xml:space="preserve"> </w:t>
    </w:r>
    <w:r>
      <w:rPr>
        <w:rFonts w:ascii="宋体" w:hAnsi="宋体" w:eastAsia="宋体" w:cs="宋体"/>
        <w:spacing w:val="-17"/>
        <w:w w:val="99"/>
        <w:sz w:val="17"/>
        <w:szCs w:val="17"/>
        <w:u w:val="single" w:color="auto"/>
      </w:rPr>
      <w:t>度</w:t>
    </w:r>
    <w:r>
      <w:rPr>
        <w:rFonts w:ascii="宋体" w:hAnsi="宋体" w:eastAsia="宋体" w:cs="宋体"/>
        <w:spacing w:val="2"/>
        <w:sz w:val="17"/>
        <w:szCs w:val="17"/>
        <w:u w:val="single" w:color="auto"/>
      </w:rPr>
      <w:t xml:space="preserve">                                 </w:t>
    </w:r>
    <w:r>
      <w:rPr>
        <w:rFonts w:ascii="宋体" w:hAnsi="宋体" w:eastAsia="宋体" w:cs="宋体"/>
        <w:spacing w:val="1"/>
        <w:sz w:val="17"/>
        <w:szCs w:val="17"/>
        <w:u w:val="single" w:color="auto"/>
      </w:rPr>
      <w:t xml:space="preserve">          </w:t>
    </w:r>
    <w:r>
      <w:rPr>
        <w:rFonts w:ascii="宋体" w:hAnsi="宋体" w:eastAsia="宋体" w:cs="宋体"/>
        <w:spacing w:val="-3"/>
        <w:w w:val="41"/>
        <w:sz w:val="17"/>
        <w:szCs w:val="17"/>
      </w:rPr>
      <w:t>—</w:t>
    </w:r>
    <w:r>
      <w:rPr>
        <w:rFonts w:ascii="宋体" w:hAnsi="宋体" w:eastAsia="宋体" w:cs="宋体"/>
        <w:spacing w:val="-17"/>
        <w:w w:val="99"/>
        <w:sz w:val="17"/>
        <w:szCs w:val="17"/>
      </w:rPr>
      <w:t>21</w:t>
    </w:r>
    <w:r>
      <w:rPr>
        <w:rFonts w:ascii="宋体" w:hAnsi="宋体" w:eastAsia="宋体" w:cs="宋体"/>
        <w:spacing w:val="-3"/>
        <w:w w:val="41"/>
        <w:sz w:val="17"/>
        <w:szCs w:val="17"/>
      </w:rPr>
      <w:t>—</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2465E">
    <w:pPr>
      <w:spacing w:line="155" w:lineRule="auto"/>
      <w:ind w:left="27"/>
      <w:rPr>
        <w:rFonts w:ascii="宋体" w:hAnsi="宋体" w:eastAsia="宋体" w:cs="宋体"/>
        <w:sz w:val="17"/>
        <w:szCs w:val="17"/>
      </w:rPr>
    </w:pPr>
    <w:r>
      <w:rPr>
        <w:rFonts w:ascii="宋体" w:hAnsi="宋体" w:eastAsia="宋体" w:cs="宋体"/>
        <w:spacing w:val="-13"/>
        <w:w w:val="93"/>
        <w:position w:val="-1"/>
        <w:sz w:val="19"/>
        <w:szCs w:val="19"/>
      </w:rPr>
      <w:t>—22—</w:t>
    </w:r>
    <w:r>
      <w:rPr>
        <w:rFonts w:ascii="宋体" w:hAnsi="宋体" w:eastAsia="宋体" w:cs="宋体"/>
        <w:spacing w:val="-77"/>
        <w:position w:val="-1"/>
        <w:sz w:val="19"/>
        <w:szCs w:val="19"/>
      </w:rPr>
      <w:t xml:space="preserve"> </w:t>
    </w:r>
    <w:r>
      <w:rPr>
        <w:rFonts w:ascii="宋体" w:hAnsi="宋体" w:eastAsia="宋体" w:cs="宋体"/>
        <w:spacing w:val="1"/>
        <w:sz w:val="17"/>
        <w:szCs w:val="17"/>
        <w:u w:val="single" w:color="auto"/>
      </w:rPr>
      <w:t xml:space="preserve">                                        </w:t>
    </w:r>
    <w:r>
      <w:rPr>
        <w:rFonts w:ascii="宋体" w:hAnsi="宋体" w:eastAsia="宋体" w:cs="宋体"/>
        <w:spacing w:val="-13"/>
        <w:w w:val="93"/>
        <w:sz w:val="17"/>
        <w:szCs w:val="17"/>
        <w:u w:val="single" w:color="auto"/>
      </w:rPr>
      <w:t>福</w:t>
    </w:r>
    <w:r>
      <w:rPr>
        <w:rFonts w:ascii="宋体" w:hAnsi="宋体" w:eastAsia="宋体" w:cs="宋体"/>
        <w:spacing w:val="35"/>
        <w:sz w:val="17"/>
        <w:szCs w:val="17"/>
        <w:u w:val="single" w:color="auto"/>
      </w:rPr>
      <w:t xml:space="preserve"> </w:t>
    </w:r>
    <w:r>
      <w:rPr>
        <w:rFonts w:ascii="宋体" w:hAnsi="宋体" w:eastAsia="宋体" w:cs="宋体"/>
        <w:spacing w:val="-13"/>
        <w:w w:val="93"/>
        <w:sz w:val="17"/>
        <w:szCs w:val="17"/>
        <w:u w:val="single" w:color="auto"/>
      </w:rPr>
      <w:t>建</w:t>
    </w:r>
    <w:r>
      <w:rPr>
        <w:rFonts w:ascii="宋体" w:hAnsi="宋体" w:eastAsia="宋体" w:cs="宋体"/>
        <w:spacing w:val="21"/>
        <w:sz w:val="17"/>
        <w:szCs w:val="17"/>
        <w:u w:val="single" w:color="auto"/>
      </w:rPr>
      <w:t xml:space="preserve"> </w:t>
    </w:r>
    <w:r>
      <w:rPr>
        <w:rFonts w:ascii="宋体" w:hAnsi="宋体" w:eastAsia="宋体" w:cs="宋体"/>
        <w:spacing w:val="-13"/>
        <w:w w:val="93"/>
        <w:sz w:val="17"/>
        <w:szCs w:val="17"/>
        <w:u w:val="single" w:color="auto"/>
      </w:rPr>
      <w:t>省</w:t>
    </w:r>
    <w:r>
      <w:rPr>
        <w:rFonts w:ascii="宋体" w:hAnsi="宋体" w:eastAsia="宋体" w:cs="宋体"/>
        <w:spacing w:val="25"/>
        <w:sz w:val="17"/>
        <w:szCs w:val="17"/>
        <w:u w:val="single" w:color="auto"/>
      </w:rPr>
      <w:t xml:space="preserve"> </w:t>
    </w:r>
    <w:r>
      <w:rPr>
        <w:rFonts w:ascii="宋体" w:hAnsi="宋体" w:eastAsia="宋体" w:cs="宋体"/>
        <w:spacing w:val="-13"/>
        <w:w w:val="93"/>
        <w:sz w:val="17"/>
        <w:szCs w:val="17"/>
        <w:u w:val="single" w:color="auto"/>
      </w:rPr>
      <w:t>能</w:t>
    </w:r>
    <w:r>
      <w:rPr>
        <w:rFonts w:ascii="宋体" w:hAnsi="宋体" w:eastAsia="宋体" w:cs="宋体"/>
        <w:spacing w:val="17"/>
        <w:sz w:val="17"/>
        <w:szCs w:val="17"/>
        <w:u w:val="single" w:color="auto"/>
      </w:rPr>
      <w:t xml:space="preserve"> </w:t>
    </w:r>
    <w:r>
      <w:rPr>
        <w:rFonts w:ascii="宋体" w:hAnsi="宋体" w:eastAsia="宋体" w:cs="宋体"/>
        <w:spacing w:val="-13"/>
        <w:w w:val="93"/>
        <w:sz w:val="17"/>
        <w:szCs w:val="17"/>
        <w:u w:val="single" w:color="auto"/>
      </w:rPr>
      <w:t>源</w:t>
    </w:r>
    <w:r>
      <w:rPr>
        <w:rFonts w:ascii="宋体" w:hAnsi="宋体" w:eastAsia="宋体" w:cs="宋体"/>
        <w:spacing w:val="19"/>
        <w:sz w:val="17"/>
        <w:szCs w:val="17"/>
        <w:u w:val="single" w:color="auto"/>
      </w:rPr>
      <w:t xml:space="preserve"> </w:t>
    </w:r>
    <w:r>
      <w:rPr>
        <w:rFonts w:ascii="宋体" w:hAnsi="宋体" w:eastAsia="宋体" w:cs="宋体"/>
        <w:spacing w:val="-13"/>
        <w:w w:val="93"/>
        <w:sz w:val="17"/>
        <w:szCs w:val="17"/>
        <w:u w:val="single" w:color="auto"/>
      </w:rPr>
      <w:t>制</w:t>
    </w:r>
    <w:r>
      <w:rPr>
        <w:rFonts w:ascii="宋体" w:hAnsi="宋体" w:eastAsia="宋体" w:cs="宋体"/>
        <w:spacing w:val="18"/>
        <w:sz w:val="17"/>
        <w:szCs w:val="17"/>
        <w:u w:val="single" w:color="auto"/>
      </w:rPr>
      <w:t xml:space="preserve"> </w:t>
    </w:r>
    <w:r>
      <w:rPr>
        <w:rFonts w:ascii="宋体" w:hAnsi="宋体" w:eastAsia="宋体" w:cs="宋体"/>
        <w:spacing w:val="-13"/>
        <w:w w:val="93"/>
        <w:sz w:val="17"/>
        <w:szCs w:val="17"/>
        <w:u w:val="single" w:color="auto"/>
      </w:rPr>
      <w:t>度</w:t>
    </w:r>
    <w:r>
      <w:rPr>
        <w:rFonts w:ascii="宋体" w:hAnsi="宋体" w:eastAsia="宋体" w:cs="宋体"/>
        <w:sz w:val="17"/>
        <w:szCs w:val="17"/>
        <w:u w:val="single" w:color="auto"/>
      </w:rPr>
      <w:t xml:space="preserve">                                             </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9192B">
    <w:pPr>
      <w:spacing w:line="174" w:lineRule="auto"/>
      <w:ind w:left="3647"/>
      <w:rPr>
        <w:rFonts w:ascii="宋体" w:hAnsi="宋体" w:eastAsia="宋体" w:cs="宋体"/>
        <w:sz w:val="19"/>
        <w:szCs w:val="19"/>
      </w:rPr>
    </w:pPr>
    <w:r>
      <w:drawing>
        <wp:anchor distT="0" distB="0" distL="0" distR="0" simplePos="0" relativeHeight="251687936" behindDoc="0" locked="0" layoutInCell="1" allowOverlap="1">
          <wp:simplePos x="0" y="0"/>
          <wp:positionH relativeFrom="column">
            <wp:posOffset>10795</wp:posOffset>
          </wp:positionH>
          <wp:positionV relativeFrom="paragraph">
            <wp:posOffset>102870</wp:posOffset>
          </wp:positionV>
          <wp:extent cx="5972175" cy="17780"/>
          <wp:effectExtent l="0" t="0" r="0" b="0"/>
          <wp:wrapNone/>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1"/>
                  <a:stretch>
                    <a:fillRect/>
                  </a:stretch>
                </pic:blipFill>
                <pic:spPr>
                  <a:xfrm>
                    <a:off x="0" y="0"/>
                    <a:ext cx="5972312" cy="18078"/>
                  </a:xfrm>
                  <a:prstGeom prst="rect">
                    <a:avLst/>
                  </a:prstGeom>
                </pic:spPr>
              </pic:pic>
            </a:graphicData>
          </a:graphic>
        </wp:anchor>
      </w:drawing>
    </w:r>
    <w:r>
      <w:rPr>
        <w:rFonts w:ascii="宋体" w:hAnsi="宋体" w:eastAsia="宋体" w:cs="宋体"/>
        <w:spacing w:val="-5"/>
        <w:sz w:val="17"/>
        <w:szCs w:val="17"/>
      </w:rPr>
      <w:t>福 建</w:t>
    </w:r>
    <w:r>
      <w:rPr>
        <w:rFonts w:ascii="宋体" w:hAnsi="宋体" w:eastAsia="宋体" w:cs="宋体"/>
        <w:spacing w:val="19"/>
        <w:sz w:val="17"/>
        <w:szCs w:val="17"/>
      </w:rPr>
      <w:t xml:space="preserve"> </w:t>
    </w:r>
    <w:r>
      <w:rPr>
        <w:rFonts w:ascii="宋体" w:hAnsi="宋体" w:eastAsia="宋体" w:cs="宋体"/>
        <w:spacing w:val="-5"/>
        <w:sz w:val="17"/>
        <w:szCs w:val="17"/>
      </w:rPr>
      <w:t>省</w:t>
    </w:r>
    <w:r>
      <w:rPr>
        <w:rFonts w:ascii="宋体" w:hAnsi="宋体" w:eastAsia="宋体" w:cs="宋体"/>
        <w:spacing w:val="16"/>
        <w:sz w:val="17"/>
        <w:szCs w:val="17"/>
      </w:rPr>
      <w:t xml:space="preserve"> </w:t>
    </w:r>
    <w:r>
      <w:rPr>
        <w:rFonts w:ascii="宋体" w:hAnsi="宋体" w:eastAsia="宋体" w:cs="宋体"/>
        <w:spacing w:val="-5"/>
        <w:sz w:val="17"/>
        <w:szCs w:val="17"/>
      </w:rPr>
      <w:t>能</w:t>
    </w:r>
    <w:r>
      <w:rPr>
        <w:rFonts w:ascii="宋体" w:hAnsi="宋体" w:eastAsia="宋体" w:cs="宋体"/>
        <w:spacing w:val="9"/>
        <w:sz w:val="17"/>
        <w:szCs w:val="17"/>
      </w:rPr>
      <w:t xml:space="preserve"> </w:t>
    </w:r>
    <w:r>
      <w:rPr>
        <w:rFonts w:ascii="宋体" w:hAnsi="宋体" w:eastAsia="宋体" w:cs="宋体"/>
        <w:spacing w:val="-5"/>
        <w:sz w:val="17"/>
        <w:szCs w:val="17"/>
      </w:rPr>
      <w:t>源</w:t>
    </w:r>
    <w:r>
      <w:rPr>
        <w:rFonts w:ascii="宋体" w:hAnsi="宋体" w:eastAsia="宋体" w:cs="宋体"/>
        <w:spacing w:val="10"/>
        <w:sz w:val="17"/>
        <w:szCs w:val="17"/>
      </w:rPr>
      <w:t xml:space="preserve"> </w:t>
    </w:r>
    <w:r>
      <w:rPr>
        <w:rFonts w:ascii="宋体" w:hAnsi="宋体" w:eastAsia="宋体" w:cs="宋体"/>
        <w:spacing w:val="-5"/>
        <w:sz w:val="17"/>
        <w:szCs w:val="17"/>
      </w:rPr>
      <w:t>制</w:t>
    </w:r>
    <w:r>
      <w:rPr>
        <w:rFonts w:ascii="宋体" w:hAnsi="宋体" w:eastAsia="宋体" w:cs="宋体"/>
        <w:spacing w:val="8"/>
        <w:sz w:val="17"/>
        <w:szCs w:val="17"/>
      </w:rPr>
      <w:t xml:space="preserve"> </w:t>
    </w:r>
    <w:r>
      <w:rPr>
        <w:rFonts w:ascii="宋体" w:hAnsi="宋体" w:eastAsia="宋体" w:cs="宋体"/>
        <w:spacing w:val="-5"/>
        <w:sz w:val="17"/>
        <w:szCs w:val="17"/>
      </w:rPr>
      <w:t>度</w:t>
    </w:r>
    <w:r>
      <w:rPr>
        <w:rFonts w:ascii="宋体" w:hAnsi="宋体" w:eastAsia="宋体" w:cs="宋体"/>
        <w:sz w:val="17"/>
        <w:szCs w:val="17"/>
      </w:rPr>
      <w:t xml:space="preserve">                                         </w:t>
    </w:r>
    <w:r>
      <w:rPr>
        <w:rFonts w:ascii="宋体" w:hAnsi="宋体" w:eastAsia="宋体" w:cs="宋体"/>
        <w:spacing w:val="-5"/>
        <w:position w:val="-1"/>
        <w:sz w:val="19"/>
        <w:szCs w:val="19"/>
      </w:rPr>
      <w:t>—23—</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D04506">
    <w:pPr>
      <w:spacing w:line="155" w:lineRule="auto"/>
      <w:ind w:left="17"/>
      <w:rPr>
        <w:rFonts w:ascii="宋体" w:hAnsi="宋体" w:eastAsia="宋体" w:cs="宋体"/>
        <w:sz w:val="17"/>
        <w:szCs w:val="17"/>
      </w:rPr>
    </w:pPr>
    <w:r>
      <w:rPr>
        <w:rFonts w:ascii="宋体" w:hAnsi="宋体" w:eastAsia="宋体" w:cs="宋体"/>
        <w:spacing w:val="-13"/>
        <w:w w:val="93"/>
        <w:position w:val="-1"/>
        <w:sz w:val="19"/>
        <w:szCs w:val="19"/>
      </w:rPr>
      <w:t>—24—</w:t>
    </w:r>
    <w:r>
      <w:rPr>
        <w:rFonts w:ascii="宋体" w:hAnsi="宋体" w:eastAsia="宋体" w:cs="宋体"/>
        <w:spacing w:val="-77"/>
        <w:position w:val="-1"/>
        <w:sz w:val="19"/>
        <w:szCs w:val="19"/>
      </w:rPr>
      <w:t xml:space="preserve"> </w:t>
    </w:r>
    <w:r>
      <w:rPr>
        <w:rFonts w:ascii="宋体" w:hAnsi="宋体" w:eastAsia="宋体" w:cs="宋体"/>
        <w:spacing w:val="1"/>
        <w:sz w:val="17"/>
        <w:szCs w:val="17"/>
        <w:u w:val="single" w:color="auto"/>
      </w:rPr>
      <w:t xml:space="preserve">                                        </w:t>
    </w:r>
    <w:r>
      <w:rPr>
        <w:rFonts w:ascii="宋体" w:hAnsi="宋体" w:eastAsia="宋体" w:cs="宋体"/>
        <w:spacing w:val="-13"/>
        <w:w w:val="93"/>
        <w:sz w:val="17"/>
        <w:szCs w:val="17"/>
        <w:u w:val="single" w:color="auto"/>
      </w:rPr>
      <w:t>福</w:t>
    </w:r>
    <w:r>
      <w:rPr>
        <w:rFonts w:ascii="宋体" w:hAnsi="宋体" w:eastAsia="宋体" w:cs="宋体"/>
        <w:spacing w:val="35"/>
        <w:sz w:val="17"/>
        <w:szCs w:val="17"/>
        <w:u w:val="single" w:color="auto"/>
      </w:rPr>
      <w:t xml:space="preserve"> </w:t>
    </w:r>
    <w:r>
      <w:rPr>
        <w:rFonts w:ascii="宋体" w:hAnsi="宋体" w:eastAsia="宋体" w:cs="宋体"/>
        <w:spacing w:val="-13"/>
        <w:w w:val="93"/>
        <w:sz w:val="17"/>
        <w:szCs w:val="17"/>
        <w:u w:val="single" w:color="auto"/>
      </w:rPr>
      <w:t>建</w:t>
    </w:r>
    <w:r>
      <w:rPr>
        <w:rFonts w:ascii="宋体" w:hAnsi="宋体" w:eastAsia="宋体" w:cs="宋体"/>
        <w:spacing w:val="21"/>
        <w:sz w:val="17"/>
        <w:szCs w:val="17"/>
        <w:u w:val="single" w:color="auto"/>
      </w:rPr>
      <w:t xml:space="preserve"> </w:t>
    </w:r>
    <w:r>
      <w:rPr>
        <w:rFonts w:ascii="宋体" w:hAnsi="宋体" w:eastAsia="宋体" w:cs="宋体"/>
        <w:spacing w:val="-13"/>
        <w:w w:val="93"/>
        <w:sz w:val="17"/>
        <w:szCs w:val="17"/>
        <w:u w:val="single" w:color="auto"/>
      </w:rPr>
      <w:t>省</w:t>
    </w:r>
    <w:r>
      <w:rPr>
        <w:rFonts w:ascii="宋体" w:hAnsi="宋体" w:eastAsia="宋体" w:cs="宋体"/>
        <w:spacing w:val="25"/>
        <w:sz w:val="17"/>
        <w:szCs w:val="17"/>
        <w:u w:val="single" w:color="auto"/>
      </w:rPr>
      <w:t xml:space="preserve"> </w:t>
    </w:r>
    <w:r>
      <w:rPr>
        <w:rFonts w:ascii="宋体" w:hAnsi="宋体" w:eastAsia="宋体" w:cs="宋体"/>
        <w:spacing w:val="-13"/>
        <w:w w:val="93"/>
        <w:sz w:val="17"/>
        <w:szCs w:val="17"/>
        <w:u w:val="single" w:color="auto"/>
      </w:rPr>
      <w:t>能</w:t>
    </w:r>
    <w:r>
      <w:rPr>
        <w:rFonts w:ascii="宋体" w:hAnsi="宋体" w:eastAsia="宋体" w:cs="宋体"/>
        <w:spacing w:val="17"/>
        <w:sz w:val="17"/>
        <w:szCs w:val="17"/>
        <w:u w:val="single" w:color="auto"/>
      </w:rPr>
      <w:t xml:space="preserve"> </w:t>
    </w:r>
    <w:r>
      <w:rPr>
        <w:rFonts w:ascii="宋体" w:hAnsi="宋体" w:eastAsia="宋体" w:cs="宋体"/>
        <w:spacing w:val="-13"/>
        <w:w w:val="93"/>
        <w:sz w:val="17"/>
        <w:szCs w:val="17"/>
        <w:u w:val="single" w:color="auto"/>
      </w:rPr>
      <w:t>源</w:t>
    </w:r>
    <w:r>
      <w:rPr>
        <w:rFonts w:ascii="宋体" w:hAnsi="宋体" w:eastAsia="宋体" w:cs="宋体"/>
        <w:spacing w:val="19"/>
        <w:sz w:val="17"/>
        <w:szCs w:val="17"/>
        <w:u w:val="single" w:color="auto"/>
      </w:rPr>
      <w:t xml:space="preserve"> </w:t>
    </w:r>
    <w:r>
      <w:rPr>
        <w:rFonts w:ascii="宋体" w:hAnsi="宋体" w:eastAsia="宋体" w:cs="宋体"/>
        <w:spacing w:val="-13"/>
        <w:w w:val="93"/>
        <w:sz w:val="17"/>
        <w:szCs w:val="17"/>
        <w:u w:val="single" w:color="auto"/>
      </w:rPr>
      <w:t>制</w:t>
    </w:r>
    <w:r>
      <w:rPr>
        <w:rFonts w:ascii="宋体" w:hAnsi="宋体" w:eastAsia="宋体" w:cs="宋体"/>
        <w:spacing w:val="18"/>
        <w:sz w:val="17"/>
        <w:szCs w:val="17"/>
        <w:u w:val="single" w:color="auto"/>
      </w:rPr>
      <w:t xml:space="preserve"> </w:t>
    </w:r>
    <w:r>
      <w:rPr>
        <w:rFonts w:ascii="宋体" w:hAnsi="宋体" w:eastAsia="宋体" w:cs="宋体"/>
        <w:spacing w:val="-13"/>
        <w:w w:val="93"/>
        <w:sz w:val="17"/>
        <w:szCs w:val="17"/>
        <w:u w:val="single" w:color="auto"/>
      </w:rPr>
      <w:t>度</w:t>
    </w:r>
    <w:r>
      <w:rPr>
        <w:rFonts w:ascii="宋体" w:hAnsi="宋体" w:eastAsia="宋体" w:cs="宋体"/>
        <w:sz w:val="17"/>
        <w:szCs w:val="17"/>
        <w:u w:val="single" w:color="auto"/>
      </w:rPr>
      <w:t xml:space="preserve">                                             </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CB8A6">
    <w:pPr>
      <w:spacing w:line="172" w:lineRule="auto"/>
      <w:ind w:left="3637"/>
      <w:rPr>
        <w:rFonts w:ascii="宋体" w:hAnsi="宋体" w:eastAsia="宋体" w:cs="宋体"/>
        <w:sz w:val="18"/>
        <w:szCs w:val="18"/>
      </w:rPr>
    </w:pPr>
    <w:r>
      <w:drawing>
        <wp:anchor distT="0" distB="0" distL="0" distR="0" simplePos="0" relativeHeight="251688960" behindDoc="0" locked="0" layoutInCell="1" allowOverlap="1">
          <wp:simplePos x="0" y="0"/>
          <wp:positionH relativeFrom="column">
            <wp:posOffset>4445</wp:posOffset>
          </wp:positionH>
          <wp:positionV relativeFrom="paragraph">
            <wp:posOffset>102235</wp:posOffset>
          </wp:positionV>
          <wp:extent cx="5959475" cy="10795"/>
          <wp:effectExtent l="0" t="0" r="0" b="0"/>
          <wp:wrapNone/>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r:embed="rId1"/>
                  <a:stretch>
                    <a:fillRect/>
                  </a:stretch>
                </pic:blipFill>
                <pic:spPr>
                  <a:xfrm>
                    <a:off x="0" y="0"/>
                    <a:ext cx="5959435" cy="10773"/>
                  </a:xfrm>
                  <a:prstGeom prst="rect">
                    <a:avLst/>
                  </a:prstGeom>
                </pic:spPr>
              </pic:pic>
            </a:graphicData>
          </a:graphic>
        </wp:anchor>
      </w:drawing>
    </w:r>
    <w:r>
      <w:rPr>
        <w:rFonts w:ascii="宋体" w:hAnsi="宋体" w:eastAsia="宋体" w:cs="宋体"/>
        <w:spacing w:val="-3"/>
        <w:sz w:val="17"/>
        <w:szCs w:val="17"/>
      </w:rPr>
      <w:t>福 建</w:t>
    </w:r>
    <w:r>
      <w:rPr>
        <w:rFonts w:ascii="宋体" w:hAnsi="宋体" w:eastAsia="宋体" w:cs="宋体"/>
        <w:spacing w:val="12"/>
        <w:sz w:val="17"/>
        <w:szCs w:val="17"/>
      </w:rPr>
      <w:t xml:space="preserve"> </w:t>
    </w:r>
    <w:r>
      <w:rPr>
        <w:rFonts w:ascii="宋体" w:hAnsi="宋体" w:eastAsia="宋体" w:cs="宋体"/>
        <w:spacing w:val="-3"/>
        <w:sz w:val="17"/>
        <w:szCs w:val="17"/>
      </w:rPr>
      <w:t>省</w:t>
    </w:r>
    <w:r>
      <w:rPr>
        <w:rFonts w:ascii="宋体" w:hAnsi="宋体" w:eastAsia="宋体" w:cs="宋体"/>
        <w:spacing w:val="16"/>
        <w:sz w:val="17"/>
        <w:szCs w:val="17"/>
      </w:rPr>
      <w:t xml:space="preserve"> </w:t>
    </w:r>
    <w:r>
      <w:rPr>
        <w:rFonts w:ascii="宋体" w:hAnsi="宋体" w:eastAsia="宋体" w:cs="宋体"/>
        <w:spacing w:val="-3"/>
        <w:sz w:val="17"/>
        <w:szCs w:val="17"/>
      </w:rPr>
      <w:t>能</w:t>
    </w:r>
    <w:r>
      <w:rPr>
        <w:rFonts w:ascii="宋体" w:hAnsi="宋体" w:eastAsia="宋体" w:cs="宋体"/>
        <w:spacing w:val="8"/>
        <w:sz w:val="17"/>
        <w:szCs w:val="17"/>
      </w:rPr>
      <w:t xml:space="preserve"> </w:t>
    </w:r>
    <w:r>
      <w:rPr>
        <w:rFonts w:ascii="宋体" w:hAnsi="宋体" w:eastAsia="宋体" w:cs="宋体"/>
        <w:spacing w:val="-3"/>
        <w:sz w:val="17"/>
        <w:szCs w:val="17"/>
      </w:rPr>
      <w:t>源</w:t>
    </w:r>
    <w:r>
      <w:rPr>
        <w:rFonts w:ascii="宋体" w:hAnsi="宋体" w:eastAsia="宋体" w:cs="宋体"/>
        <w:spacing w:val="10"/>
        <w:sz w:val="17"/>
        <w:szCs w:val="17"/>
      </w:rPr>
      <w:t xml:space="preserve"> </w:t>
    </w:r>
    <w:r>
      <w:rPr>
        <w:rFonts w:ascii="宋体" w:hAnsi="宋体" w:eastAsia="宋体" w:cs="宋体"/>
        <w:spacing w:val="-3"/>
        <w:sz w:val="17"/>
        <w:szCs w:val="17"/>
      </w:rPr>
      <w:t>制</w:t>
    </w:r>
    <w:r>
      <w:rPr>
        <w:rFonts w:ascii="宋体" w:hAnsi="宋体" w:eastAsia="宋体" w:cs="宋体"/>
        <w:spacing w:val="9"/>
        <w:sz w:val="17"/>
        <w:szCs w:val="17"/>
      </w:rPr>
      <w:t xml:space="preserve"> </w:t>
    </w:r>
    <w:r>
      <w:rPr>
        <w:rFonts w:ascii="宋体" w:hAnsi="宋体" w:eastAsia="宋体" w:cs="宋体"/>
        <w:spacing w:val="-3"/>
        <w:sz w:val="17"/>
        <w:szCs w:val="17"/>
      </w:rPr>
      <w:t xml:space="preserve">度               </w:t>
    </w:r>
    <w:r>
      <w:rPr>
        <w:rFonts w:ascii="宋体" w:hAnsi="宋体" w:eastAsia="宋体" w:cs="宋体"/>
        <w:spacing w:val="-4"/>
        <w:sz w:val="17"/>
        <w:szCs w:val="17"/>
      </w:rPr>
      <w:t xml:space="preserve">                            </w:t>
    </w:r>
    <w:r>
      <w:rPr>
        <w:rFonts w:ascii="宋体" w:hAnsi="宋体" w:eastAsia="宋体" w:cs="宋体"/>
        <w:spacing w:val="-4"/>
        <w:sz w:val="18"/>
        <w:szCs w:val="18"/>
      </w:rPr>
      <w:t>—25—</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30FABA">
    <w:pPr>
      <w:spacing w:line="175" w:lineRule="auto"/>
      <w:ind w:left="3"/>
      <w:rPr>
        <w:rFonts w:ascii="宋体" w:hAnsi="宋体" w:eastAsia="宋体" w:cs="宋体"/>
        <w:sz w:val="21"/>
        <w:szCs w:val="21"/>
      </w:rPr>
    </w:pPr>
    <w:r>
      <w:rPr>
        <w:rFonts w:ascii="宋体" w:hAnsi="宋体" w:eastAsia="宋体" w:cs="宋体"/>
        <w:spacing w:val="-18"/>
        <w:w w:val="93"/>
        <w:sz w:val="21"/>
        <w:szCs w:val="21"/>
      </w:rPr>
      <w:t>—26—</w:t>
    </w:r>
    <w:r>
      <w:rPr>
        <w:rFonts w:ascii="宋体" w:hAnsi="宋体" w:eastAsia="宋体" w:cs="宋体"/>
        <w:spacing w:val="-81"/>
        <w:sz w:val="21"/>
        <w:szCs w:val="21"/>
      </w:rPr>
      <w:t xml:space="preserve"> </w:t>
    </w:r>
    <w:r>
      <w:rPr>
        <w:rFonts w:ascii="宋体" w:hAnsi="宋体" w:eastAsia="宋体" w:cs="宋体"/>
        <w:spacing w:val="1"/>
        <w:sz w:val="21"/>
        <w:szCs w:val="21"/>
        <w:u w:val="single" w:color="auto"/>
      </w:rPr>
      <w:t xml:space="preserve">                                </w:t>
    </w:r>
    <w:r>
      <w:rPr>
        <w:rFonts w:ascii="宋体" w:hAnsi="宋体" w:eastAsia="宋体" w:cs="宋体"/>
        <w:spacing w:val="-18"/>
        <w:w w:val="93"/>
        <w:sz w:val="21"/>
        <w:szCs w:val="21"/>
        <w:u w:val="single" w:color="auto"/>
      </w:rPr>
      <w:t>福</w:t>
    </w:r>
    <w:r>
      <w:rPr>
        <w:rFonts w:ascii="宋体" w:hAnsi="宋体" w:eastAsia="宋体" w:cs="宋体"/>
        <w:spacing w:val="-19"/>
        <w:sz w:val="21"/>
        <w:szCs w:val="21"/>
        <w:u w:val="single" w:color="auto"/>
      </w:rPr>
      <w:t xml:space="preserve"> </w:t>
    </w:r>
    <w:r>
      <w:rPr>
        <w:rFonts w:ascii="宋体" w:hAnsi="宋体" w:eastAsia="宋体" w:cs="宋体"/>
        <w:spacing w:val="-18"/>
        <w:w w:val="93"/>
        <w:sz w:val="21"/>
        <w:szCs w:val="21"/>
        <w:u w:val="single" w:color="auto"/>
      </w:rPr>
      <w:t>建</w:t>
    </w:r>
    <w:r>
      <w:rPr>
        <w:rFonts w:ascii="宋体" w:hAnsi="宋体" w:eastAsia="宋体" w:cs="宋体"/>
        <w:spacing w:val="-20"/>
        <w:sz w:val="21"/>
        <w:szCs w:val="21"/>
        <w:u w:val="single" w:color="auto"/>
      </w:rPr>
      <w:t xml:space="preserve"> </w:t>
    </w:r>
    <w:r>
      <w:rPr>
        <w:rFonts w:ascii="宋体" w:hAnsi="宋体" w:eastAsia="宋体" w:cs="宋体"/>
        <w:spacing w:val="-18"/>
        <w:w w:val="93"/>
        <w:sz w:val="21"/>
        <w:szCs w:val="21"/>
        <w:u w:val="single" w:color="auto"/>
      </w:rPr>
      <w:t>省 能</w:t>
    </w:r>
    <w:r>
      <w:rPr>
        <w:rFonts w:ascii="宋体" w:hAnsi="宋体" w:eastAsia="宋体" w:cs="宋体"/>
        <w:spacing w:val="-25"/>
        <w:sz w:val="21"/>
        <w:szCs w:val="21"/>
        <w:u w:val="single" w:color="auto"/>
      </w:rPr>
      <w:t xml:space="preserve"> </w:t>
    </w:r>
    <w:r>
      <w:rPr>
        <w:rFonts w:ascii="宋体" w:hAnsi="宋体" w:eastAsia="宋体" w:cs="宋体"/>
        <w:spacing w:val="-18"/>
        <w:w w:val="93"/>
        <w:sz w:val="21"/>
        <w:szCs w:val="21"/>
        <w:u w:val="single" w:color="auto"/>
      </w:rPr>
      <w:t>源</w:t>
    </w:r>
    <w:r>
      <w:rPr>
        <w:rFonts w:ascii="宋体" w:hAnsi="宋体" w:eastAsia="宋体" w:cs="宋体"/>
        <w:spacing w:val="-22"/>
        <w:sz w:val="21"/>
        <w:szCs w:val="21"/>
        <w:u w:val="single" w:color="auto"/>
      </w:rPr>
      <w:t xml:space="preserve"> </w:t>
    </w:r>
    <w:r>
      <w:rPr>
        <w:rFonts w:ascii="宋体" w:hAnsi="宋体" w:eastAsia="宋体" w:cs="宋体"/>
        <w:spacing w:val="-18"/>
        <w:w w:val="93"/>
        <w:sz w:val="21"/>
        <w:szCs w:val="21"/>
        <w:u w:val="single" w:color="auto"/>
      </w:rPr>
      <w:t>制</w:t>
    </w:r>
    <w:r>
      <w:rPr>
        <w:rFonts w:ascii="宋体" w:hAnsi="宋体" w:eastAsia="宋体" w:cs="宋体"/>
        <w:spacing w:val="-25"/>
        <w:sz w:val="21"/>
        <w:szCs w:val="21"/>
        <w:u w:val="single" w:color="auto"/>
      </w:rPr>
      <w:t xml:space="preserve"> </w:t>
    </w:r>
    <w:r>
      <w:rPr>
        <w:rFonts w:ascii="宋体" w:hAnsi="宋体" w:eastAsia="宋体" w:cs="宋体"/>
        <w:spacing w:val="-18"/>
        <w:w w:val="93"/>
        <w:sz w:val="21"/>
        <w:szCs w:val="21"/>
        <w:u w:val="single" w:color="auto"/>
      </w:rPr>
      <w:t>度</w:t>
    </w:r>
    <w:r>
      <w:rPr>
        <w:rFonts w:ascii="宋体" w:hAnsi="宋体" w:eastAsia="宋体" w:cs="宋体"/>
        <w:sz w:val="21"/>
        <w:szCs w:val="21"/>
        <w:u w:val="single" w:color="auto"/>
      </w:rPr>
      <w:t xml:space="preserve">                                    </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EC5C2">
    <w:pPr>
      <w:spacing w:line="179" w:lineRule="auto"/>
      <w:ind w:left="3509"/>
      <w:rPr>
        <w:rFonts w:ascii="宋体" w:hAnsi="宋体" w:eastAsia="宋体" w:cs="宋体"/>
        <w:sz w:val="21"/>
        <w:szCs w:val="21"/>
      </w:rPr>
    </w:pPr>
    <w:r>
      <w:drawing>
        <wp:anchor distT="0" distB="0" distL="0" distR="0" simplePos="0" relativeHeight="251692032" behindDoc="0" locked="0" layoutInCell="1" allowOverlap="1">
          <wp:simplePos x="0" y="0"/>
          <wp:positionH relativeFrom="column">
            <wp:posOffset>0</wp:posOffset>
          </wp:positionH>
          <wp:positionV relativeFrom="paragraph">
            <wp:posOffset>126365</wp:posOffset>
          </wp:positionV>
          <wp:extent cx="5904865" cy="9525"/>
          <wp:effectExtent l="0" t="0" r="0" b="0"/>
          <wp:wrapNone/>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1"/>
                  <a:stretch>
                    <a:fillRect/>
                  </a:stretch>
                </pic:blipFill>
                <pic:spPr>
                  <a:xfrm>
                    <a:off x="0" y="0"/>
                    <a:ext cx="5905167" cy="9274"/>
                  </a:xfrm>
                  <a:prstGeom prst="rect">
                    <a:avLst/>
                  </a:prstGeom>
                </pic:spPr>
              </pic:pic>
            </a:graphicData>
          </a:graphic>
        </wp:anchor>
      </w:drawing>
    </w:r>
    <w:r>
      <w:pict>
        <v:shape id="_x0000_s2058" o:spid="_x0000_s2058" o:spt="202" type="#_x0000_t202" style="position:absolute;left:0pt;margin-left:452.2pt;margin-top:2.95pt;height:9.95pt;width:13.8pt;z-index:251691008;mso-width-relative:page;mso-height-relative:page;" filled="f" stroked="f" coordsize="21600,21600">
          <v:path/>
          <v:fill on="f" focussize="0,0"/>
          <v:stroke on="f"/>
          <v:imagedata o:title=""/>
          <o:lock v:ext="edit" aspectratio="f"/>
          <v:textbox inset="0mm,0mm,0mm,0mm">
            <w:txbxContent>
              <w:p w14:paraId="48B6CAF3">
                <w:pPr>
                  <w:spacing w:before="20" w:line="183" w:lineRule="auto"/>
                  <w:ind w:left="20"/>
                  <w:rPr>
                    <w:rFonts w:ascii="宋体" w:hAnsi="宋体" w:eastAsia="宋体" w:cs="宋体"/>
                    <w:sz w:val="16"/>
                    <w:szCs w:val="16"/>
                  </w:rPr>
                </w:pPr>
                <w:r>
                  <w:rPr>
                    <w:rFonts w:ascii="宋体" w:hAnsi="宋体" w:eastAsia="宋体" w:cs="宋体"/>
                    <w:spacing w:val="-2"/>
                    <w:sz w:val="16"/>
                    <w:szCs w:val="16"/>
                  </w:rPr>
                  <w:t>-27</w:t>
                </w:r>
              </w:p>
            </w:txbxContent>
          </v:textbox>
        </v:shape>
      </w:pict>
    </w:r>
    <w:r>
      <w:rPr>
        <w:rFonts w:ascii="宋体" w:hAnsi="宋体" w:eastAsia="宋体" w:cs="宋体"/>
        <w:spacing w:val="-9"/>
        <w:sz w:val="21"/>
        <w:szCs w:val="21"/>
      </w:rPr>
      <w:t>福</w:t>
    </w:r>
    <w:r>
      <w:rPr>
        <w:rFonts w:ascii="宋体" w:hAnsi="宋体" w:eastAsia="宋体" w:cs="宋体"/>
        <w:spacing w:val="-33"/>
        <w:sz w:val="21"/>
        <w:szCs w:val="21"/>
      </w:rPr>
      <w:t xml:space="preserve"> </w:t>
    </w:r>
    <w:r>
      <w:rPr>
        <w:rFonts w:ascii="宋体" w:hAnsi="宋体" w:eastAsia="宋体" w:cs="宋体"/>
        <w:spacing w:val="-9"/>
        <w:sz w:val="21"/>
        <w:szCs w:val="21"/>
      </w:rPr>
      <w:t>建</w:t>
    </w:r>
    <w:r>
      <w:rPr>
        <w:rFonts w:ascii="宋体" w:hAnsi="宋体" w:eastAsia="宋体" w:cs="宋体"/>
        <w:spacing w:val="-32"/>
        <w:sz w:val="21"/>
        <w:szCs w:val="21"/>
      </w:rPr>
      <w:t xml:space="preserve"> </w:t>
    </w:r>
    <w:r>
      <w:rPr>
        <w:rFonts w:ascii="宋体" w:hAnsi="宋体" w:eastAsia="宋体" w:cs="宋体"/>
        <w:spacing w:val="-9"/>
        <w:sz w:val="21"/>
        <w:szCs w:val="21"/>
      </w:rPr>
      <w:t>省</w:t>
    </w:r>
    <w:r>
      <w:rPr>
        <w:rFonts w:ascii="宋体" w:hAnsi="宋体" w:eastAsia="宋体" w:cs="宋体"/>
        <w:spacing w:val="-27"/>
        <w:sz w:val="21"/>
        <w:szCs w:val="21"/>
      </w:rPr>
      <w:t xml:space="preserve"> </w:t>
    </w:r>
    <w:r>
      <w:rPr>
        <w:rFonts w:ascii="宋体" w:hAnsi="宋体" w:eastAsia="宋体" w:cs="宋体"/>
        <w:spacing w:val="-9"/>
        <w:sz w:val="21"/>
        <w:szCs w:val="21"/>
      </w:rPr>
      <w:t>能</w:t>
    </w:r>
    <w:r>
      <w:rPr>
        <w:rFonts w:ascii="宋体" w:hAnsi="宋体" w:eastAsia="宋体" w:cs="宋体"/>
        <w:spacing w:val="-36"/>
        <w:sz w:val="21"/>
        <w:szCs w:val="21"/>
      </w:rPr>
      <w:t xml:space="preserve"> </w:t>
    </w:r>
    <w:r>
      <w:rPr>
        <w:rFonts w:ascii="宋体" w:hAnsi="宋体" w:eastAsia="宋体" w:cs="宋体"/>
        <w:spacing w:val="-9"/>
        <w:sz w:val="21"/>
        <w:szCs w:val="21"/>
      </w:rPr>
      <w:t>源</w:t>
    </w:r>
    <w:r>
      <w:rPr>
        <w:rFonts w:ascii="宋体" w:hAnsi="宋体" w:eastAsia="宋体" w:cs="宋体"/>
        <w:spacing w:val="-34"/>
        <w:sz w:val="21"/>
        <w:szCs w:val="21"/>
      </w:rPr>
      <w:t xml:space="preserve"> </w:t>
    </w:r>
    <w:r>
      <w:rPr>
        <w:rFonts w:ascii="宋体" w:hAnsi="宋体" w:eastAsia="宋体" w:cs="宋体"/>
        <w:spacing w:val="-9"/>
        <w:sz w:val="21"/>
        <w:szCs w:val="21"/>
      </w:rPr>
      <w:t>制</w:t>
    </w:r>
    <w:r>
      <w:rPr>
        <w:rFonts w:ascii="宋体" w:hAnsi="宋体" w:eastAsia="宋体" w:cs="宋体"/>
        <w:spacing w:val="-36"/>
        <w:sz w:val="21"/>
        <w:szCs w:val="21"/>
      </w:rPr>
      <w:t xml:space="preserve"> </w:t>
    </w:r>
    <w:r>
      <w:rPr>
        <w:rFonts w:ascii="宋体" w:hAnsi="宋体" w:eastAsia="宋体" w:cs="宋体"/>
        <w:spacing w:val="-9"/>
        <w:sz w:val="21"/>
        <w:szCs w:val="21"/>
      </w:rPr>
      <w:t>度</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03D529">
    <w:pPr>
      <w:spacing w:line="179" w:lineRule="auto"/>
      <w:ind w:left="3796"/>
      <w:rPr>
        <w:rFonts w:ascii="宋体" w:hAnsi="宋体" w:eastAsia="宋体" w:cs="宋体"/>
        <w:sz w:val="21"/>
        <w:szCs w:val="21"/>
      </w:rPr>
    </w:pPr>
    <w:r>
      <w:drawing>
        <wp:anchor distT="0" distB="0" distL="0" distR="0" simplePos="0" relativeHeight="251694080" behindDoc="0" locked="0" layoutInCell="1" allowOverlap="1">
          <wp:simplePos x="0" y="0"/>
          <wp:positionH relativeFrom="column">
            <wp:posOffset>0</wp:posOffset>
          </wp:positionH>
          <wp:positionV relativeFrom="paragraph">
            <wp:posOffset>126365</wp:posOffset>
          </wp:positionV>
          <wp:extent cx="5984875" cy="9525"/>
          <wp:effectExtent l="0" t="0" r="0" b="0"/>
          <wp:wrapNone/>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r:embed="rId1"/>
                  <a:stretch>
                    <a:fillRect/>
                  </a:stretch>
                </pic:blipFill>
                <pic:spPr>
                  <a:xfrm>
                    <a:off x="0" y="0"/>
                    <a:ext cx="5984909" cy="9380"/>
                  </a:xfrm>
                  <a:prstGeom prst="rect">
                    <a:avLst/>
                  </a:prstGeom>
                </pic:spPr>
              </pic:pic>
            </a:graphicData>
          </a:graphic>
        </wp:anchor>
      </w:drawing>
    </w:r>
    <w:r>
      <w:pict>
        <v:shape id="_x0000_s2059" o:spid="_x0000_s2059" o:spt="202" type="#_x0000_t202" style="position:absolute;left:0pt;margin-left:-0.75pt;margin-top:2.95pt;height:9.95pt;width:13.8pt;z-index:251693056;mso-width-relative:page;mso-height-relative:page;" filled="f" stroked="f" coordsize="21600,21600">
          <v:path/>
          <v:fill on="f" focussize="0,0"/>
          <v:stroke on="f"/>
          <v:imagedata o:title=""/>
          <o:lock v:ext="edit" aspectratio="f"/>
          <v:textbox inset="0mm,0mm,0mm,0mm">
            <w:txbxContent>
              <w:p w14:paraId="6BB619EF">
                <w:pPr>
                  <w:spacing w:before="20" w:line="183" w:lineRule="auto"/>
                  <w:ind w:left="20"/>
                  <w:rPr>
                    <w:rFonts w:ascii="宋体" w:hAnsi="宋体" w:eastAsia="宋体" w:cs="宋体"/>
                    <w:sz w:val="16"/>
                    <w:szCs w:val="16"/>
                  </w:rPr>
                </w:pPr>
                <w:r>
                  <w:rPr>
                    <w:rFonts w:ascii="宋体" w:hAnsi="宋体" w:eastAsia="宋体" w:cs="宋体"/>
                    <w:spacing w:val="-2"/>
                    <w:sz w:val="16"/>
                    <w:szCs w:val="16"/>
                  </w:rPr>
                  <w:t>-28</w:t>
                </w:r>
              </w:p>
            </w:txbxContent>
          </v:textbox>
        </v:shape>
      </w:pict>
    </w:r>
    <w:r>
      <w:rPr>
        <w:rFonts w:ascii="宋体" w:hAnsi="宋体" w:eastAsia="宋体" w:cs="宋体"/>
        <w:spacing w:val="-10"/>
        <w:sz w:val="21"/>
        <w:szCs w:val="21"/>
      </w:rPr>
      <w:t>福</w:t>
    </w:r>
    <w:r>
      <w:rPr>
        <w:rFonts w:ascii="宋体" w:hAnsi="宋体" w:eastAsia="宋体" w:cs="宋体"/>
        <w:spacing w:val="-13"/>
        <w:sz w:val="21"/>
        <w:szCs w:val="21"/>
      </w:rPr>
      <w:t xml:space="preserve"> </w:t>
    </w:r>
    <w:r>
      <w:rPr>
        <w:rFonts w:ascii="宋体" w:hAnsi="宋体" w:eastAsia="宋体" w:cs="宋体"/>
        <w:spacing w:val="-10"/>
        <w:sz w:val="21"/>
        <w:szCs w:val="21"/>
      </w:rPr>
      <w:t>建 省</w:t>
    </w:r>
    <w:r>
      <w:rPr>
        <w:rFonts w:ascii="宋体" w:hAnsi="宋体" w:eastAsia="宋体" w:cs="宋体"/>
        <w:spacing w:val="-9"/>
        <w:sz w:val="21"/>
        <w:szCs w:val="21"/>
      </w:rPr>
      <w:t xml:space="preserve"> </w:t>
    </w:r>
    <w:r>
      <w:rPr>
        <w:rFonts w:ascii="宋体" w:hAnsi="宋体" w:eastAsia="宋体" w:cs="宋体"/>
        <w:spacing w:val="-10"/>
        <w:sz w:val="21"/>
        <w:szCs w:val="21"/>
      </w:rPr>
      <w:t>能</w:t>
    </w:r>
    <w:r>
      <w:rPr>
        <w:rFonts w:ascii="宋体" w:hAnsi="宋体" w:eastAsia="宋体" w:cs="宋体"/>
        <w:spacing w:val="-18"/>
        <w:sz w:val="21"/>
        <w:szCs w:val="21"/>
      </w:rPr>
      <w:t xml:space="preserve"> </w:t>
    </w:r>
    <w:r>
      <w:rPr>
        <w:rFonts w:ascii="宋体" w:hAnsi="宋体" w:eastAsia="宋体" w:cs="宋体"/>
        <w:spacing w:val="-10"/>
        <w:sz w:val="21"/>
        <w:szCs w:val="21"/>
      </w:rPr>
      <w:t>源</w:t>
    </w:r>
    <w:r>
      <w:rPr>
        <w:rFonts w:ascii="宋体" w:hAnsi="宋体" w:eastAsia="宋体" w:cs="宋体"/>
        <w:spacing w:val="-17"/>
        <w:sz w:val="21"/>
        <w:szCs w:val="21"/>
      </w:rPr>
      <w:t xml:space="preserve"> </w:t>
    </w:r>
    <w:r>
      <w:rPr>
        <w:rFonts w:ascii="宋体" w:hAnsi="宋体" w:eastAsia="宋体" w:cs="宋体"/>
        <w:spacing w:val="-10"/>
        <w:sz w:val="21"/>
        <w:szCs w:val="21"/>
      </w:rPr>
      <w:t>制</w:t>
    </w:r>
    <w:r>
      <w:rPr>
        <w:rFonts w:ascii="宋体" w:hAnsi="宋体" w:eastAsia="宋体" w:cs="宋体"/>
        <w:spacing w:val="-18"/>
        <w:sz w:val="21"/>
        <w:szCs w:val="21"/>
      </w:rPr>
      <w:t xml:space="preserve"> </w:t>
    </w:r>
    <w:r>
      <w:rPr>
        <w:rFonts w:ascii="宋体" w:hAnsi="宋体" w:eastAsia="宋体" w:cs="宋体"/>
        <w:spacing w:val="-10"/>
        <w:sz w:val="21"/>
        <w:szCs w:val="21"/>
      </w:rPr>
      <w:t>度</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0DB199">
    <w:pPr>
      <w:spacing w:line="219" w:lineRule="auto"/>
      <w:ind w:right="27"/>
      <w:jc w:val="right"/>
      <w:rPr>
        <w:rFonts w:ascii="宋体" w:hAnsi="宋体" w:eastAsia="宋体" w:cs="宋体"/>
        <w:sz w:val="18"/>
        <w:szCs w:val="18"/>
      </w:rPr>
    </w:pPr>
    <w:r>
      <w:drawing>
        <wp:anchor distT="0" distB="0" distL="0" distR="0" simplePos="0" relativeHeight="251695104" behindDoc="0" locked="0" layoutInCell="0" allowOverlap="1">
          <wp:simplePos x="0" y="0"/>
          <wp:positionH relativeFrom="page">
            <wp:posOffset>786765</wp:posOffset>
          </wp:positionH>
          <wp:positionV relativeFrom="page">
            <wp:posOffset>697865</wp:posOffset>
          </wp:positionV>
          <wp:extent cx="5981700" cy="6350"/>
          <wp:effectExtent l="0" t="0" r="0" b="0"/>
          <wp:wrapNone/>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1"/>
                  <a:stretch>
                    <a:fillRect/>
                  </a:stretch>
                </pic:blipFill>
                <pic:spPr>
                  <a:xfrm>
                    <a:off x="0" y="0"/>
                    <a:ext cx="5981761" cy="6350"/>
                  </a:xfrm>
                  <a:prstGeom prst="rect">
                    <a:avLst/>
                  </a:prstGeom>
                </pic:spPr>
              </pic:pic>
            </a:graphicData>
          </a:graphic>
        </wp:anchor>
      </w:drawing>
    </w:r>
    <w:r>
      <w:rPr>
        <w:rFonts w:ascii="宋体" w:hAnsi="宋体" w:eastAsia="宋体" w:cs="宋体"/>
        <w:spacing w:val="-11"/>
        <w:sz w:val="18"/>
        <w:szCs w:val="18"/>
      </w:rPr>
      <w:t>福建省能源制度</w:t>
    </w:r>
    <w:r>
      <w:rPr>
        <w:rFonts w:ascii="宋体" w:hAnsi="宋体" w:eastAsia="宋体" w:cs="宋体"/>
        <w:spacing w:val="2"/>
        <w:sz w:val="18"/>
        <w:szCs w:val="18"/>
      </w:rPr>
      <w:t xml:space="preserve">                                    </w:t>
    </w:r>
    <w:r>
      <w:rPr>
        <w:rFonts w:ascii="宋体" w:hAnsi="宋体" w:eastAsia="宋体" w:cs="宋体"/>
        <w:spacing w:val="1"/>
        <w:sz w:val="18"/>
        <w:szCs w:val="18"/>
      </w:rPr>
      <w:t xml:space="preserve">    </w:t>
    </w:r>
    <w:r>
      <w:rPr>
        <w:rFonts w:ascii="宋体" w:hAnsi="宋体" w:eastAsia="宋体" w:cs="宋体"/>
        <w:spacing w:val="-11"/>
        <w:sz w:val="18"/>
        <w:szCs w:val="18"/>
      </w:rPr>
      <w:t>—29—</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34D85F">
    <w:pPr>
      <w:spacing w:line="219" w:lineRule="auto"/>
      <w:rPr>
        <w:rFonts w:ascii="宋体" w:hAnsi="宋体" w:eastAsia="宋体" w:cs="宋体"/>
        <w:sz w:val="18"/>
        <w:szCs w:val="18"/>
      </w:rPr>
    </w:pPr>
    <w:r>
      <w:drawing>
        <wp:anchor distT="0" distB="0" distL="0" distR="0" simplePos="0" relativeHeight="251697152" behindDoc="0" locked="0" layoutInCell="0" allowOverlap="1">
          <wp:simplePos x="0" y="0"/>
          <wp:positionH relativeFrom="page">
            <wp:posOffset>786765</wp:posOffset>
          </wp:positionH>
          <wp:positionV relativeFrom="page">
            <wp:posOffset>697865</wp:posOffset>
          </wp:positionV>
          <wp:extent cx="5981700" cy="6350"/>
          <wp:effectExtent l="0" t="0" r="0" b="0"/>
          <wp:wrapNone/>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r:embed="rId1"/>
                  <a:stretch>
                    <a:fillRect/>
                  </a:stretch>
                </pic:blipFill>
                <pic:spPr>
                  <a:xfrm>
                    <a:off x="0" y="0"/>
                    <a:ext cx="5981761" cy="6350"/>
                  </a:xfrm>
                  <a:prstGeom prst="rect">
                    <a:avLst/>
                  </a:prstGeom>
                </pic:spPr>
              </pic:pic>
            </a:graphicData>
          </a:graphic>
        </wp:anchor>
      </w:drawing>
    </w:r>
    <w:r>
      <w:rPr>
        <w:rFonts w:ascii="宋体" w:hAnsi="宋体" w:eastAsia="宋体" w:cs="宋体"/>
        <w:spacing w:val="-15"/>
        <w:sz w:val="18"/>
        <w:szCs w:val="18"/>
      </w:rPr>
      <w:t>—30—</w:t>
    </w:r>
    <w:r>
      <w:rPr>
        <w:rFonts w:ascii="宋体" w:hAnsi="宋体" w:eastAsia="宋体" w:cs="宋体"/>
        <w:spacing w:val="1"/>
        <w:sz w:val="18"/>
        <w:szCs w:val="18"/>
      </w:rPr>
      <w:t xml:space="preserve">                                     </w:t>
    </w:r>
    <w:r>
      <w:rPr>
        <w:rFonts w:ascii="宋体" w:hAnsi="宋体" w:eastAsia="宋体" w:cs="宋体"/>
        <w:sz w:val="18"/>
        <w:szCs w:val="18"/>
      </w:rPr>
      <w:t xml:space="preserve">    </w:t>
    </w:r>
    <w:r>
      <w:rPr>
        <w:rFonts w:ascii="宋体" w:hAnsi="宋体" w:eastAsia="宋体" w:cs="宋体"/>
        <w:spacing w:val="-15"/>
        <w:sz w:val="18"/>
        <w:szCs w:val="18"/>
      </w:rPr>
      <w:t>福建省能源制度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98A66">
    <w:pPr>
      <w:spacing w:line="219" w:lineRule="auto"/>
      <w:ind w:left="10"/>
      <w:rPr>
        <w:rFonts w:ascii="宋体" w:hAnsi="宋体" w:eastAsia="宋体" w:cs="宋体"/>
        <w:sz w:val="18"/>
        <w:szCs w:val="18"/>
      </w:rPr>
    </w:pPr>
    <w:r>
      <w:drawing>
        <wp:anchor distT="0" distB="0" distL="0" distR="0" simplePos="0" relativeHeight="251663360" behindDoc="0" locked="0" layoutInCell="0" allowOverlap="1">
          <wp:simplePos x="0" y="0"/>
          <wp:positionH relativeFrom="page">
            <wp:posOffset>786765</wp:posOffset>
          </wp:positionH>
          <wp:positionV relativeFrom="page">
            <wp:posOffset>697865</wp:posOffset>
          </wp:positionV>
          <wp:extent cx="5981700" cy="6350"/>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
                  <a:stretch>
                    <a:fillRect/>
                  </a:stretch>
                </pic:blipFill>
                <pic:spPr>
                  <a:xfrm>
                    <a:off x="0" y="0"/>
                    <a:ext cx="5981761" cy="6350"/>
                  </a:xfrm>
                  <a:prstGeom prst="rect">
                    <a:avLst/>
                  </a:prstGeom>
                </pic:spPr>
              </pic:pic>
            </a:graphicData>
          </a:graphic>
        </wp:anchor>
      </w:drawing>
    </w:r>
    <w:r>
      <w:rPr>
        <w:rFonts w:ascii="宋体" w:hAnsi="宋体" w:eastAsia="宋体" w:cs="宋体"/>
        <w:spacing w:val="-13"/>
        <w:w w:val="98"/>
        <w:sz w:val="18"/>
        <w:szCs w:val="18"/>
      </w:rPr>
      <w:t>—4—</w:t>
    </w:r>
    <w:r>
      <w:rPr>
        <w:rFonts w:ascii="宋体" w:hAnsi="宋体" w:eastAsia="宋体" w:cs="宋体"/>
        <w:sz w:val="18"/>
        <w:szCs w:val="18"/>
      </w:rPr>
      <w:t xml:space="preserve">                                          </w:t>
    </w:r>
    <w:r>
      <w:rPr>
        <w:rFonts w:ascii="宋体" w:hAnsi="宋体" w:eastAsia="宋体" w:cs="宋体"/>
        <w:spacing w:val="-13"/>
        <w:w w:val="98"/>
        <w:sz w:val="18"/>
        <w:szCs w:val="18"/>
      </w:rPr>
      <w:t>福建省能源制度</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2C38C">
    <w:pPr>
      <w:spacing w:line="175" w:lineRule="auto"/>
      <w:ind w:left="3509"/>
      <w:rPr>
        <w:rFonts w:ascii="宋体" w:hAnsi="宋体" w:eastAsia="宋体" w:cs="宋体"/>
        <w:sz w:val="21"/>
        <w:szCs w:val="21"/>
      </w:rPr>
    </w:pPr>
    <w:r>
      <w:drawing>
        <wp:anchor distT="0" distB="0" distL="0" distR="0" simplePos="0" relativeHeight="251699200" behindDoc="0" locked="0" layoutInCell="1" allowOverlap="1">
          <wp:simplePos x="0" y="0"/>
          <wp:positionH relativeFrom="column">
            <wp:posOffset>0</wp:posOffset>
          </wp:positionH>
          <wp:positionV relativeFrom="paragraph">
            <wp:posOffset>127000</wp:posOffset>
          </wp:positionV>
          <wp:extent cx="5989955" cy="6350"/>
          <wp:effectExtent l="0" t="0" r="0" b="0"/>
          <wp:wrapNone/>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r:embed="rId1"/>
                  <a:stretch>
                    <a:fillRect/>
                  </a:stretch>
                </pic:blipFill>
                <pic:spPr>
                  <a:xfrm>
                    <a:off x="0" y="0"/>
                    <a:ext cx="5990180" cy="6667"/>
                  </a:xfrm>
                  <a:prstGeom prst="rect">
                    <a:avLst/>
                  </a:prstGeom>
                </pic:spPr>
              </pic:pic>
            </a:graphicData>
          </a:graphic>
        </wp:anchor>
      </w:drawing>
    </w:r>
    <w:r>
      <w:pict>
        <v:shape id="_x0000_s2060" o:spid="_x0000_s2060" o:spt="202" type="#_x0000_t202" style="position:absolute;left:0pt;margin-left:461.1pt;margin-top:4pt;height:8.5pt;width:11.55pt;z-index:251698176;mso-width-relative:page;mso-height-relative:page;" filled="f" stroked="f" coordsize="21600,21600">
          <v:path/>
          <v:fill on="f" focussize="0,0"/>
          <v:stroke on="f"/>
          <v:imagedata o:title=""/>
          <o:lock v:ext="edit" aspectratio="f"/>
          <v:textbox inset="0mm,0mm,0mm,0mm">
            <w:txbxContent>
              <w:p w14:paraId="201A5AE7">
                <w:pPr>
                  <w:spacing w:before="19" w:line="184" w:lineRule="auto"/>
                  <w:ind w:left="20"/>
                  <w:rPr>
                    <w:rFonts w:ascii="宋体" w:hAnsi="宋体" w:eastAsia="宋体" w:cs="宋体"/>
                    <w:sz w:val="13"/>
                    <w:szCs w:val="13"/>
                  </w:rPr>
                </w:pPr>
                <w:r>
                  <w:rPr>
                    <w:rFonts w:ascii="宋体" w:hAnsi="宋体" w:eastAsia="宋体" w:cs="宋体"/>
                    <w:spacing w:val="-1"/>
                    <w:sz w:val="13"/>
                    <w:szCs w:val="13"/>
                  </w:rPr>
                  <w:t>-31</w:t>
                </w:r>
              </w:p>
            </w:txbxContent>
          </v:textbox>
        </v:shape>
      </w:pict>
    </w:r>
    <w:r>
      <w:rPr>
        <w:rFonts w:ascii="宋体" w:hAnsi="宋体" w:eastAsia="宋体" w:cs="宋体"/>
        <w:spacing w:val="-9"/>
        <w:sz w:val="21"/>
        <w:szCs w:val="21"/>
      </w:rPr>
      <w:t>福</w:t>
    </w:r>
    <w:r>
      <w:rPr>
        <w:rFonts w:ascii="宋体" w:hAnsi="宋体" w:eastAsia="宋体" w:cs="宋体"/>
        <w:spacing w:val="-33"/>
        <w:sz w:val="21"/>
        <w:szCs w:val="21"/>
      </w:rPr>
      <w:t xml:space="preserve"> </w:t>
    </w:r>
    <w:r>
      <w:rPr>
        <w:rFonts w:ascii="宋体" w:hAnsi="宋体" w:eastAsia="宋体" w:cs="宋体"/>
        <w:spacing w:val="-9"/>
        <w:sz w:val="21"/>
        <w:szCs w:val="21"/>
      </w:rPr>
      <w:t>建</w:t>
    </w:r>
    <w:r>
      <w:rPr>
        <w:rFonts w:ascii="宋体" w:hAnsi="宋体" w:eastAsia="宋体" w:cs="宋体"/>
        <w:spacing w:val="-32"/>
        <w:sz w:val="21"/>
        <w:szCs w:val="21"/>
      </w:rPr>
      <w:t xml:space="preserve"> </w:t>
    </w:r>
    <w:r>
      <w:rPr>
        <w:rFonts w:ascii="宋体" w:hAnsi="宋体" w:eastAsia="宋体" w:cs="宋体"/>
        <w:spacing w:val="-9"/>
        <w:sz w:val="21"/>
        <w:szCs w:val="21"/>
      </w:rPr>
      <w:t>省</w:t>
    </w:r>
    <w:r>
      <w:rPr>
        <w:rFonts w:ascii="宋体" w:hAnsi="宋体" w:eastAsia="宋体" w:cs="宋体"/>
        <w:spacing w:val="-27"/>
        <w:sz w:val="21"/>
        <w:szCs w:val="21"/>
      </w:rPr>
      <w:t xml:space="preserve"> </w:t>
    </w:r>
    <w:r>
      <w:rPr>
        <w:rFonts w:ascii="宋体" w:hAnsi="宋体" w:eastAsia="宋体" w:cs="宋体"/>
        <w:spacing w:val="-9"/>
        <w:sz w:val="21"/>
        <w:szCs w:val="21"/>
      </w:rPr>
      <w:t>能</w:t>
    </w:r>
    <w:r>
      <w:rPr>
        <w:rFonts w:ascii="宋体" w:hAnsi="宋体" w:eastAsia="宋体" w:cs="宋体"/>
        <w:spacing w:val="-36"/>
        <w:sz w:val="21"/>
        <w:szCs w:val="21"/>
      </w:rPr>
      <w:t xml:space="preserve"> </w:t>
    </w:r>
    <w:r>
      <w:rPr>
        <w:rFonts w:ascii="宋体" w:hAnsi="宋体" w:eastAsia="宋体" w:cs="宋体"/>
        <w:spacing w:val="-9"/>
        <w:sz w:val="21"/>
        <w:szCs w:val="21"/>
      </w:rPr>
      <w:t>源</w:t>
    </w:r>
    <w:r>
      <w:rPr>
        <w:rFonts w:ascii="宋体" w:hAnsi="宋体" w:eastAsia="宋体" w:cs="宋体"/>
        <w:spacing w:val="-34"/>
        <w:sz w:val="21"/>
        <w:szCs w:val="21"/>
      </w:rPr>
      <w:t xml:space="preserve"> </w:t>
    </w:r>
    <w:r>
      <w:rPr>
        <w:rFonts w:ascii="宋体" w:hAnsi="宋体" w:eastAsia="宋体" w:cs="宋体"/>
        <w:spacing w:val="-9"/>
        <w:sz w:val="21"/>
        <w:szCs w:val="21"/>
      </w:rPr>
      <w:t>制</w:t>
    </w:r>
    <w:r>
      <w:rPr>
        <w:rFonts w:ascii="宋体" w:hAnsi="宋体" w:eastAsia="宋体" w:cs="宋体"/>
        <w:spacing w:val="-36"/>
        <w:sz w:val="21"/>
        <w:szCs w:val="21"/>
      </w:rPr>
      <w:t xml:space="preserve"> </w:t>
    </w:r>
    <w:r>
      <w:rPr>
        <w:rFonts w:ascii="宋体" w:hAnsi="宋体" w:eastAsia="宋体" w:cs="宋体"/>
        <w:spacing w:val="-9"/>
        <w:sz w:val="21"/>
        <w:szCs w:val="21"/>
      </w:rPr>
      <w:t>度</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99C72">
    <w:pPr>
      <w:spacing w:line="219" w:lineRule="auto"/>
      <w:rPr>
        <w:rFonts w:ascii="宋体" w:hAnsi="宋体" w:eastAsia="宋体" w:cs="宋体"/>
        <w:sz w:val="21"/>
        <w:szCs w:val="21"/>
      </w:rPr>
    </w:pPr>
    <w:r>
      <w:drawing>
        <wp:anchor distT="0" distB="0" distL="0" distR="0" simplePos="0" relativeHeight="251700224" behindDoc="0" locked="0" layoutInCell="0" allowOverlap="1">
          <wp:simplePos x="0" y="0"/>
          <wp:positionH relativeFrom="page">
            <wp:posOffset>786765</wp:posOffset>
          </wp:positionH>
          <wp:positionV relativeFrom="page">
            <wp:posOffset>697865</wp:posOffset>
          </wp:positionV>
          <wp:extent cx="5981700" cy="6350"/>
          <wp:effectExtent l="0" t="0" r="0" b="0"/>
          <wp:wrapNone/>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r:embed="rId1"/>
                  <a:stretch>
                    <a:fillRect/>
                  </a:stretch>
                </pic:blipFill>
                <pic:spPr>
                  <a:xfrm>
                    <a:off x="0" y="0"/>
                    <a:ext cx="5981761" cy="6350"/>
                  </a:xfrm>
                  <a:prstGeom prst="rect">
                    <a:avLst/>
                  </a:prstGeom>
                </pic:spPr>
              </pic:pic>
            </a:graphicData>
          </a:graphic>
        </wp:anchor>
      </w:drawing>
    </w:r>
    <w:r>
      <w:rPr>
        <w:rFonts w:ascii="宋体" w:hAnsi="宋体" w:eastAsia="宋体" w:cs="宋体"/>
        <w:spacing w:val="-14"/>
        <w:w w:val="86"/>
        <w:position w:val="-1"/>
        <w:sz w:val="21"/>
        <w:szCs w:val="21"/>
      </w:rPr>
      <w:t>—32—</w:t>
    </w:r>
    <w:r>
      <w:rPr>
        <w:rFonts w:ascii="宋体" w:hAnsi="宋体" w:eastAsia="宋体" w:cs="宋体"/>
        <w:spacing w:val="1"/>
        <w:position w:val="-1"/>
        <w:sz w:val="21"/>
        <w:szCs w:val="21"/>
      </w:rPr>
      <w:t xml:space="preserve">                                 </w:t>
    </w:r>
    <w:r>
      <w:rPr>
        <w:rFonts w:ascii="宋体" w:hAnsi="宋体" w:eastAsia="宋体" w:cs="宋体"/>
        <w:position w:val="-1"/>
        <w:sz w:val="21"/>
        <w:szCs w:val="21"/>
      </w:rPr>
      <w:t xml:space="preserve">  </w:t>
    </w:r>
    <w:r>
      <w:rPr>
        <w:rFonts w:ascii="宋体" w:hAnsi="宋体" w:eastAsia="宋体" w:cs="宋体"/>
        <w:spacing w:val="-14"/>
        <w:w w:val="86"/>
        <w:sz w:val="21"/>
        <w:szCs w:val="21"/>
      </w:rPr>
      <w:t>福建省能源制度</w: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68478">
    <w:pPr>
      <w:tabs>
        <w:tab w:val="left" w:pos="3668"/>
      </w:tabs>
      <w:spacing w:line="175" w:lineRule="auto"/>
      <w:rPr>
        <w:rFonts w:ascii="宋体" w:hAnsi="宋体" w:eastAsia="宋体" w:cs="宋体"/>
        <w:sz w:val="21"/>
        <w:szCs w:val="21"/>
      </w:rPr>
    </w:pPr>
    <w:r>
      <w:rPr>
        <w:rFonts w:ascii="宋体" w:hAnsi="宋体" w:eastAsia="宋体" w:cs="宋体"/>
        <w:sz w:val="21"/>
        <w:szCs w:val="21"/>
        <w:u w:val="single" w:color="auto"/>
      </w:rPr>
      <w:tab/>
    </w:r>
    <w:r>
      <w:rPr>
        <w:rFonts w:ascii="宋体" w:hAnsi="宋体" w:eastAsia="宋体" w:cs="宋体"/>
        <w:spacing w:val="-18"/>
        <w:w w:val="97"/>
        <w:sz w:val="21"/>
        <w:szCs w:val="21"/>
        <w:u w:val="single" w:color="auto"/>
      </w:rPr>
      <w:t>福</w:t>
    </w:r>
    <w:r>
      <w:rPr>
        <w:rFonts w:ascii="宋体" w:hAnsi="宋体" w:eastAsia="宋体" w:cs="宋体"/>
        <w:spacing w:val="-24"/>
        <w:sz w:val="21"/>
        <w:szCs w:val="21"/>
        <w:u w:val="single" w:color="auto"/>
      </w:rPr>
      <w:t xml:space="preserve"> </w:t>
    </w:r>
    <w:r>
      <w:rPr>
        <w:rFonts w:ascii="宋体" w:hAnsi="宋体" w:eastAsia="宋体" w:cs="宋体"/>
        <w:spacing w:val="-18"/>
        <w:w w:val="97"/>
        <w:sz w:val="21"/>
        <w:szCs w:val="21"/>
        <w:u w:val="single" w:color="auto"/>
      </w:rPr>
      <w:t>建</w:t>
    </w:r>
    <w:r>
      <w:rPr>
        <w:rFonts w:ascii="宋体" w:hAnsi="宋体" w:eastAsia="宋体" w:cs="宋体"/>
        <w:spacing w:val="-24"/>
        <w:sz w:val="21"/>
        <w:szCs w:val="21"/>
        <w:u w:val="single" w:color="auto"/>
      </w:rPr>
      <w:t xml:space="preserve"> </w:t>
    </w:r>
    <w:r>
      <w:rPr>
        <w:rFonts w:ascii="宋体" w:hAnsi="宋体" w:eastAsia="宋体" w:cs="宋体"/>
        <w:spacing w:val="-18"/>
        <w:w w:val="97"/>
        <w:sz w:val="21"/>
        <w:szCs w:val="21"/>
        <w:u w:val="single" w:color="auto"/>
      </w:rPr>
      <w:t>省</w:t>
    </w:r>
    <w:r>
      <w:rPr>
        <w:rFonts w:ascii="宋体" w:hAnsi="宋体" w:eastAsia="宋体" w:cs="宋体"/>
        <w:spacing w:val="-19"/>
        <w:sz w:val="21"/>
        <w:szCs w:val="21"/>
        <w:u w:val="single" w:color="auto"/>
      </w:rPr>
      <w:t xml:space="preserve"> </w:t>
    </w:r>
    <w:r>
      <w:rPr>
        <w:rFonts w:ascii="宋体" w:hAnsi="宋体" w:eastAsia="宋体" w:cs="宋体"/>
        <w:spacing w:val="-18"/>
        <w:w w:val="97"/>
        <w:sz w:val="21"/>
        <w:szCs w:val="21"/>
        <w:u w:val="single" w:color="auto"/>
      </w:rPr>
      <w:t>能</w:t>
    </w:r>
    <w:r>
      <w:rPr>
        <w:rFonts w:ascii="宋体" w:hAnsi="宋体" w:eastAsia="宋体" w:cs="宋体"/>
        <w:spacing w:val="-29"/>
        <w:sz w:val="21"/>
        <w:szCs w:val="21"/>
        <w:u w:val="single" w:color="auto"/>
      </w:rPr>
      <w:t xml:space="preserve"> </w:t>
    </w:r>
    <w:r>
      <w:rPr>
        <w:rFonts w:ascii="宋体" w:hAnsi="宋体" w:eastAsia="宋体" w:cs="宋体"/>
        <w:spacing w:val="-18"/>
        <w:w w:val="97"/>
        <w:sz w:val="21"/>
        <w:szCs w:val="21"/>
        <w:u w:val="single" w:color="auto"/>
      </w:rPr>
      <w:t>源</w:t>
    </w:r>
    <w:r>
      <w:rPr>
        <w:rFonts w:ascii="宋体" w:hAnsi="宋体" w:eastAsia="宋体" w:cs="宋体"/>
        <w:spacing w:val="-26"/>
        <w:sz w:val="21"/>
        <w:szCs w:val="21"/>
        <w:u w:val="single" w:color="auto"/>
      </w:rPr>
      <w:t xml:space="preserve"> </w:t>
    </w:r>
    <w:r>
      <w:rPr>
        <w:rFonts w:ascii="宋体" w:hAnsi="宋体" w:eastAsia="宋体" w:cs="宋体"/>
        <w:spacing w:val="-18"/>
        <w:w w:val="97"/>
        <w:sz w:val="21"/>
        <w:szCs w:val="21"/>
        <w:u w:val="single" w:color="auto"/>
      </w:rPr>
      <w:t>制</w:t>
    </w:r>
    <w:r>
      <w:rPr>
        <w:rFonts w:ascii="宋体" w:hAnsi="宋体" w:eastAsia="宋体" w:cs="宋体"/>
        <w:spacing w:val="-29"/>
        <w:sz w:val="21"/>
        <w:szCs w:val="21"/>
        <w:u w:val="single" w:color="auto"/>
      </w:rPr>
      <w:t xml:space="preserve"> </w:t>
    </w:r>
    <w:r>
      <w:rPr>
        <w:rFonts w:ascii="宋体" w:hAnsi="宋体" w:eastAsia="宋体" w:cs="宋体"/>
        <w:spacing w:val="-18"/>
        <w:w w:val="97"/>
        <w:sz w:val="21"/>
        <w:szCs w:val="21"/>
        <w:u w:val="single" w:color="auto"/>
      </w:rPr>
      <w:t>度</w:t>
    </w:r>
    <w:r>
      <w:rPr>
        <w:rFonts w:ascii="宋体" w:hAnsi="宋体" w:eastAsia="宋体" w:cs="宋体"/>
        <w:spacing w:val="3"/>
        <w:sz w:val="21"/>
        <w:szCs w:val="21"/>
        <w:u w:val="single" w:color="auto"/>
      </w:rPr>
      <w:t xml:space="preserve">                       </w:t>
    </w:r>
    <w:r>
      <w:rPr>
        <w:rFonts w:ascii="宋体" w:hAnsi="宋体" w:eastAsia="宋体" w:cs="宋体"/>
        <w:spacing w:val="2"/>
        <w:sz w:val="21"/>
        <w:szCs w:val="21"/>
        <w:u w:val="single" w:color="auto"/>
      </w:rPr>
      <w:t xml:space="preserve">           </w:t>
    </w:r>
    <w:r>
      <w:rPr>
        <w:rFonts w:ascii="宋体" w:hAnsi="宋体" w:eastAsia="宋体" w:cs="宋体"/>
        <w:spacing w:val="-3"/>
        <w:w w:val="33"/>
        <w:sz w:val="21"/>
        <w:szCs w:val="21"/>
      </w:rPr>
      <w:t>—</w:t>
    </w:r>
    <w:r>
      <w:rPr>
        <w:rFonts w:ascii="宋体" w:hAnsi="宋体" w:eastAsia="宋体" w:cs="宋体"/>
        <w:spacing w:val="-18"/>
        <w:w w:val="97"/>
        <w:sz w:val="21"/>
        <w:szCs w:val="21"/>
      </w:rPr>
      <w:t>33</w:t>
    </w:r>
    <w:r>
      <w:rPr>
        <w:rFonts w:ascii="宋体" w:hAnsi="宋体" w:eastAsia="宋体" w:cs="宋体"/>
        <w:spacing w:val="-3"/>
        <w:w w:val="33"/>
        <w:sz w:val="21"/>
        <w:szCs w:val="21"/>
      </w:rPr>
      <w:t>—</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53150">
    <w:pPr>
      <w:spacing w:line="219" w:lineRule="auto"/>
      <w:ind w:left="10"/>
      <w:rPr>
        <w:rFonts w:ascii="宋体" w:hAnsi="宋体" w:eastAsia="宋体" w:cs="宋体"/>
        <w:sz w:val="21"/>
        <w:szCs w:val="21"/>
      </w:rPr>
    </w:pPr>
    <w:r>
      <w:drawing>
        <wp:anchor distT="0" distB="0" distL="0" distR="0" simplePos="0" relativeHeight="251702272" behindDoc="0" locked="0" layoutInCell="0" allowOverlap="1">
          <wp:simplePos x="0" y="0"/>
          <wp:positionH relativeFrom="page">
            <wp:posOffset>786765</wp:posOffset>
          </wp:positionH>
          <wp:positionV relativeFrom="page">
            <wp:posOffset>697865</wp:posOffset>
          </wp:positionV>
          <wp:extent cx="5981700" cy="6350"/>
          <wp:effectExtent l="0" t="0" r="0" b="0"/>
          <wp:wrapNone/>
          <wp:docPr id="62" name="IM 62"/>
          <wp:cNvGraphicFramePr/>
          <a:graphic xmlns:a="http://schemas.openxmlformats.org/drawingml/2006/main">
            <a:graphicData uri="http://schemas.openxmlformats.org/drawingml/2006/picture">
              <pic:pic xmlns:pic="http://schemas.openxmlformats.org/drawingml/2006/picture">
                <pic:nvPicPr>
                  <pic:cNvPr id="62" name="IM 62"/>
                  <pic:cNvPicPr/>
                </pic:nvPicPr>
                <pic:blipFill>
                  <a:blip r:embed="rId1"/>
                  <a:stretch>
                    <a:fillRect/>
                  </a:stretch>
                </pic:blipFill>
                <pic:spPr>
                  <a:xfrm>
                    <a:off x="0" y="0"/>
                    <a:ext cx="5981761" cy="6350"/>
                  </a:xfrm>
                  <a:prstGeom prst="rect">
                    <a:avLst/>
                  </a:prstGeom>
                </pic:spPr>
              </pic:pic>
            </a:graphicData>
          </a:graphic>
        </wp:anchor>
      </w:drawing>
    </w:r>
    <w:r>
      <w:rPr>
        <w:rFonts w:ascii="宋体" w:hAnsi="宋体" w:eastAsia="宋体" w:cs="宋体"/>
        <w:spacing w:val="-14"/>
        <w:w w:val="84"/>
        <w:sz w:val="21"/>
        <w:szCs w:val="21"/>
      </w:rPr>
      <w:t>—34—</w:t>
    </w:r>
    <w:r>
      <w:rPr>
        <w:rFonts w:ascii="宋体" w:hAnsi="宋体" w:eastAsia="宋体" w:cs="宋体"/>
        <w:spacing w:val="1"/>
        <w:sz w:val="21"/>
        <w:szCs w:val="21"/>
      </w:rPr>
      <w:t xml:space="preserve">                    </w:t>
    </w:r>
    <w:r>
      <w:rPr>
        <w:rFonts w:ascii="宋体" w:hAnsi="宋体" w:eastAsia="宋体" w:cs="宋体"/>
        <w:sz w:val="21"/>
        <w:szCs w:val="21"/>
      </w:rPr>
      <w:t xml:space="preserve">               </w:t>
    </w:r>
    <w:r>
      <w:rPr>
        <w:rFonts w:ascii="宋体" w:hAnsi="宋体" w:eastAsia="宋体" w:cs="宋体"/>
        <w:spacing w:val="-14"/>
        <w:w w:val="84"/>
        <w:sz w:val="21"/>
        <w:szCs w:val="21"/>
      </w:rPr>
      <w:t>福建省能源制度</w: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FF91C3">
    <w:pPr>
      <w:spacing w:line="219" w:lineRule="auto"/>
      <w:jc w:val="right"/>
      <w:rPr>
        <w:rFonts w:ascii="宋体" w:hAnsi="宋体" w:eastAsia="宋体" w:cs="宋体"/>
        <w:sz w:val="21"/>
        <w:szCs w:val="21"/>
      </w:rPr>
    </w:pPr>
    <w:r>
      <w:drawing>
        <wp:anchor distT="0" distB="0" distL="0" distR="0" simplePos="0" relativeHeight="251703296" behindDoc="0" locked="0" layoutInCell="0" allowOverlap="1">
          <wp:simplePos x="0" y="0"/>
          <wp:positionH relativeFrom="page">
            <wp:posOffset>786765</wp:posOffset>
          </wp:positionH>
          <wp:positionV relativeFrom="page">
            <wp:posOffset>697865</wp:posOffset>
          </wp:positionV>
          <wp:extent cx="5981700" cy="6350"/>
          <wp:effectExtent l="0" t="0" r="0" b="0"/>
          <wp:wrapNone/>
          <wp:docPr id="64" name="IM 64"/>
          <wp:cNvGraphicFramePr/>
          <a:graphic xmlns:a="http://schemas.openxmlformats.org/drawingml/2006/main">
            <a:graphicData uri="http://schemas.openxmlformats.org/drawingml/2006/picture">
              <pic:pic xmlns:pic="http://schemas.openxmlformats.org/drawingml/2006/picture">
                <pic:nvPicPr>
                  <pic:cNvPr id="64" name="IM 64"/>
                  <pic:cNvPicPr/>
                </pic:nvPicPr>
                <pic:blipFill>
                  <a:blip r:embed="rId1"/>
                  <a:stretch>
                    <a:fillRect/>
                  </a:stretch>
                </pic:blipFill>
                <pic:spPr>
                  <a:xfrm>
                    <a:off x="0" y="0"/>
                    <a:ext cx="5981761" cy="6350"/>
                  </a:xfrm>
                  <a:prstGeom prst="rect">
                    <a:avLst/>
                  </a:prstGeom>
                </pic:spPr>
              </pic:pic>
            </a:graphicData>
          </a:graphic>
        </wp:anchor>
      </w:drawing>
    </w:r>
    <w:r>
      <w:rPr>
        <w:rFonts w:ascii="宋体" w:hAnsi="宋体" w:eastAsia="宋体" w:cs="宋体"/>
        <w:spacing w:val="-16"/>
        <w:w w:val="84"/>
        <w:sz w:val="21"/>
        <w:szCs w:val="21"/>
      </w:rPr>
      <w:t>福建省能源制度</w:t>
    </w:r>
    <w:r>
      <w:rPr>
        <w:rFonts w:ascii="宋体" w:hAnsi="宋体" w:eastAsia="宋体" w:cs="宋体"/>
        <w:spacing w:val="1"/>
        <w:sz w:val="21"/>
        <w:szCs w:val="21"/>
      </w:rPr>
      <w:t xml:space="preserve">                           </w:t>
    </w:r>
    <w:r>
      <w:rPr>
        <w:rFonts w:ascii="宋体" w:hAnsi="宋体" w:eastAsia="宋体" w:cs="宋体"/>
        <w:sz w:val="21"/>
        <w:szCs w:val="21"/>
      </w:rPr>
      <w:t xml:space="preserve">        </w:t>
    </w:r>
    <w:r>
      <w:rPr>
        <w:rFonts w:ascii="宋体" w:hAnsi="宋体" w:eastAsia="宋体" w:cs="宋体"/>
        <w:spacing w:val="-16"/>
        <w:w w:val="84"/>
        <w:sz w:val="21"/>
        <w:szCs w:val="21"/>
      </w:rPr>
      <w:t>—3</w:t>
    </w:r>
    <w:r>
      <w:rPr>
        <w:rFonts w:ascii="宋体" w:hAnsi="宋体" w:eastAsia="宋体" w:cs="宋体"/>
        <w:spacing w:val="-15"/>
        <w:w w:val="84"/>
        <w:sz w:val="21"/>
        <w:szCs w:val="21"/>
      </w:rPr>
      <w:t>5</w:t>
    </w:r>
    <w:r>
      <w:rPr>
        <w:rFonts w:ascii="宋体" w:hAnsi="宋体" w:eastAsia="宋体" w:cs="宋体"/>
        <w:spacing w:val="-6"/>
        <w:w w:val="84"/>
        <w:sz w:val="21"/>
        <w:szCs w:val="21"/>
      </w:rPr>
      <w:t>—</w: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A47CBD">
    <w:pPr>
      <w:spacing w:line="219" w:lineRule="auto"/>
      <w:rPr>
        <w:rFonts w:ascii="宋体" w:hAnsi="宋体" w:eastAsia="宋体" w:cs="宋体"/>
        <w:sz w:val="18"/>
        <w:szCs w:val="18"/>
      </w:rPr>
    </w:pPr>
    <w:r>
      <w:drawing>
        <wp:anchor distT="0" distB="0" distL="0" distR="0" simplePos="0" relativeHeight="251704320" behindDoc="0" locked="0" layoutInCell="0" allowOverlap="1">
          <wp:simplePos x="0" y="0"/>
          <wp:positionH relativeFrom="page">
            <wp:posOffset>786765</wp:posOffset>
          </wp:positionH>
          <wp:positionV relativeFrom="page">
            <wp:posOffset>697865</wp:posOffset>
          </wp:positionV>
          <wp:extent cx="5981700" cy="6350"/>
          <wp:effectExtent l="0" t="0" r="0" b="0"/>
          <wp:wrapNone/>
          <wp:docPr id="66" name="IM 66"/>
          <wp:cNvGraphicFramePr/>
          <a:graphic xmlns:a="http://schemas.openxmlformats.org/drawingml/2006/main">
            <a:graphicData uri="http://schemas.openxmlformats.org/drawingml/2006/picture">
              <pic:pic xmlns:pic="http://schemas.openxmlformats.org/drawingml/2006/picture">
                <pic:nvPicPr>
                  <pic:cNvPr id="66" name="IM 66"/>
                  <pic:cNvPicPr/>
                </pic:nvPicPr>
                <pic:blipFill>
                  <a:blip r:embed="rId1"/>
                  <a:stretch>
                    <a:fillRect/>
                  </a:stretch>
                </pic:blipFill>
                <pic:spPr>
                  <a:xfrm>
                    <a:off x="0" y="0"/>
                    <a:ext cx="5981761" cy="6350"/>
                  </a:xfrm>
                  <a:prstGeom prst="rect">
                    <a:avLst/>
                  </a:prstGeom>
                </pic:spPr>
              </pic:pic>
            </a:graphicData>
          </a:graphic>
        </wp:anchor>
      </w:drawing>
    </w:r>
    <w:r>
      <w:rPr>
        <w:rFonts w:ascii="宋体" w:hAnsi="宋体" w:eastAsia="宋体" w:cs="宋体"/>
        <w:spacing w:val="-15"/>
        <w:sz w:val="18"/>
        <w:szCs w:val="18"/>
      </w:rPr>
      <w:t>—36—</w:t>
    </w:r>
    <w:r>
      <w:rPr>
        <w:rFonts w:ascii="宋体" w:hAnsi="宋体" w:eastAsia="宋体" w:cs="宋体"/>
        <w:sz w:val="18"/>
        <w:szCs w:val="18"/>
      </w:rPr>
      <w:t xml:space="preserve">                                         </w:t>
    </w:r>
    <w:r>
      <w:rPr>
        <w:rFonts w:ascii="宋体" w:hAnsi="宋体" w:eastAsia="宋体" w:cs="宋体"/>
        <w:spacing w:val="-15"/>
        <w:sz w:val="18"/>
        <w:szCs w:val="18"/>
      </w:rPr>
      <w:t>福建省能源制度</w: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0E03F">
    <w:pPr>
      <w:spacing w:line="219" w:lineRule="auto"/>
      <w:jc w:val="right"/>
      <w:rPr>
        <w:rFonts w:ascii="宋体" w:hAnsi="宋体" w:eastAsia="宋体" w:cs="宋体"/>
        <w:sz w:val="21"/>
        <w:szCs w:val="21"/>
      </w:rPr>
    </w:pPr>
    <w:r>
      <w:drawing>
        <wp:anchor distT="0" distB="0" distL="0" distR="0" simplePos="0" relativeHeight="251705344" behindDoc="0" locked="0" layoutInCell="0" allowOverlap="1">
          <wp:simplePos x="0" y="0"/>
          <wp:positionH relativeFrom="page">
            <wp:posOffset>786765</wp:posOffset>
          </wp:positionH>
          <wp:positionV relativeFrom="page">
            <wp:posOffset>697865</wp:posOffset>
          </wp:positionV>
          <wp:extent cx="5981700" cy="6350"/>
          <wp:effectExtent l="0" t="0" r="0" b="0"/>
          <wp:wrapNone/>
          <wp:docPr id="68" name="IM 68"/>
          <wp:cNvGraphicFramePr/>
          <a:graphic xmlns:a="http://schemas.openxmlformats.org/drawingml/2006/main">
            <a:graphicData uri="http://schemas.openxmlformats.org/drawingml/2006/picture">
              <pic:pic xmlns:pic="http://schemas.openxmlformats.org/drawingml/2006/picture">
                <pic:nvPicPr>
                  <pic:cNvPr id="68" name="IM 68"/>
                  <pic:cNvPicPr/>
                </pic:nvPicPr>
                <pic:blipFill>
                  <a:blip r:embed="rId1"/>
                  <a:stretch>
                    <a:fillRect/>
                  </a:stretch>
                </pic:blipFill>
                <pic:spPr>
                  <a:xfrm>
                    <a:off x="0" y="0"/>
                    <a:ext cx="5981761" cy="6350"/>
                  </a:xfrm>
                  <a:prstGeom prst="rect">
                    <a:avLst/>
                  </a:prstGeom>
                </pic:spPr>
              </pic:pic>
            </a:graphicData>
          </a:graphic>
        </wp:anchor>
      </w:drawing>
    </w:r>
    <w:r>
      <w:rPr>
        <w:rFonts w:ascii="宋体" w:hAnsi="宋体" w:eastAsia="宋体" w:cs="宋体"/>
        <w:spacing w:val="-16"/>
        <w:w w:val="84"/>
        <w:sz w:val="21"/>
        <w:szCs w:val="21"/>
      </w:rPr>
      <w:t>福建省能源制度</w:t>
    </w:r>
    <w:r>
      <w:rPr>
        <w:rFonts w:ascii="宋体" w:hAnsi="宋体" w:eastAsia="宋体" w:cs="宋体"/>
        <w:spacing w:val="1"/>
        <w:sz w:val="21"/>
        <w:szCs w:val="21"/>
      </w:rPr>
      <w:t xml:space="preserve">                           </w:t>
    </w:r>
    <w:r>
      <w:rPr>
        <w:rFonts w:ascii="宋体" w:hAnsi="宋体" w:eastAsia="宋体" w:cs="宋体"/>
        <w:sz w:val="21"/>
        <w:szCs w:val="21"/>
      </w:rPr>
      <w:t xml:space="preserve">        </w:t>
    </w:r>
    <w:r>
      <w:rPr>
        <w:rFonts w:ascii="宋体" w:hAnsi="宋体" w:eastAsia="宋体" w:cs="宋体"/>
        <w:spacing w:val="-16"/>
        <w:w w:val="84"/>
        <w:sz w:val="21"/>
        <w:szCs w:val="21"/>
      </w:rPr>
      <w:t>—3</w:t>
    </w:r>
    <w:r>
      <w:rPr>
        <w:rFonts w:ascii="宋体" w:hAnsi="宋体" w:eastAsia="宋体" w:cs="宋体"/>
        <w:spacing w:val="-15"/>
        <w:w w:val="84"/>
        <w:sz w:val="21"/>
        <w:szCs w:val="21"/>
      </w:rPr>
      <w:t>7</w:t>
    </w:r>
    <w:r>
      <w:rPr>
        <w:rFonts w:ascii="宋体" w:hAnsi="宋体" w:eastAsia="宋体" w:cs="宋体"/>
        <w:spacing w:val="-6"/>
        <w:w w:val="84"/>
        <w:sz w:val="21"/>
        <w:szCs w:val="21"/>
      </w:rPr>
      <w:t>—</w: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056E9">
    <w:pPr>
      <w:spacing w:line="219" w:lineRule="auto"/>
      <w:rPr>
        <w:rFonts w:ascii="宋体" w:hAnsi="宋体" w:eastAsia="宋体" w:cs="宋体"/>
        <w:sz w:val="21"/>
        <w:szCs w:val="21"/>
      </w:rPr>
    </w:pPr>
    <w:r>
      <w:drawing>
        <wp:anchor distT="0" distB="0" distL="0" distR="0" simplePos="0" relativeHeight="251707392" behindDoc="0" locked="0" layoutInCell="0" allowOverlap="1">
          <wp:simplePos x="0" y="0"/>
          <wp:positionH relativeFrom="page">
            <wp:posOffset>786765</wp:posOffset>
          </wp:positionH>
          <wp:positionV relativeFrom="page">
            <wp:posOffset>697865</wp:posOffset>
          </wp:positionV>
          <wp:extent cx="5981700" cy="6350"/>
          <wp:effectExtent l="0" t="0" r="0" b="0"/>
          <wp:wrapNone/>
          <wp:docPr id="70" name="IM 70"/>
          <wp:cNvGraphicFramePr/>
          <a:graphic xmlns:a="http://schemas.openxmlformats.org/drawingml/2006/main">
            <a:graphicData uri="http://schemas.openxmlformats.org/drawingml/2006/picture">
              <pic:pic xmlns:pic="http://schemas.openxmlformats.org/drawingml/2006/picture">
                <pic:nvPicPr>
                  <pic:cNvPr id="70" name="IM 70"/>
                  <pic:cNvPicPr/>
                </pic:nvPicPr>
                <pic:blipFill>
                  <a:blip r:embed="rId1"/>
                  <a:stretch>
                    <a:fillRect/>
                  </a:stretch>
                </pic:blipFill>
                <pic:spPr>
                  <a:xfrm>
                    <a:off x="0" y="0"/>
                    <a:ext cx="5981761" cy="6350"/>
                  </a:xfrm>
                  <a:prstGeom prst="rect">
                    <a:avLst/>
                  </a:prstGeom>
                </pic:spPr>
              </pic:pic>
            </a:graphicData>
          </a:graphic>
        </wp:anchor>
      </w:drawing>
    </w:r>
    <w:r>
      <w:rPr>
        <w:rFonts w:ascii="宋体" w:hAnsi="宋体" w:eastAsia="宋体" w:cs="宋体"/>
        <w:spacing w:val="-14"/>
        <w:w w:val="86"/>
        <w:position w:val="-1"/>
        <w:sz w:val="21"/>
        <w:szCs w:val="21"/>
      </w:rPr>
      <w:t>—38—</w:t>
    </w:r>
    <w:r>
      <w:rPr>
        <w:rFonts w:ascii="宋体" w:hAnsi="宋体" w:eastAsia="宋体" w:cs="宋体"/>
        <w:spacing w:val="2"/>
        <w:position w:val="-1"/>
        <w:sz w:val="21"/>
        <w:szCs w:val="21"/>
      </w:rPr>
      <w:t xml:space="preserve">                   </w:t>
    </w:r>
    <w:r>
      <w:rPr>
        <w:rFonts w:ascii="宋体" w:hAnsi="宋体" w:eastAsia="宋体" w:cs="宋体"/>
        <w:spacing w:val="1"/>
        <w:position w:val="-1"/>
        <w:sz w:val="21"/>
        <w:szCs w:val="21"/>
      </w:rPr>
      <w:t xml:space="preserve">                </w:t>
    </w:r>
    <w:r>
      <w:rPr>
        <w:rFonts w:ascii="宋体" w:hAnsi="宋体" w:eastAsia="宋体" w:cs="宋体"/>
        <w:spacing w:val="-14"/>
        <w:w w:val="86"/>
        <w:sz w:val="21"/>
        <w:szCs w:val="21"/>
      </w:rPr>
      <w:t>福建省能源制度</w: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DF45B0">
    <w:pPr>
      <w:spacing w:line="219" w:lineRule="auto"/>
      <w:jc w:val="right"/>
      <w:rPr>
        <w:rFonts w:ascii="宋体" w:hAnsi="宋体" w:eastAsia="宋体" w:cs="宋体"/>
        <w:sz w:val="21"/>
        <w:szCs w:val="21"/>
      </w:rPr>
    </w:pPr>
    <w:r>
      <w:drawing>
        <wp:anchor distT="0" distB="0" distL="0" distR="0" simplePos="0" relativeHeight="251708416" behindDoc="0" locked="0" layoutInCell="0" allowOverlap="1">
          <wp:simplePos x="0" y="0"/>
          <wp:positionH relativeFrom="page">
            <wp:posOffset>786765</wp:posOffset>
          </wp:positionH>
          <wp:positionV relativeFrom="page">
            <wp:posOffset>697865</wp:posOffset>
          </wp:positionV>
          <wp:extent cx="5981700" cy="6350"/>
          <wp:effectExtent l="0" t="0" r="0" b="0"/>
          <wp:wrapNone/>
          <wp:docPr id="72" name="IM 72"/>
          <wp:cNvGraphicFramePr/>
          <a:graphic xmlns:a="http://schemas.openxmlformats.org/drawingml/2006/main">
            <a:graphicData uri="http://schemas.openxmlformats.org/drawingml/2006/picture">
              <pic:pic xmlns:pic="http://schemas.openxmlformats.org/drawingml/2006/picture">
                <pic:nvPicPr>
                  <pic:cNvPr id="72" name="IM 72"/>
                  <pic:cNvPicPr/>
                </pic:nvPicPr>
                <pic:blipFill>
                  <a:blip r:embed="rId1"/>
                  <a:stretch>
                    <a:fillRect/>
                  </a:stretch>
                </pic:blipFill>
                <pic:spPr>
                  <a:xfrm>
                    <a:off x="0" y="0"/>
                    <a:ext cx="5981761" cy="6350"/>
                  </a:xfrm>
                  <a:prstGeom prst="rect">
                    <a:avLst/>
                  </a:prstGeom>
                </pic:spPr>
              </pic:pic>
            </a:graphicData>
          </a:graphic>
        </wp:anchor>
      </w:drawing>
    </w:r>
    <w:r>
      <w:rPr>
        <w:rFonts w:ascii="宋体" w:hAnsi="宋体" w:eastAsia="宋体" w:cs="宋体"/>
        <w:spacing w:val="-15"/>
        <w:w w:val="84"/>
        <w:sz w:val="21"/>
        <w:szCs w:val="21"/>
      </w:rPr>
      <w:t>福建省能源制度</w:t>
    </w:r>
    <w:r>
      <w:rPr>
        <w:rFonts w:ascii="宋体" w:hAnsi="宋体" w:eastAsia="宋体" w:cs="宋体"/>
        <w:spacing w:val="1"/>
        <w:sz w:val="21"/>
        <w:szCs w:val="21"/>
      </w:rPr>
      <w:t xml:space="preserve">                          </w:t>
    </w:r>
    <w:r>
      <w:rPr>
        <w:rFonts w:ascii="宋体" w:hAnsi="宋体" w:eastAsia="宋体" w:cs="宋体"/>
        <w:sz w:val="21"/>
        <w:szCs w:val="21"/>
      </w:rPr>
      <w:t xml:space="preserve">         </w:t>
    </w:r>
    <w:r>
      <w:rPr>
        <w:rFonts w:ascii="宋体" w:hAnsi="宋体" w:eastAsia="宋体" w:cs="宋体"/>
        <w:spacing w:val="-15"/>
        <w:w w:val="84"/>
        <w:position w:val="-1"/>
        <w:sz w:val="21"/>
        <w:szCs w:val="21"/>
      </w:rPr>
      <w:t>—</w:t>
    </w:r>
    <w:r>
      <w:rPr>
        <w:rFonts w:ascii="宋体" w:hAnsi="宋体" w:eastAsia="宋体" w:cs="宋体"/>
        <w:spacing w:val="-14"/>
        <w:w w:val="84"/>
        <w:position w:val="-1"/>
        <w:sz w:val="21"/>
        <w:szCs w:val="21"/>
      </w:rPr>
      <w:t>39</w:t>
    </w:r>
    <w:r>
      <w:rPr>
        <w:rFonts w:ascii="宋体" w:hAnsi="宋体" w:eastAsia="宋体" w:cs="宋体"/>
        <w:spacing w:val="-6"/>
        <w:w w:val="84"/>
        <w:position w:val="-1"/>
        <w:sz w:val="21"/>
        <w:szCs w:val="21"/>
      </w:rPr>
      <w:t>—</w: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1248AD">
    <w:pPr>
      <w:spacing w:line="219" w:lineRule="auto"/>
      <w:ind w:left="10"/>
      <w:rPr>
        <w:rFonts w:ascii="宋体" w:hAnsi="宋体" w:eastAsia="宋体" w:cs="宋体"/>
        <w:sz w:val="21"/>
        <w:szCs w:val="21"/>
      </w:rPr>
    </w:pPr>
    <w:r>
      <w:drawing>
        <wp:anchor distT="0" distB="0" distL="0" distR="0" simplePos="0" relativeHeight="251709440" behindDoc="0" locked="0" layoutInCell="0" allowOverlap="1">
          <wp:simplePos x="0" y="0"/>
          <wp:positionH relativeFrom="page">
            <wp:posOffset>786765</wp:posOffset>
          </wp:positionH>
          <wp:positionV relativeFrom="page">
            <wp:posOffset>697865</wp:posOffset>
          </wp:positionV>
          <wp:extent cx="5981700" cy="6350"/>
          <wp:effectExtent l="0" t="0" r="0" b="0"/>
          <wp:wrapNone/>
          <wp:docPr id="74" name="IM 74"/>
          <wp:cNvGraphicFramePr/>
          <a:graphic xmlns:a="http://schemas.openxmlformats.org/drawingml/2006/main">
            <a:graphicData uri="http://schemas.openxmlformats.org/drawingml/2006/picture">
              <pic:pic xmlns:pic="http://schemas.openxmlformats.org/drawingml/2006/picture">
                <pic:nvPicPr>
                  <pic:cNvPr id="74" name="IM 74"/>
                  <pic:cNvPicPr/>
                </pic:nvPicPr>
                <pic:blipFill>
                  <a:blip r:embed="rId1"/>
                  <a:stretch>
                    <a:fillRect/>
                  </a:stretch>
                </pic:blipFill>
                <pic:spPr>
                  <a:xfrm>
                    <a:off x="0" y="0"/>
                    <a:ext cx="5981761" cy="6350"/>
                  </a:xfrm>
                  <a:prstGeom prst="rect">
                    <a:avLst/>
                  </a:prstGeom>
                </pic:spPr>
              </pic:pic>
            </a:graphicData>
          </a:graphic>
        </wp:anchor>
      </w:drawing>
    </w:r>
    <w:r>
      <w:rPr>
        <w:rFonts w:ascii="宋体" w:hAnsi="宋体" w:eastAsia="宋体" w:cs="宋体"/>
        <w:spacing w:val="-12"/>
        <w:w w:val="83"/>
        <w:sz w:val="21"/>
        <w:szCs w:val="21"/>
      </w:rPr>
      <w:t>—40—</w:t>
    </w:r>
    <w:r>
      <w:rPr>
        <w:rFonts w:ascii="宋体" w:hAnsi="宋体" w:eastAsia="宋体" w:cs="宋体"/>
        <w:spacing w:val="1"/>
        <w:sz w:val="21"/>
        <w:szCs w:val="21"/>
      </w:rPr>
      <w:t xml:space="preserve">                   </w:t>
    </w:r>
    <w:r>
      <w:rPr>
        <w:rFonts w:ascii="宋体" w:hAnsi="宋体" w:eastAsia="宋体" w:cs="宋体"/>
        <w:sz w:val="21"/>
        <w:szCs w:val="21"/>
      </w:rPr>
      <w:t xml:space="preserve">                </w:t>
    </w:r>
    <w:r>
      <w:rPr>
        <w:rFonts w:ascii="宋体" w:hAnsi="宋体" w:eastAsia="宋体" w:cs="宋体"/>
        <w:spacing w:val="-12"/>
        <w:w w:val="83"/>
        <w:sz w:val="21"/>
        <w:szCs w:val="21"/>
      </w:rPr>
      <w:t>福建省能源制度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1D7B0">
    <w:pPr>
      <w:spacing w:line="174" w:lineRule="auto"/>
      <w:ind w:left="3595"/>
      <w:rPr>
        <w:rFonts w:ascii="宋体" w:hAnsi="宋体" w:eastAsia="宋体" w:cs="宋体"/>
        <w:sz w:val="18"/>
        <w:szCs w:val="18"/>
      </w:rPr>
    </w:pPr>
    <w:r>
      <w:pict>
        <v:rect id="_x0000_s2050" o:spid="_x0000_s2050" o:spt="1" style="position:absolute;left:0pt;margin-left:1.7pt;margin-top:8.35pt;height:0.65pt;width:465.5pt;z-index:251665408;mso-width-relative:page;mso-height-relative:page;" fillcolor="#000000" filled="t" stroked="f" coordsize="21600,21600">
          <v:path/>
          <v:fill on="t" focussize="0,0"/>
          <v:stroke on="f"/>
          <v:imagedata o:title=""/>
          <o:lock v:ext="edit"/>
        </v:rect>
      </w:pict>
    </w:r>
    <w:r>
      <w:pict>
        <v:shape id="_x0000_s2051" o:spid="_x0000_s2051" o:spt="202" type="#_x0000_t202" style="position:absolute;left:0pt;margin-left:458.45pt;margin-top:1.05pt;height:9.9pt;width:9.8pt;z-index:251664384;mso-width-relative:page;mso-height-relative:page;" filled="f" stroked="f" coordsize="21600,21600">
          <v:path/>
          <v:fill on="f" focussize="0,0"/>
          <v:stroke on="f"/>
          <v:imagedata o:title=""/>
          <o:lock v:ext="edit" aspectratio="f"/>
          <v:textbox inset="0mm,0mm,0mm,0mm">
            <w:txbxContent>
              <w:p w14:paraId="416DE7EC">
                <w:pPr>
                  <w:spacing w:before="19" w:line="182" w:lineRule="auto"/>
                  <w:ind w:left="20"/>
                  <w:rPr>
                    <w:rFonts w:ascii="宋体" w:hAnsi="宋体" w:eastAsia="宋体" w:cs="宋体"/>
                    <w:sz w:val="16"/>
                    <w:szCs w:val="16"/>
                  </w:rPr>
                </w:pPr>
                <w:r>
                  <w:rPr>
                    <w:rFonts w:ascii="宋体" w:hAnsi="宋体" w:eastAsia="宋体" w:cs="宋体"/>
                    <w:spacing w:val="-2"/>
                    <w:sz w:val="16"/>
                    <w:szCs w:val="16"/>
                  </w:rPr>
                  <w:t>-5</w:t>
                </w:r>
              </w:p>
            </w:txbxContent>
          </v:textbox>
        </v:shape>
      </w:pict>
    </w:r>
    <w:bookmarkStart w:id="26" w:name="bookmark6"/>
    <w:bookmarkEnd w:id="26"/>
    <w:r>
      <w:rPr>
        <w:rFonts w:ascii="宋体" w:hAnsi="宋体" w:eastAsia="宋体" w:cs="宋体"/>
        <w:spacing w:val="-6"/>
        <w:sz w:val="18"/>
        <w:szCs w:val="18"/>
      </w:rPr>
      <w:t>福 建</w:t>
    </w:r>
    <w:r>
      <w:rPr>
        <w:rFonts w:ascii="宋体" w:hAnsi="宋体" w:eastAsia="宋体" w:cs="宋体"/>
        <w:spacing w:val="8"/>
        <w:sz w:val="18"/>
        <w:szCs w:val="18"/>
      </w:rPr>
      <w:t xml:space="preserve"> </w:t>
    </w:r>
    <w:r>
      <w:rPr>
        <w:rFonts w:ascii="宋体" w:hAnsi="宋体" w:eastAsia="宋体" w:cs="宋体"/>
        <w:spacing w:val="-6"/>
        <w:sz w:val="18"/>
        <w:szCs w:val="18"/>
      </w:rPr>
      <w:t>省</w:t>
    </w:r>
    <w:r>
      <w:rPr>
        <w:rFonts w:ascii="宋体" w:hAnsi="宋体" w:eastAsia="宋体" w:cs="宋体"/>
        <w:spacing w:val="11"/>
        <w:sz w:val="18"/>
        <w:szCs w:val="18"/>
      </w:rPr>
      <w:t xml:space="preserve"> </w:t>
    </w:r>
    <w:r>
      <w:rPr>
        <w:rFonts w:ascii="宋体" w:hAnsi="宋体" w:eastAsia="宋体" w:cs="宋体"/>
        <w:spacing w:val="-6"/>
        <w:sz w:val="18"/>
        <w:szCs w:val="18"/>
      </w:rPr>
      <w:t>能</w:t>
    </w:r>
    <w:r>
      <w:rPr>
        <w:rFonts w:ascii="宋体" w:hAnsi="宋体" w:eastAsia="宋体" w:cs="宋体"/>
        <w:spacing w:val="4"/>
        <w:sz w:val="18"/>
        <w:szCs w:val="18"/>
      </w:rPr>
      <w:t xml:space="preserve"> </w:t>
    </w:r>
    <w:r>
      <w:rPr>
        <w:rFonts w:ascii="宋体" w:hAnsi="宋体" w:eastAsia="宋体" w:cs="宋体"/>
        <w:spacing w:val="-6"/>
        <w:sz w:val="18"/>
        <w:szCs w:val="18"/>
      </w:rPr>
      <w:t>源</w:t>
    </w:r>
    <w:r>
      <w:rPr>
        <w:rFonts w:ascii="宋体" w:hAnsi="宋体" w:eastAsia="宋体" w:cs="宋体"/>
        <w:spacing w:val="6"/>
        <w:sz w:val="18"/>
        <w:szCs w:val="18"/>
      </w:rPr>
      <w:t xml:space="preserve"> </w:t>
    </w:r>
    <w:r>
      <w:rPr>
        <w:rFonts w:ascii="宋体" w:hAnsi="宋体" w:eastAsia="宋体" w:cs="宋体"/>
        <w:spacing w:val="-6"/>
        <w:sz w:val="18"/>
        <w:szCs w:val="18"/>
      </w:rPr>
      <w:t>制</w:t>
    </w:r>
    <w:r>
      <w:rPr>
        <w:rFonts w:ascii="宋体" w:hAnsi="宋体" w:eastAsia="宋体" w:cs="宋体"/>
        <w:spacing w:val="4"/>
        <w:sz w:val="18"/>
        <w:szCs w:val="18"/>
      </w:rPr>
      <w:t xml:space="preserve"> </w:t>
    </w:r>
    <w:r>
      <w:rPr>
        <w:rFonts w:ascii="宋体" w:hAnsi="宋体" w:eastAsia="宋体" w:cs="宋体"/>
        <w:spacing w:val="-6"/>
        <w:sz w:val="18"/>
        <w:szCs w:val="18"/>
      </w:rPr>
      <w:t>度</w: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BB12ED">
    <w:pPr>
      <w:spacing w:line="175" w:lineRule="auto"/>
      <w:ind w:left="3509"/>
      <w:rPr>
        <w:rFonts w:ascii="宋体" w:hAnsi="宋体" w:eastAsia="宋体" w:cs="宋体"/>
        <w:sz w:val="21"/>
        <w:szCs w:val="21"/>
      </w:rPr>
    </w:pPr>
    <w:r>
      <w:drawing>
        <wp:anchor distT="0" distB="0" distL="0" distR="0" simplePos="0" relativeHeight="251711488" behindDoc="0" locked="0" layoutInCell="1" allowOverlap="1">
          <wp:simplePos x="0" y="0"/>
          <wp:positionH relativeFrom="column">
            <wp:posOffset>0</wp:posOffset>
          </wp:positionH>
          <wp:positionV relativeFrom="paragraph">
            <wp:posOffset>127000</wp:posOffset>
          </wp:positionV>
          <wp:extent cx="5989955" cy="6350"/>
          <wp:effectExtent l="0" t="0" r="0" b="0"/>
          <wp:wrapNone/>
          <wp:docPr id="76" name="IM 76"/>
          <wp:cNvGraphicFramePr/>
          <a:graphic xmlns:a="http://schemas.openxmlformats.org/drawingml/2006/main">
            <a:graphicData uri="http://schemas.openxmlformats.org/drawingml/2006/picture">
              <pic:pic xmlns:pic="http://schemas.openxmlformats.org/drawingml/2006/picture">
                <pic:nvPicPr>
                  <pic:cNvPr id="76" name="IM 76"/>
                  <pic:cNvPicPr/>
                </pic:nvPicPr>
                <pic:blipFill>
                  <a:blip r:embed="rId1"/>
                  <a:stretch>
                    <a:fillRect/>
                  </a:stretch>
                </pic:blipFill>
                <pic:spPr>
                  <a:xfrm>
                    <a:off x="0" y="0"/>
                    <a:ext cx="5990180" cy="6667"/>
                  </a:xfrm>
                  <a:prstGeom prst="rect">
                    <a:avLst/>
                  </a:prstGeom>
                </pic:spPr>
              </pic:pic>
            </a:graphicData>
          </a:graphic>
        </wp:anchor>
      </w:drawing>
    </w:r>
    <w:r>
      <w:pict>
        <v:shape id="_x0000_s2061" o:spid="_x0000_s2061" o:spt="202" type="#_x0000_t202" style="position:absolute;left:0pt;margin-left:461.1pt;margin-top:4pt;height:8.5pt;width:11.55pt;z-index:251710464;mso-width-relative:page;mso-height-relative:page;" filled="f" stroked="f" coordsize="21600,21600">
          <v:path/>
          <v:fill on="f" focussize="0,0"/>
          <v:stroke on="f"/>
          <v:imagedata o:title=""/>
          <o:lock v:ext="edit" aspectratio="f"/>
          <v:textbox inset="0mm,0mm,0mm,0mm">
            <w:txbxContent>
              <w:p w14:paraId="0A984C93">
                <w:pPr>
                  <w:spacing w:before="19" w:line="184" w:lineRule="auto"/>
                  <w:ind w:left="20"/>
                  <w:rPr>
                    <w:rFonts w:ascii="宋体" w:hAnsi="宋体" w:eastAsia="宋体" w:cs="宋体"/>
                    <w:sz w:val="13"/>
                    <w:szCs w:val="13"/>
                  </w:rPr>
                </w:pPr>
                <w:r>
                  <w:rPr>
                    <w:rFonts w:ascii="宋体" w:hAnsi="宋体" w:eastAsia="宋体" w:cs="宋体"/>
                    <w:spacing w:val="-1"/>
                    <w:sz w:val="13"/>
                    <w:szCs w:val="13"/>
                  </w:rPr>
                  <w:t>-41</w:t>
                </w:r>
              </w:p>
            </w:txbxContent>
          </v:textbox>
        </v:shape>
      </w:pict>
    </w:r>
    <w:r>
      <w:rPr>
        <w:rFonts w:ascii="宋体" w:hAnsi="宋体" w:eastAsia="宋体" w:cs="宋体"/>
        <w:spacing w:val="-9"/>
        <w:sz w:val="21"/>
        <w:szCs w:val="21"/>
      </w:rPr>
      <w:t>福</w:t>
    </w:r>
    <w:r>
      <w:rPr>
        <w:rFonts w:ascii="宋体" w:hAnsi="宋体" w:eastAsia="宋体" w:cs="宋体"/>
        <w:spacing w:val="-33"/>
        <w:sz w:val="21"/>
        <w:szCs w:val="21"/>
      </w:rPr>
      <w:t xml:space="preserve"> </w:t>
    </w:r>
    <w:r>
      <w:rPr>
        <w:rFonts w:ascii="宋体" w:hAnsi="宋体" w:eastAsia="宋体" w:cs="宋体"/>
        <w:spacing w:val="-9"/>
        <w:sz w:val="21"/>
        <w:szCs w:val="21"/>
      </w:rPr>
      <w:t>建</w:t>
    </w:r>
    <w:r>
      <w:rPr>
        <w:rFonts w:ascii="宋体" w:hAnsi="宋体" w:eastAsia="宋体" w:cs="宋体"/>
        <w:spacing w:val="-32"/>
        <w:sz w:val="21"/>
        <w:szCs w:val="21"/>
      </w:rPr>
      <w:t xml:space="preserve"> </w:t>
    </w:r>
    <w:r>
      <w:rPr>
        <w:rFonts w:ascii="宋体" w:hAnsi="宋体" w:eastAsia="宋体" w:cs="宋体"/>
        <w:spacing w:val="-9"/>
        <w:sz w:val="21"/>
        <w:szCs w:val="21"/>
      </w:rPr>
      <w:t>省</w:t>
    </w:r>
    <w:r>
      <w:rPr>
        <w:rFonts w:ascii="宋体" w:hAnsi="宋体" w:eastAsia="宋体" w:cs="宋体"/>
        <w:spacing w:val="-27"/>
        <w:sz w:val="21"/>
        <w:szCs w:val="21"/>
      </w:rPr>
      <w:t xml:space="preserve"> </w:t>
    </w:r>
    <w:r>
      <w:rPr>
        <w:rFonts w:ascii="宋体" w:hAnsi="宋体" w:eastAsia="宋体" w:cs="宋体"/>
        <w:spacing w:val="-9"/>
        <w:sz w:val="21"/>
        <w:szCs w:val="21"/>
      </w:rPr>
      <w:t>能</w:t>
    </w:r>
    <w:r>
      <w:rPr>
        <w:rFonts w:ascii="宋体" w:hAnsi="宋体" w:eastAsia="宋体" w:cs="宋体"/>
        <w:spacing w:val="-36"/>
        <w:sz w:val="21"/>
        <w:szCs w:val="21"/>
      </w:rPr>
      <w:t xml:space="preserve"> </w:t>
    </w:r>
    <w:r>
      <w:rPr>
        <w:rFonts w:ascii="宋体" w:hAnsi="宋体" w:eastAsia="宋体" w:cs="宋体"/>
        <w:spacing w:val="-9"/>
        <w:sz w:val="21"/>
        <w:szCs w:val="21"/>
      </w:rPr>
      <w:t>源</w:t>
    </w:r>
    <w:r>
      <w:rPr>
        <w:rFonts w:ascii="宋体" w:hAnsi="宋体" w:eastAsia="宋体" w:cs="宋体"/>
        <w:spacing w:val="-34"/>
        <w:sz w:val="21"/>
        <w:szCs w:val="21"/>
      </w:rPr>
      <w:t xml:space="preserve"> </w:t>
    </w:r>
    <w:r>
      <w:rPr>
        <w:rFonts w:ascii="宋体" w:hAnsi="宋体" w:eastAsia="宋体" w:cs="宋体"/>
        <w:spacing w:val="-9"/>
        <w:sz w:val="21"/>
        <w:szCs w:val="21"/>
      </w:rPr>
      <w:t>制</w:t>
    </w:r>
    <w:r>
      <w:rPr>
        <w:rFonts w:ascii="宋体" w:hAnsi="宋体" w:eastAsia="宋体" w:cs="宋体"/>
        <w:spacing w:val="-36"/>
        <w:sz w:val="21"/>
        <w:szCs w:val="21"/>
      </w:rPr>
      <w:t xml:space="preserve"> </w:t>
    </w:r>
    <w:r>
      <w:rPr>
        <w:rFonts w:ascii="宋体" w:hAnsi="宋体" w:eastAsia="宋体" w:cs="宋体"/>
        <w:spacing w:val="-9"/>
        <w:sz w:val="21"/>
        <w:szCs w:val="21"/>
      </w:rPr>
      <w:t>度</w: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93C91">
    <w:pPr>
      <w:spacing w:line="219" w:lineRule="auto"/>
      <w:rPr>
        <w:rFonts w:ascii="宋体" w:hAnsi="宋体" w:eastAsia="宋体" w:cs="宋体"/>
        <w:sz w:val="21"/>
        <w:szCs w:val="21"/>
      </w:rPr>
    </w:pPr>
    <w:r>
      <w:drawing>
        <wp:anchor distT="0" distB="0" distL="0" distR="0" simplePos="0" relativeHeight="251712512" behindDoc="0" locked="0" layoutInCell="0" allowOverlap="1">
          <wp:simplePos x="0" y="0"/>
          <wp:positionH relativeFrom="page">
            <wp:posOffset>786765</wp:posOffset>
          </wp:positionH>
          <wp:positionV relativeFrom="page">
            <wp:posOffset>697865</wp:posOffset>
          </wp:positionV>
          <wp:extent cx="5981700" cy="6350"/>
          <wp:effectExtent l="0" t="0" r="0" b="0"/>
          <wp:wrapNone/>
          <wp:docPr id="78" name="IM 78"/>
          <wp:cNvGraphicFramePr/>
          <a:graphic xmlns:a="http://schemas.openxmlformats.org/drawingml/2006/main">
            <a:graphicData uri="http://schemas.openxmlformats.org/drawingml/2006/picture">
              <pic:pic xmlns:pic="http://schemas.openxmlformats.org/drawingml/2006/picture">
                <pic:nvPicPr>
                  <pic:cNvPr id="78" name="IM 78"/>
                  <pic:cNvPicPr/>
                </pic:nvPicPr>
                <pic:blipFill>
                  <a:blip r:embed="rId1"/>
                  <a:stretch>
                    <a:fillRect/>
                  </a:stretch>
                </pic:blipFill>
                <pic:spPr>
                  <a:xfrm>
                    <a:off x="0" y="0"/>
                    <a:ext cx="5981761" cy="6350"/>
                  </a:xfrm>
                  <a:prstGeom prst="rect">
                    <a:avLst/>
                  </a:prstGeom>
                </pic:spPr>
              </pic:pic>
            </a:graphicData>
          </a:graphic>
        </wp:anchor>
      </w:drawing>
    </w:r>
    <w:r>
      <w:rPr>
        <w:rFonts w:ascii="宋体" w:hAnsi="宋体" w:eastAsia="宋体" w:cs="宋体"/>
        <w:spacing w:val="-13"/>
        <w:w w:val="86"/>
        <w:sz w:val="21"/>
        <w:szCs w:val="21"/>
      </w:rPr>
      <w:t>—42—</w:t>
    </w:r>
    <w:r>
      <w:rPr>
        <w:rFonts w:ascii="宋体" w:hAnsi="宋体" w:eastAsia="宋体" w:cs="宋体"/>
        <w:spacing w:val="1"/>
        <w:sz w:val="21"/>
        <w:szCs w:val="21"/>
      </w:rPr>
      <w:t xml:space="preserve">                                </w:t>
    </w:r>
    <w:r>
      <w:rPr>
        <w:rFonts w:ascii="宋体" w:hAnsi="宋体" w:eastAsia="宋体" w:cs="宋体"/>
        <w:sz w:val="21"/>
        <w:szCs w:val="21"/>
      </w:rPr>
      <w:t xml:space="preserve">   </w:t>
    </w:r>
    <w:r>
      <w:rPr>
        <w:rFonts w:ascii="宋体" w:hAnsi="宋体" w:eastAsia="宋体" w:cs="宋体"/>
        <w:spacing w:val="-13"/>
        <w:w w:val="86"/>
        <w:sz w:val="21"/>
        <w:szCs w:val="21"/>
      </w:rPr>
      <w:t>福建省能源制度</w: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DD50D">
    <w:pPr>
      <w:spacing w:line="219" w:lineRule="auto"/>
      <w:ind w:right="14"/>
      <w:jc w:val="right"/>
      <w:rPr>
        <w:rFonts w:ascii="宋体" w:hAnsi="宋体" w:eastAsia="宋体" w:cs="宋体"/>
        <w:sz w:val="21"/>
        <w:szCs w:val="21"/>
      </w:rPr>
    </w:pPr>
    <w:r>
      <w:drawing>
        <wp:anchor distT="0" distB="0" distL="0" distR="0" simplePos="0" relativeHeight="251713536" behindDoc="0" locked="0" layoutInCell="0" allowOverlap="1">
          <wp:simplePos x="0" y="0"/>
          <wp:positionH relativeFrom="page">
            <wp:posOffset>786765</wp:posOffset>
          </wp:positionH>
          <wp:positionV relativeFrom="page">
            <wp:posOffset>697865</wp:posOffset>
          </wp:positionV>
          <wp:extent cx="5981700" cy="6350"/>
          <wp:effectExtent l="0" t="0" r="0" b="0"/>
          <wp:wrapNone/>
          <wp:docPr id="80" name="IM 80"/>
          <wp:cNvGraphicFramePr/>
          <a:graphic xmlns:a="http://schemas.openxmlformats.org/drawingml/2006/main">
            <a:graphicData uri="http://schemas.openxmlformats.org/drawingml/2006/picture">
              <pic:pic xmlns:pic="http://schemas.openxmlformats.org/drawingml/2006/picture">
                <pic:nvPicPr>
                  <pic:cNvPr id="80" name="IM 80"/>
                  <pic:cNvPicPr/>
                </pic:nvPicPr>
                <pic:blipFill>
                  <a:blip r:embed="rId1"/>
                  <a:stretch>
                    <a:fillRect/>
                  </a:stretch>
                </pic:blipFill>
                <pic:spPr>
                  <a:xfrm>
                    <a:off x="0" y="0"/>
                    <a:ext cx="5981761" cy="6350"/>
                  </a:xfrm>
                  <a:prstGeom prst="rect">
                    <a:avLst/>
                  </a:prstGeom>
                </pic:spPr>
              </pic:pic>
            </a:graphicData>
          </a:graphic>
        </wp:anchor>
      </w:drawing>
    </w:r>
    <w:r>
      <w:rPr>
        <w:rFonts w:ascii="宋体" w:hAnsi="宋体" w:eastAsia="宋体" w:cs="宋体"/>
        <w:spacing w:val="-14"/>
        <w:w w:val="87"/>
        <w:sz w:val="21"/>
        <w:szCs w:val="21"/>
      </w:rPr>
      <w:t>福建省能源制度</w:t>
    </w:r>
    <w:r>
      <w:rPr>
        <w:rFonts w:ascii="宋体" w:hAnsi="宋体" w:eastAsia="宋体" w:cs="宋体"/>
        <w:spacing w:val="1"/>
        <w:sz w:val="21"/>
        <w:szCs w:val="21"/>
      </w:rPr>
      <w:t xml:space="preserve">                              </w:t>
    </w:r>
    <w:r>
      <w:rPr>
        <w:rFonts w:ascii="宋体" w:hAnsi="宋体" w:eastAsia="宋体" w:cs="宋体"/>
        <w:sz w:val="21"/>
        <w:szCs w:val="21"/>
      </w:rPr>
      <w:t xml:space="preserve">     </w:t>
    </w:r>
    <w:r>
      <w:rPr>
        <w:rFonts w:ascii="宋体" w:hAnsi="宋体" w:eastAsia="宋体" w:cs="宋体"/>
        <w:spacing w:val="-14"/>
        <w:w w:val="87"/>
        <w:position w:val="-1"/>
        <w:sz w:val="21"/>
        <w:szCs w:val="21"/>
      </w:rPr>
      <w:t>—43—</w: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40E7E1">
    <w:pPr>
      <w:spacing w:line="219" w:lineRule="auto"/>
      <w:ind w:left="10"/>
      <w:rPr>
        <w:rFonts w:ascii="宋体" w:hAnsi="宋体" w:eastAsia="宋体" w:cs="宋体"/>
        <w:sz w:val="18"/>
        <w:szCs w:val="18"/>
      </w:rPr>
    </w:pPr>
    <w:r>
      <w:drawing>
        <wp:anchor distT="0" distB="0" distL="0" distR="0" simplePos="0" relativeHeight="251714560" behindDoc="0" locked="0" layoutInCell="0" allowOverlap="1">
          <wp:simplePos x="0" y="0"/>
          <wp:positionH relativeFrom="page">
            <wp:posOffset>786765</wp:posOffset>
          </wp:positionH>
          <wp:positionV relativeFrom="page">
            <wp:posOffset>697865</wp:posOffset>
          </wp:positionV>
          <wp:extent cx="5981700" cy="6350"/>
          <wp:effectExtent l="0" t="0" r="0" b="0"/>
          <wp:wrapNone/>
          <wp:docPr id="82" name="IM 82"/>
          <wp:cNvGraphicFramePr/>
          <a:graphic xmlns:a="http://schemas.openxmlformats.org/drawingml/2006/main">
            <a:graphicData uri="http://schemas.openxmlformats.org/drawingml/2006/picture">
              <pic:pic xmlns:pic="http://schemas.openxmlformats.org/drawingml/2006/picture">
                <pic:nvPicPr>
                  <pic:cNvPr id="82" name="IM 82"/>
                  <pic:cNvPicPr/>
                </pic:nvPicPr>
                <pic:blipFill>
                  <a:blip r:embed="rId1"/>
                  <a:stretch>
                    <a:fillRect/>
                  </a:stretch>
                </pic:blipFill>
                <pic:spPr>
                  <a:xfrm>
                    <a:off x="0" y="0"/>
                    <a:ext cx="5981761" cy="6350"/>
                  </a:xfrm>
                  <a:prstGeom prst="rect">
                    <a:avLst/>
                  </a:prstGeom>
                </pic:spPr>
              </pic:pic>
            </a:graphicData>
          </a:graphic>
        </wp:anchor>
      </w:drawing>
    </w:r>
    <w:r>
      <w:rPr>
        <w:rFonts w:ascii="宋体" w:hAnsi="宋体" w:eastAsia="宋体" w:cs="宋体"/>
        <w:spacing w:val="-13"/>
        <w:w w:val="98"/>
        <w:sz w:val="18"/>
        <w:szCs w:val="18"/>
      </w:rPr>
      <w:t>—44—</w:t>
    </w:r>
    <w:r>
      <w:rPr>
        <w:rFonts w:ascii="宋体" w:hAnsi="宋体" w:eastAsia="宋体" w:cs="宋体"/>
        <w:sz w:val="18"/>
        <w:szCs w:val="18"/>
      </w:rPr>
      <w:t xml:space="preserve">                                         </w:t>
    </w:r>
    <w:r>
      <w:rPr>
        <w:rFonts w:ascii="宋体" w:hAnsi="宋体" w:eastAsia="宋体" w:cs="宋体"/>
        <w:spacing w:val="-13"/>
        <w:w w:val="98"/>
        <w:sz w:val="18"/>
        <w:szCs w:val="18"/>
      </w:rPr>
      <w:t>福建省能源制度</w: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1FE654">
    <w:pPr>
      <w:spacing w:line="219" w:lineRule="auto"/>
      <w:jc w:val="right"/>
      <w:rPr>
        <w:rFonts w:ascii="宋体" w:hAnsi="宋体" w:eastAsia="宋体" w:cs="宋体"/>
        <w:sz w:val="21"/>
        <w:szCs w:val="21"/>
      </w:rPr>
    </w:pPr>
    <w:r>
      <w:drawing>
        <wp:anchor distT="0" distB="0" distL="0" distR="0" simplePos="0" relativeHeight="251715584" behindDoc="0" locked="0" layoutInCell="0" allowOverlap="1">
          <wp:simplePos x="0" y="0"/>
          <wp:positionH relativeFrom="page">
            <wp:posOffset>786765</wp:posOffset>
          </wp:positionH>
          <wp:positionV relativeFrom="page">
            <wp:posOffset>697865</wp:posOffset>
          </wp:positionV>
          <wp:extent cx="5981700" cy="6350"/>
          <wp:effectExtent l="0" t="0" r="0" b="0"/>
          <wp:wrapNone/>
          <wp:docPr id="84" name="IM 84"/>
          <wp:cNvGraphicFramePr/>
          <a:graphic xmlns:a="http://schemas.openxmlformats.org/drawingml/2006/main">
            <a:graphicData uri="http://schemas.openxmlformats.org/drawingml/2006/picture">
              <pic:pic xmlns:pic="http://schemas.openxmlformats.org/drawingml/2006/picture">
                <pic:nvPicPr>
                  <pic:cNvPr id="84" name="IM 84"/>
                  <pic:cNvPicPr/>
                </pic:nvPicPr>
                <pic:blipFill>
                  <a:blip r:embed="rId1"/>
                  <a:stretch>
                    <a:fillRect/>
                  </a:stretch>
                </pic:blipFill>
                <pic:spPr>
                  <a:xfrm>
                    <a:off x="0" y="0"/>
                    <a:ext cx="5981761" cy="6350"/>
                  </a:xfrm>
                  <a:prstGeom prst="rect">
                    <a:avLst/>
                  </a:prstGeom>
                </pic:spPr>
              </pic:pic>
            </a:graphicData>
          </a:graphic>
        </wp:anchor>
      </w:drawing>
    </w:r>
    <w:r>
      <w:rPr>
        <w:rFonts w:ascii="宋体" w:hAnsi="宋体" w:eastAsia="宋体" w:cs="宋体"/>
        <w:spacing w:val="-15"/>
        <w:w w:val="84"/>
        <w:sz w:val="21"/>
        <w:szCs w:val="21"/>
      </w:rPr>
      <w:t>福建省能源制度</w:t>
    </w:r>
    <w:r>
      <w:rPr>
        <w:rFonts w:ascii="宋体" w:hAnsi="宋体" w:eastAsia="宋体" w:cs="宋体"/>
        <w:sz w:val="21"/>
        <w:szCs w:val="21"/>
      </w:rPr>
      <w:t xml:space="preserve">                                   </w:t>
    </w:r>
    <w:r>
      <w:rPr>
        <w:rFonts w:ascii="宋体" w:hAnsi="宋体" w:eastAsia="宋体" w:cs="宋体"/>
        <w:spacing w:val="-15"/>
        <w:w w:val="84"/>
        <w:sz w:val="21"/>
        <w:szCs w:val="21"/>
      </w:rPr>
      <w:t>—</w:t>
    </w:r>
    <w:r>
      <w:rPr>
        <w:rFonts w:ascii="宋体" w:hAnsi="宋体" w:eastAsia="宋体" w:cs="宋体"/>
        <w:spacing w:val="-14"/>
        <w:w w:val="84"/>
        <w:sz w:val="21"/>
        <w:szCs w:val="21"/>
      </w:rPr>
      <w:t>45</w:t>
    </w:r>
    <w:r>
      <w:rPr>
        <w:rFonts w:ascii="宋体" w:hAnsi="宋体" w:eastAsia="宋体" w:cs="宋体"/>
        <w:spacing w:val="-6"/>
        <w:w w:val="84"/>
        <w:sz w:val="21"/>
        <w:szCs w:val="21"/>
      </w:rPr>
      <w:t>—</w: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53436">
    <w:pPr>
      <w:spacing w:line="219" w:lineRule="auto"/>
      <w:ind w:left="10"/>
      <w:rPr>
        <w:rFonts w:ascii="宋体" w:hAnsi="宋体" w:eastAsia="宋体" w:cs="宋体"/>
        <w:sz w:val="21"/>
        <w:szCs w:val="21"/>
      </w:rPr>
    </w:pPr>
    <w:r>
      <w:drawing>
        <wp:anchor distT="0" distB="0" distL="0" distR="0" simplePos="0" relativeHeight="251716608" behindDoc="0" locked="0" layoutInCell="0" allowOverlap="1">
          <wp:simplePos x="0" y="0"/>
          <wp:positionH relativeFrom="page">
            <wp:posOffset>786765</wp:posOffset>
          </wp:positionH>
          <wp:positionV relativeFrom="page">
            <wp:posOffset>697865</wp:posOffset>
          </wp:positionV>
          <wp:extent cx="5981700" cy="6350"/>
          <wp:effectExtent l="0" t="0" r="0" b="0"/>
          <wp:wrapNone/>
          <wp:docPr id="86" name="IM 86"/>
          <wp:cNvGraphicFramePr/>
          <a:graphic xmlns:a="http://schemas.openxmlformats.org/drawingml/2006/main">
            <a:graphicData uri="http://schemas.openxmlformats.org/drawingml/2006/picture">
              <pic:pic xmlns:pic="http://schemas.openxmlformats.org/drawingml/2006/picture">
                <pic:nvPicPr>
                  <pic:cNvPr id="86" name="IM 86"/>
                  <pic:cNvPicPr/>
                </pic:nvPicPr>
                <pic:blipFill>
                  <a:blip r:embed="rId1"/>
                  <a:stretch>
                    <a:fillRect/>
                  </a:stretch>
                </pic:blipFill>
                <pic:spPr>
                  <a:xfrm>
                    <a:off x="0" y="0"/>
                    <a:ext cx="5981761" cy="6350"/>
                  </a:xfrm>
                  <a:prstGeom prst="rect">
                    <a:avLst/>
                  </a:prstGeom>
                </pic:spPr>
              </pic:pic>
            </a:graphicData>
          </a:graphic>
        </wp:anchor>
      </w:drawing>
    </w:r>
    <w:r>
      <w:rPr>
        <w:rFonts w:ascii="宋体" w:hAnsi="宋体" w:eastAsia="宋体" w:cs="宋体"/>
        <w:spacing w:val="-13"/>
        <w:w w:val="85"/>
        <w:sz w:val="21"/>
        <w:szCs w:val="21"/>
      </w:rPr>
      <w:t>—46—</w:t>
    </w:r>
    <w:r>
      <w:rPr>
        <w:rFonts w:ascii="宋体" w:hAnsi="宋体" w:eastAsia="宋体" w:cs="宋体"/>
        <w:spacing w:val="1"/>
        <w:sz w:val="21"/>
        <w:szCs w:val="21"/>
      </w:rPr>
      <w:t xml:space="preserve">                        </w:t>
    </w:r>
    <w:r>
      <w:rPr>
        <w:rFonts w:ascii="宋体" w:hAnsi="宋体" w:eastAsia="宋体" w:cs="宋体"/>
        <w:sz w:val="21"/>
        <w:szCs w:val="21"/>
      </w:rPr>
      <w:t xml:space="preserve">           </w:t>
    </w:r>
    <w:r>
      <w:rPr>
        <w:rFonts w:ascii="宋体" w:hAnsi="宋体" w:eastAsia="宋体" w:cs="宋体"/>
        <w:spacing w:val="-13"/>
        <w:w w:val="85"/>
        <w:sz w:val="21"/>
        <w:szCs w:val="21"/>
      </w:rPr>
      <w:t>福建省能源制度</w: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C6DD0">
    <w:pPr>
      <w:spacing w:line="184" w:lineRule="auto"/>
      <w:ind w:left="3539"/>
      <w:rPr>
        <w:rFonts w:ascii="宋体" w:hAnsi="宋体" w:eastAsia="宋体" w:cs="宋体"/>
        <w:sz w:val="20"/>
        <w:szCs w:val="20"/>
      </w:rPr>
    </w:pPr>
    <w:r>
      <w:pict>
        <v:shape id="_x0000_s2062" o:spid="_x0000_s2062" o:spt="202" type="#_x0000_t202" style="position:absolute;left:0pt;margin-left:450.4pt;margin-top:1.1pt;height:11.95pt;width:16.7pt;z-index:251717632;mso-width-relative:page;mso-height-relative:page;" filled="f" stroked="f" coordsize="21600,21600">
          <v:path/>
          <v:fill on="f" focussize="0,0"/>
          <v:stroke on="f"/>
          <v:imagedata o:title=""/>
          <o:lock v:ext="edit" aspectratio="f"/>
          <v:textbox inset="0mm,0mm,0mm,0mm">
            <w:txbxContent>
              <w:p w14:paraId="152291C0">
                <w:pPr>
                  <w:spacing w:before="20" w:line="183" w:lineRule="auto"/>
                  <w:ind w:left="20"/>
                  <w:rPr>
                    <w:rFonts w:ascii="宋体" w:hAnsi="宋体" w:eastAsia="宋体" w:cs="宋体"/>
                    <w:sz w:val="20"/>
                    <w:szCs w:val="20"/>
                  </w:rPr>
                </w:pPr>
                <w:r>
                  <w:rPr>
                    <w:rFonts w:ascii="宋体" w:hAnsi="宋体" w:eastAsia="宋体" w:cs="宋体"/>
                    <w:spacing w:val="-2"/>
                    <w:sz w:val="20"/>
                    <w:szCs w:val="20"/>
                  </w:rPr>
                  <w:t>-47</w:t>
                </w:r>
              </w:p>
            </w:txbxContent>
          </v:textbox>
        </v:shape>
      </w:pict>
    </w:r>
    <w:r>
      <w:drawing>
        <wp:anchor distT="0" distB="0" distL="0" distR="0" simplePos="0" relativeHeight="251718656" behindDoc="0" locked="0" layoutInCell="1" allowOverlap="1">
          <wp:simplePos x="0" y="0"/>
          <wp:positionH relativeFrom="column">
            <wp:posOffset>0</wp:posOffset>
          </wp:positionH>
          <wp:positionV relativeFrom="paragraph">
            <wp:posOffset>120650</wp:posOffset>
          </wp:positionV>
          <wp:extent cx="5919470" cy="12700"/>
          <wp:effectExtent l="0" t="0" r="0" b="0"/>
          <wp:wrapNone/>
          <wp:docPr id="88" name="IM 88"/>
          <wp:cNvGraphicFramePr/>
          <a:graphic xmlns:a="http://schemas.openxmlformats.org/drawingml/2006/main">
            <a:graphicData uri="http://schemas.openxmlformats.org/drawingml/2006/picture">
              <pic:pic xmlns:pic="http://schemas.openxmlformats.org/drawingml/2006/picture">
                <pic:nvPicPr>
                  <pic:cNvPr id="88" name="IM 88"/>
                  <pic:cNvPicPr/>
                </pic:nvPicPr>
                <pic:blipFill>
                  <a:blip r:embed="rId1"/>
                  <a:stretch>
                    <a:fillRect/>
                  </a:stretch>
                </pic:blipFill>
                <pic:spPr>
                  <a:xfrm>
                    <a:off x="0" y="0"/>
                    <a:ext cx="5919372" cy="12761"/>
                  </a:xfrm>
                  <a:prstGeom prst="rect">
                    <a:avLst/>
                  </a:prstGeom>
                </pic:spPr>
              </pic:pic>
            </a:graphicData>
          </a:graphic>
        </wp:anchor>
      </w:drawing>
    </w:r>
    <w:bookmarkStart w:id="27" w:name="bookmark22"/>
    <w:bookmarkEnd w:id="27"/>
    <w:r>
      <w:rPr>
        <w:rFonts w:ascii="宋体" w:hAnsi="宋体" w:eastAsia="宋体" w:cs="宋体"/>
        <w:spacing w:val="-9"/>
        <w:sz w:val="20"/>
        <w:szCs w:val="20"/>
      </w:rPr>
      <w:t>福</w:t>
    </w:r>
    <w:r>
      <w:rPr>
        <w:rFonts w:ascii="宋体" w:hAnsi="宋体" w:eastAsia="宋体" w:cs="宋体"/>
        <w:spacing w:val="-19"/>
        <w:sz w:val="20"/>
        <w:szCs w:val="20"/>
      </w:rPr>
      <w:t xml:space="preserve"> </w:t>
    </w:r>
    <w:r>
      <w:rPr>
        <w:rFonts w:ascii="宋体" w:hAnsi="宋体" w:eastAsia="宋体" w:cs="宋体"/>
        <w:spacing w:val="-9"/>
        <w:sz w:val="20"/>
        <w:szCs w:val="20"/>
      </w:rPr>
      <w:t>建</w:t>
    </w:r>
    <w:r>
      <w:rPr>
        <w:rFonts w:ascii="宋体" w:hAnsi="宋体" w:eastAsia="宋体" w:cs="宋体"/>
        <w:spacing w:val="-21"/>
        <w:sz w:val="20"/>
        <w:szCs w:val="20"/>
      </w:rPr>
      <w:t xml:space="preserve"> </w:t>
    </w:r>
    <w:r>
      <w:rPr>
        <w:rFonts w:ascii="宋体" w:hAnsi="宋体" w:eastAsia="宋体" w:cs="宋体"/>
        <w:spacing w:val="-9"/>
        <w:sz w:val="20"/>
        <w:szCs w:val="20"/>
      </w:rPr>
      <w:t>省</w:t>
    </w:r>
    <w:r>
      <w:rPr>
        <w:rFonts w:ascii="宋体" w:hAnsi="宋体" w:eastAsia="宋体" w:cs="宋体"/>
        <w:spacing w:val="-16"/>
        <w:sz w:val="20"/>
        <w:szCs w:val="20"/>
      </w:rPr>
      <w:t xml:space="preserve"> </w:t>
    </w:r>
    <w:r>
      <w:rPr>
        <w:rFonts w:ascii="宋体" w:hAnsi="宋体" w:eastAsia="宋体" w:cs="宋体"/>
        <w:spacing w:val="-9"/>
        <w:sz w:val="20"/>
        <w:szCs w:val="20"/>
      </w:rPr>
      <w:t>能</w:t>
    </w:r>
    <w:r>
      <w:rPr>
        <w:rFonts w:ascii="宋体" w:hAnsi="宋体" w:eastAsia="宋体" w:cs="宋体"/>
        <w:spacing w:val="-25"/>
        <w:sz w:val="20"/>
        <w:szCs w:val="20"/>
      </w:rPr>
      <w:t xml:space="preserve"> </w:t>
    </w:r>
    <w:r>
      <w:rPr>
        <w:rFonts w:ascii="宋体" w:hAnsi="宋体" w:eastAsia="宋体" w:cs="宋体"/>
        <w:spacing w:val="-9"/>
        <w:sz w:val="20"/>
        <w:szCs w:val="20"/>
      </w:rPr>
      <w:t>源</w:t>
    </w:r>
    <w:r>
      <w:rPr>
        <w:rFonts w:ascii="宋体" w:hAnsi="宋体" w:eastAsia="宋体" w:cs="宋体"/>
        <w:spacing w:val="-23"/>
        <w:sz w:val="20"/>
        <w:szCs w:val="20"/>
      </w:rPr>
      <w:t xml:space="preserve"> </w:t>
    </w:r>
    <w:r>
      <w:rPr>
        <w:rFonts w:ascii="宋体" w:hAnsi="宋体" w:eastAsia="宋体" w:cs="宋体"/>
        <w:spacing w:val="-9"/>
        <w:sz w:val="20"/>
        <w:szCs w:val="20"/>
      </w:rPr>
      <w:t>制</w:t>
    </w:r>
    <w:r>
      <w:rPr>
        <w:rFonts w:ascii="宋体" w:hAnsi="宋体" w:eastAsia="宋体" w:cs="宋体"/>
        <w:spacing w:val="-25"/>
        <w:sz w:val="20"/>
        <w:szCs w:val="20"/>
      </w:rPr>
      <w:t xml:space="preserve"> </w:t>
    </w:r>
    <w:r>
      <w:rPr>
        <w:rFonts w:ascii="宋体" w:hAnsi="宋体" w:eastAsia="宋体" w:cs="宋体"/>
        <w:spacing w:val="-9"/>
        <w:sz w:val="20"/>
        <w:szCs w:val="20"/>
      </w:rPr>
      <w:t>度</w: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0B514">
    <w:pPr>
      <w:spacing w:line="175" w:lineRule="auto"/>
      <w:ind w:left="4"/>
      <w:rPr>
        <w:rFonts w:ascii="宋体" w:hAnsi="宋体" w:eastAsia="宋体" w:cs="宋体"/>
        <w:sz w:val="21"/>
        <w:szCs w:val="21"/>
      </w:rPr>
    </w:pPr>
    <w:r>
      <w:rPr>
        <w:rFonts w:ascii="宋体" w:hAnsi="宋体" w:eastAsia="宋体" w:cs="宋体"/>
        <w:spacing w:val="-23"/>
        <w:sz w:val="21"/>
        <w:szCs w:val="21"/>
      </w:rPr>
      <w:t>—48—</w:t>
    </w:r>
    <w:r>
      <w:rPr>
        <w:rFonts w:ascii="宋体" w:hAnsi="宋体" w:eastAsia="宋体" w:cs="宋体"/>
        <w:spacing w:val="-77"/>
        <w:sz w:val="21"/>
        <w:szCs w:val="21"/>
      </w:rPr>
      <w:t xml:space="preserve"> </w:t>
    </w:r>
    <w:r>
      <w:rPr>
        <w:rFonts w:ascii="宋体" w:hAnsi="宋体" w:eastAsia="宋体" w:cs="宋体"/>
        <w:spacing w:val="3"/>
        <w:sz w:val="21"/>
        <w:szCs w:val="21"/>
        <w:u w:val="single" w:color="auto"/>
      </w:rPr>
      <w:t xml:space="preserve">                               </w:t>
    </w:r>
    <w:r>
      <w:rPr>
        <w:rFonts w:ascii="宋体" w:hAnsi="宋体" w:eastAsia="宋体" w:cs="宋体"/>
        <w:spacing w:val="-23"/>
        <w:sz w:val="21"/>
        <w:szCs w:val="21"/>
        <w:u w:val="single" w:color="auto"/>
      </w:rPr>
      <w:t>福 建 省 能 源 制 度</w:t>
    </w:r>
    <w:r>
      <w:rPr>
        <w:rFonts w:ascii="宋体" w:hAnsi="宋体" w:eastAsia="宋体" w:cs="宋体"/>
        <w:sz w:val="21"/>
        <w:szCs w:val="21"/>
        <w:u w:val="single" w:color="auto"/>
      </w:rPr>
      <w:t xml:space="preserve">                                    </w: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790BFA">
    <w:pPr>
      <w:spacing w:line="174" w:lineRule="auto"/>
      <w:jc w:val="right"/>
      <w:rPr>
        <w:rFonts w:ascii="宋体" w:hAnsi="宋体" w:eastAsia="宋体" w:cs="宋体"/>
        <w:sz w:val="19"/>
        <w:szCs w:val="19"/>
      </w:rPr>
    </w:pPr>
    <w:r>
      <w:drawing>
        <wp:anchor distT="0" distB="0" distL="0" distR="0" simplePos="0" relativeHeight="251719680" behindDoc="0" locked="0" layoutInCell="1" allowOverlap="1">
          <wp:simplePos x="0" y="0"/>
          <wp:positionH relativeFrom="column">
            <wp:posOffset>0</wp:posOffset>
          </wp:positionH>
          <wp:positionV relativeFrom="paragraph">
            <wp:posOffset>102870</wp:posOffset>
          </wp:positionV>
          <wp:extent cx="5972175" cy="17780"/>
          <wp:effectExtent l="0" t="0" r="0" b="0"/>
          <wp:wrapNone/>
          <wp:docPr id="90" name="IM 90"/>
          <wp:cNvGraphicFramePr/>
          <a:graphic xmlns:a="http://schemas.openxmlformats.org/drawingml/2006/main">
            <a:graphicData uri="http://schemas.openxmlformats.org/drawingml/2006/picture">
              <pic:pic xmlns:pic="http://schemas.openxmlformats.org/drawingml/2006/picture">
                <pic:nvPicPr>
                  <pic:cNvPr id="90" name="IM 90"/>
                  <pic:cNvPicPr/>
                </pic:nvPicPr>
                <pic:blipFill>
                  <a:blip r:embed="rId1"/>
                  <a:stretch>
                    <a:fillRect/>
                  </a:stretch>
                </pic:blipFill>
                <pic:spPr>
                  <a:xfrm>
                    <a:off x="0" y="0"/>
                    <a:ext cx="5972312" cy="18078"/>
                  </a:xfrm>
                  <a:prstGeom prst="rect">
                    <a:avLst/>
                  </a:prstGeom>
                </pic:spPr>
              </pic:pic>
            </a:graphicData>
          </a:graphic>
        </wp:anchor>
      </w:drawing>
    </w:r>
    <w:r>
      <w:rPr>
        <w:rFonts w:ascii="宋体" w:hAnsi="宋体" w:eastAsia="宋体" w:cs="宋体"/>
        <w:spacing w:val="-5"/>
        <w:sz w:val="17"/>
        <w:szCs w:val="17"/>
      </w:rPr>
      <w:t>福 建</w:t>
    </w:r>
    <w:r>
      <w:rPr>
        <w:rFonts w:ascii="宋体" w:hAnsi="宋体" w:eastAsia="宋体" w:cs="宋体"/>
        <w:spacing w:val="19"/>
        <w:sz w:val="17"/>
        <w:szCs w:val="17"/>
      </w:rPr>
      <w:t xml:space="preserve"> </w:t>
    </w:r>
    <w:r>
      <w:rPr>
        <w:rFonts w:ascii="宋体" w:hAnsi="宋体" w:eastAsia="宋体" w:cs="宋体"/>
        <w:spacing w:val="-5"/>
        <w:sz w:val="17"/>
        <w:szCs w:val="17"/>
      </w:rPr>
      <w:t>省</w:t>
    </w:r>
    <w:r>
      <w:rPr>
        <w:rFonts w:ascii="宋体" w:hAnsi="宋体" w:eastAsia="宋体" w:cs="宋体"/>
        <w:spacing w:val="16"/>
        <w:sz w:val="17"/>
        <w:szCs w:val="17"/>
      </w:rPr>
      <w:t xml:space="preserve"> </w:t>
    </w:r>
    <w:r>
      <w:rPr>
        <w:rFonts w:ascii="宋体" w:hAnsi="宋体" w:eastAsia="宋体" w:cs="宋体"/>
        <w:spacing w:val="-5"/>
        <w:sz w:val="17"/>
        <w:szCs w:val="17"/>
      </w:rPr>
      <w:t>能</w:t>
    </w:r>
    <w:r>
      <w:rPr>
        <w:rFonts w:ascii="宋体" w:hAnsi="宋体" w:eastAsia="宋体" w:cs="宋体"/>
        <w:spacing w:val="9"/>
        <w:sz w:val="17"/>
        <w:szCs w:val="17"/>
      </w:rPr>
      <w:t xml:space="preserve"> </w:t>
    </w:r>
    <w:r>
      <w:rPr>
        <w:rFonts w:ascii="宋体" w:hAnsi="宋体" w:eastAsia="宋体" w:cs="宋体"/>
        <w:spacing w:val="-5"/>
        <w:sz w:val="17"/>
        <w:szCs w:val="17"/>
      </w:rPr>
      <w:t>源</w:t>
    </w:r>
    <w:r>
      <w:rPr>
        <w:rFonts w:ascii="宋体" w:hAnsi="宋体" w:eastAsia="宋体" w:cs="宋体"/>
        <w:spacing w:val="10"/>
        <w:sz w:val="17"/>
        <w:szCs w:val="17"/>
      </w:rPr>
      <w:t xml:space="preserve"> </w:t>
    </w:r>
    <w:r>
      <w:rPr>
        <w:rFonts w:ascii="宋体" w:hAnsi="宋体" w:eastAsia="宋体" w:cs="宋体"/>
        <w:spacing w:val="-5"/>
        <w:sz w:val="17"/>
        <w:szCs w:val="17"/>
      </w:rPr>
      <w:t>制</w:t>
    </w:r>
    <w:r>
      <w:rPr>
        <w:rFonts w:ascii="宋体" w:hAnsi="宋体" w:eastAsia="宋体" w:cs="宋体"/>
        <w:spacing w:val="8"/>
        <w:sz w:val="17"/>
        <w:szCs w:val="17"/>
      </w:rPr>
      <w:t xml:space="preserve"> </w:t>
    </w:r>
    <w:r>
      <w:rPr>
        <w:rFonts w:ascii="宋体" w:hAnsi="宋体" w:eastAsia="宋体" w:cs="宋体"/>
        <w:spacing w:val="-5"/>
        <w:sz w:val="17"/>
        <w:szCs w:val="17"/>
      </w:rPr>
      <w:t>度</w:t>
    </w:r>
    <w:r>
      <w:rPr>
        <w:rFonts w:ascii="宋体" w:hAnsi="宋体" w:eastAsia="宋体" w:cs="宋体"/>
        <w:sz w:val="17"/>
        <w:szCs w:val="17"/>
      </w:rPr>
      <w:t xml:space="preserve">                                         </w:t>
    </w:r>
    <w:r>
      <w:rPr>
        <w:rFonts w:ascii="宋体" w:hAnsi="宋体" w:eastAsia="宋体" w:cs="宋体"/>
        <w:spacing w:val="-5"/>
        <w:position w:val="-1"/>
        <w:sz w:val="19"/>
        <w:szCs w:val="19"/>
      </w:rPr>
      <w:t>—49—</w: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B4284C">
    <w:pPr>
      <w:spacing w:line="175" w:lineRule="auto"/>
      <w:ind w:left="4"/>
      <w:rPr>
        <w:rFonts w:ascii="宋体" w:hAnsi="宋体" w:eastAsia="宋体" w:cs="宋体"/>
        <w:sz w:val="21"/>
        <w:szCs w:val="21"/>
      </w:rPr>
    </w:pPr>
    <w:r>
      <w:rPr>
        <w:rFonts w:ascii="宋体" w:hAnsi="宋体" w:eastAsia="宋体" w:cs="宋体"/>
        <w:spacing w:val="-21"/>
        <w:w w:val="96"/>
        <w:sz w:val="21"/>
        <w:szCs w:val="21"/>
      </w:rPr>
      <w:t>—50—</w:t>
    </w:r>
    <w:r>
      <w:rPr>
        <w:rFonts w:ascii="宋体" w:hAnsi="宋体" w:eastAsia="宋体" w:cs="宋体"/>
        <w:spacing w:val="-82"/>
        <w:sz w:val="21"/>
        <w:szCs w:val="21"/>
      </w:rPr>
      <w:t xml:space="preserve"> </w:t>
    </w:r>
    <w:r>
      <w:rPr>
        <w:rFonts w:ascii="宋体" w:hAnsi="宋体" w:eastAsia="宋体" w:cs="宋体"/>
        <w:spacing w:val="1"/>
        <w:sz w:val="21"/>
        <w:szCs w:val="21"/>
        <w:u w:val="single" w:color="auto"/>
      </w:rPr>
      <w:t xml:space="preserve">                              </w:t>
    </w:r>
    <w:r>
      <w:rPr>
        <w:rFonts w:ascii="宋体" w:hAnsi="宋体" w:eastAsia="宋体" w:cs="宋体"/>
        <w:sz w:val="21"/>
        <w:szCs w:val="21"/>
        <w:u w:val="single" w:color="auto"/>
      </w:rPr>
      <w:t xml:space="preserve">  </w:t>
    </w:r>
    <w:r>
      <w:rPr>
        <w:rFonts w:ascii="宋体" w:hAnsi="宋体" w:eastAsia="宋体" w:cs="宋体"/>
        <w:spacing w:val="-21"/>
        <w:w w:val="96"/>
        <w:sz w:val="21"/>
        <w:szCs w:val="21"/>
        <w:u w:val="single" w:color="auto"/>
      </w:rPr>
      <w:t>福</w:t>
    </w:r>
    <w:r>
      <w:rPr>
        <w:rFonts w:ascii="宋体" w:hAnsi="宋体" w:eastAsia="宋体" w:cs="宋体"/>
        <w:spacing w:val="-21"/>
        <w:sz w:val="21"/>
        <w:szCs w:val="21"/>
        <w:u w:val="single" w:color="auto"/>
      </w:rPr>
      <w:t xml:space="preserve"> </w:t>
    </w:r>
    <w:r>
      <w:rPr>
        <w:rFonts w:ascii="宋体" w:hAnsi="宋体" w:eastAsia="宋体" w:cs="宋体"/>
        <w:spacing w:val="-21"/>
        <w:w w:val="96"/>
        <w:sz w:val="21"/>
        <w:szCs w:val="21"/>
        <w:u w:val="single" w:color="auto"/>
      </w:rPr>
      <w:t>建</w:t>
    </w:r>
    <w:r>
      <w:rPr>
        <w:rFonts w:ascii="宋体" w:hAnsi="宋体" w:eastAsia="宋体" w:cs="宋体"/>
        <w:spacing w:val="-20"/>
        <w:sz w:val="21"/>
        <w:szCs w:val="21"/>
        <w:u w:val="single" w:color="auto"/>
      </w:rPr>
      <w:t xml:space="preserve"> </w:t>
    </w:r>
    <w:r>
      <w:rPr>
        <w:rFonts w:ascii="宋体" w:hAnsi="宋体" w:eastAsia="宋体" w:cs="宋体"/>
        <w:spacing w:val="-21"/>
        <w:w w:val="96"/>
        <w:sz w:val="21"/>
        <w:szCs w:val="21"/>
        <w:u w:val="single" w:color="auto"/>
      </w:rPr>
      <w:t>省 能</w:t>
    </w:r>
    <w:r>
      <w:rPr>
        <w:rFonts w:ascii="宋体" w:hAnsi="宋体" w:eastAsia="宋体" w:cs="宋体"/>
        <w:spacing w:val="-25"/>
        <w:sz w:val="21"/>
        <w:szCs w:val="21"/>
        <w:u w:val="single" w:color="auto"/>
      </w:rPr>
      <w:t xml:space="preserve"> </w:t>
    </w:r>
    <w:r>
      <w:rPr>
        <w:rFonts w:ascii="宋体" w:hAnsi="宋体" w:eastAsia="宋体" w:cs="宋体"/>
        <w:spacing w:val="-21"/>
        <w:w w:val="96"/>
        <w:sz w:val="21"/>
        <w:szCs w:val="21"/>
        <w:u w:val="single" w:color="auto"/>
      </w:rPr>
      <w:t>源</w:t>
    </w:r>
    <w:r>
      <w:rPr>
        <w:rFonts w:ascii="宋体" w:hAnsi="宋体" w:eastAsia="宋体" w:cs="宋体"/>
        <w:spacing w:val="-23"/>
        <w:sz w:val="21"/>
        <w:szCs w:val="21"/>
        <w:u w:val="single" w:color="auto"/>
      </w:rPr>
      <w:t xml:space="preserve"> </w:t>
    </w:r>
    <w:r>
      <w:rPr>
        <w:rFonts w:ascii="宋体" w:hAnsi="宋体" w:eastAsia="宋体" w:cs="宋体"/>
        <w:spacing w:val="-21"/>
        <w:w w:val="96"/>
        <w:sz w:val="21"/>
        <w:szCs w:val="21"/>
        <w:u w:val="single" w:color="auto"/>
      </w:rPr>
      <w:t>制</w:t>
    </w:r>
    <w:r>
      <w:rPr>
        <w:rFonts w:ascii="宋体" w:hAnsi="宋体" w:eastAsia="宋体" w:cs="宋体"/>
        <w:spacing w:val="-24"/>
        <w:sz w:val="21"/>
        <w:szCs w:val="21"/>
        <w:u w:val="single" w:color="auto"/>
      </w:rPr>
      <w:t xml:space="preserve"> </w:t>
    </w:r>
    <w:r>
      <w:rPr>
        <w:rFonts w:ascii="宋体" w:hAnsi="宋体" w:eastAsia="宋体" w:cs="宋体"/>
        <w:spacing w:val="-21"/>
        <w:w w:val="96"/>
        <w:sz w:val="21"/>
        <w:szCs w:val="21"/>
        <w:u w:val="single" w:color="auto"/>
      </w:rPr>
      <w:t>度</w:t>
    </w:r>
    <w:r>
      <w:rPr>
        <w:rFonts w:ascii="宋体" w:hAnsi="宋体" w:eastAsia="宋体" w:cs="宋体"/>
        <w:sz w:val="21"/>
        <w:szCs w:val="21"/>
        <w:u w:val="single" w:color="auto"/>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44BA33">
    <w:pPr>
      <w:spacing w:line="219" w:lineRule="auto"/>
      <w:ind w:left="1"/>
      <w:rPr>
        <w:rFonts w:ascii="宋体" w:hAnsi="宋体" w:eastAsia="宋体" w:cs="宋体"/>
        <w:sz w:val="18"/>
        <w:szCs w:val="18"/>
      </w:rPr>
    </w:pPr>
    <w:r>
      <w:drawing>
        <wp:anchor distT="0" distB="0" distL="0" distR="0" simplePos="0" relativeHeight="251666432" behindDoc="0" locked="0" layoutInCell="0" allowOverlap="1">
          <wp:simplePos x="0" y="0"/>
          <wp:positionH relativeFrom="page">
            <wp:posOffset>786765</wp:posOffset>
          </wp:positionH>
          <wp:positionV relativeFrom="page">
            <wp:posOffset>697865</wp:posOffset>
          </wp:positionV>
          <wp:extent cx="5981700" cy="6350"/>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
                  <a:stretch>
                    <a:fillRect/>
                  </a:stretch>
                </pic:blipFill>
                <pic:spPr>
                  <a:xfrm>
                    <a:off x="0" y="0"/>
                    <a:ext cx="5981761" cy="6350"/>
                  </a:xfrm>
                  <a:prstGeom prst="rect">
                    <a:avLst/>
                  </a:prstGeom>
                </pic:spPr>
              </pic:pic>
            </a:graphicData>
          </a:graphic>
        </wp:anchor>
      </w:drawing>
    </w:r>
    <w:r>
      <w:rPr>
        <w:rFonts w:ascii="宋体" w:hAnsi="宋体" w:eastAsia="宋体" w:cs="宋体"/>
        <w:b/>
        <w:bCs/>
        <w:spacing w:val="-13"/>
        <w:w w:val="97"/>
        <w:position w:val="-1"/>
        <w:sz w:val="18"/>
        <w:szCs w:val="18"/>
      </w:rPr>
      <w:t>—6—</w:t>
    </w:r>
    <w:r>
      <w:rPr>
        <w:rFonts w:ascii="宋体" w:hAnsi="宋体" w:eastAsia="宋体" w:cs="宋体"/>
        <w:spacing w:val="1"/>
        <w:position w:val="-1"/>
        <w:sz w:val="18"/>
        <w:szCs w:val="18"/>
      </w:rPr>
      <w:t xml:space="preserve">                          </w:t>
    </w:r>
    <w:r>
      <w:rPr>
        <w:rFonts w:ascii="宋体" w:hAnsi="宋体" w:eastAsia="宋体" w:cs="宋体"/>
        <w:position w:val="-1"/>
        <w:sz w:val="18"/>
        <w:szCs w:val="18"/>
      </w:rPr>
      <w:t xml:space="preserve">                </w:t>
    </w:r>
    <w:r>
      <w:rPr>
        <w:rFonts w:ascii="宋体" w:hAnsi="宋体" w:eastAsia="宋体" w:cs="宋体"/>
        <w:spacing w:val="-13"/>
        <w:w w:val="97"/>
        <w:sz w:val="18"/>
        <w:szCs w:val="18"/>
      </w:rPr>
      <w:t>福建省能源制度</w: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46A250">
    <w:pPr>
      <w:spacing w:line="175" w:lineRule="auto"/>
      <w:ind w:left="3509"/>
      <w:rPr>
        <w:rFonts w:ascii="宋体" w:hAnsi="宋体" w:eastAsia="宋体" w:cs="宋体"/>
        <w:sz w:val="21"/>
        <w:szCs w:val="21"/>
      </w:rPr>
    </w:pPr>
    <w:r>
      <w:drawing>
        <wp:anchor distT="0" distB="0" distL="0" distR="0" simplePos="0" relativeHeight="251721728" behindDoc="0" locked="0" layoutInCell="1" allowOverlap="1">
          <wp:simplePos x="0" y="0"/>
          <wp:positionH relativeFrom="column">
            <wp:posOffset>0</wp:posOffset>
          </wp:positionH>
          <wp:positionV relativeFrom="paragraph">
            <wp:posOffset>127000</wp:posOffset>
          </wp:positionV>
          <wp:extent cx="5989955" cy="6350"/>
          <wp:effectExtent l="0" t="0" r="0" b="0"/>
          <wp:wrapNone/>
          <wp:docPr id="92" name="IM 92"/>
          <wp:cNvGraphicFramePr/>
          <a:graphic xmlns:a="http://schemas.openxmlformats.org/drawingml/2006/main">
            <a:graphicData uri="http://schemas.openxmlformats.org/drawingml/2006/picture">
              <pic:pic xmlns:pic="http://schemas.openxmlformats.org/drawingml/2006/picture">
                <pic:nvPicPr>
                  <pic:cNvPr id="92" name="IM 92"/>
                  <pic:cNvPicPr/>
                </pic:nvPicPr>
                <pic:blipFill>
                  <a:blip r:embed="rId1"/>
                  <a:stretch>
                    <a:fillRect/>
                  </a:stretch>
                </pic:blipFill>
                <pic:spPr>
                  <a:xfrm>
                    <a:off x="0" y="0"/>
                    <a:ext cx="5990180" cy="6667"/>
                  </a:xfrm>
                  <a:prstGeom prst="rect">
                    <a:avLst/>
                  </a:prstGeom>
                </pic:spPr>
              </pic:pic>
            </a:graphicData>
          </a:graphic>
        </wp:anchor>
      </w:drawing>
    </w:r>
    <w:r>
      <w:pict>
        <v:shape id="_x0000_s2063" o:spid="_x0000_s2063" o:spt="202" type="#_x0000_t202" style="position:absolute;left:0pt;margin-left:461.1pt;margin-top:4pt;height:8.5pt;width:11.55pt;z-index:251720704;mso-width-relative:page;mso-height-relative:page;" filled="f" stroked="f" coordsize="21600,21600">
          <v:path/>
          <v:fill on="f" focussize="0,0"/>
          <v:stroke on="f"/>
          <v:imagedata o:title=""/>
          <o:lock v:ext="edit" aspectratio="f"/>
          <v:textbox inset="0mm,0mm,0mm,0mm">
            <w:txbxContent>
              <w:p w14:paraId="267CBD04">
                <w:pPr>
                  <w:spacing w:before="19" w:line="184" w:lineRule="auto"/>
                  <w:ind w:left="20"/>
                  <w:rPr>
                    <w:rFonts w:ascii="宋体" w:hAnsi="宋体" w:eastAsia="宋体" w:cs="宋体"/>
                    <w:sz w:val="13"/>
                    <w:szCs w:val="13"/>
                  </w:rPr>
                </w:pPr>
                <w:r>
                  <w:rPr>
                    <w:rFonts w:ascii="宋体" w:hAnsi="宋体" w:eastAsia="宋体" w:cs="宋体"/>
                    <w:spacing w:val="-1"/>
                    <w:sz w:val="13"/>
                    <w:szCs w:val="13"/>
                  </w:rPr>
                  <w:t>-51</w:t>
                </w:r>
              </w:p>
            </w:txbxContent>
          </v:textbox>
        </v:shape>
      </w:pict>
    </w:r>
    <w:r>
      <w:rPr>
        <w:rFonts w:ascii="宋体" w:hAnsi="宋体" w:eastAsia="宋体" w:cs="宋体"/>
        <w:spacing w:val="-9"/>
        <w:sz w:val="21"/>
        <w:szCs w:val="21"/>
      </w:rPr>
      <w:t>福</w:t>
    </w:r>
    <w:r>
      <w:rPr>
        <w:rFonts w:ascii="宋体" w:hAnsi="宋体" w:eastAsia="宋体" w:cs="宋体"/>
        <w:spacing w:val="-33"/>
        <w:sz w:val="21"/>
        <w:szCs w:val="21"/>
      </w:rPr>
      <w:t xml:space="preserve"> </w:t>
    </w:r>
    <w:r>
      <w:rPr>
        <w:rFonts w:ascii="宋体" w:hAnsi="宋体" w:eastAsia="宋体" w:cs="宋体"/>
        <w:spacing w:val="-9"/>
        <w:sz w:val="21"/>
        <w:szCs w:val="21"/>
      </w:rPr>
      <w:t>建</w:t>
    </w:r>
    <w:r>
      <w:rPr>
        <w:rFonts w:ascii="宋体" w:hAnsi="宋体" w:eastAsia="宋体" w:cs="宋体"/>
        <w:spacing w:val="-32"/>
        <w:sz w:val="21"/>
        <w:szCs w:val="21"/>
      </w:rPr>
      <w:t xml:space="preserve"> </w:t>
    </w:r>
    <w:r>
      <w:rPr>
        <w:rFonts w:ascii="宋体" w:hAnsi="宋体" w:eastAsia="宋体" w:cs="宋体"/>
        <w:spacing w:val="-9"/>
        <w:sz w:val="21"/>
        <w:szCs w:val="21"/>
      </w:rPr>
      <w:t>省</w:t>
    </w:r>
    <w:r>
      <w:rPr>
        <w:rFonts w:ascii="宋体" w:hAnsi="宋体" w:eastAsia="宋体" w:cs="宋体"/>
        <w:spacing w:val="-27"/>
        <w:sz w:val="21"/>
        <w:szCs w:val="21"/>
      </w:rPr>
      <w:t xml:space="preserve"> </w:t>
    </w:r>
    <w:r>
      <w:rPr>
        <w:rFonts w:ascii="宋体" w:hAnsi="宋体" w:eastAsia="宋体" w:cs="宋体"/>
        <w:spacing w:val="-9"/>
        <w:sz w:val="21"/>
        <w:szCs w:val="21"/>
      </w:rPr>
      <w:t>能</w:t>
    </w:r>
    <w:r>
      <w:rPr>
        <w:rFonts w:ascii="宋体" w:hAnsi="宋体" w:eastAsia="宋体" w:cs="宋体"/>
        <w:spacing w:val="-36"/>
        <w:sz w:val="21"/>
        <w:szCs w:val="21"/>
      </w:rPr>
      <w:t xml:space="preserve"> </w:t>
    </w:r>
    <w:r>
      <w:rPr>
        <w:rFonts w:ascii="宋体" w:hAnsi="宋体" w:eastAsia="宋体" w:cs="宋体"/>
        <w:spacing w:val="-9"/>
        <w:sz w:val="21"/>
        <w:szCs w:val="21"/>
      </w:rPr>
      <w:t>源</w:t>
    </w:r>
    <w:r>
      <w:rPr>
        <w:rFonts w:ascii="宋体" w:hAnsi="宋体" w:eastAsia="宋体" w:cs="宋体"/>
        <w:spacing w:val="-34"/>
        <w:sz w:val="21"/>
        <w:szCs w:val="21"/>
      </w:rPr>
      <w:t xml:space="preserve"> </w:t>
    </w:r>
    <w:r>
      <w:rPr>
        <w:rFonts w:ascii="宋体" w:hAnsi="宋体" w:eastAsia="宋体" w:cs="宋体"/>
        <w:spacing w:val="-9"/>
        <w:sz w:val="21"/>
        <w:szCs w:val="21"/>
      </w:rPr>
      <w:t>制</w:t>
    </w:r>
    <w:r>
      <w:rPr>
        <w:rFonts w:ascii="宋体" w:hAnsi="宋体" w:eastAsia="宋体" w:cs="宋体"/>
        <w:spacing w:val="-36"/>
        <w:sz w:val="21"/>
        <w:szCs w:val="21"/>
      </w:rPr>
      <w:t xml:space="preserve"> </w:t>
    </w:r>
    <w:r>
      <w:rPr>
        <w:rFonts w:ascii="宋体" w:hAnsi="宋体" w:eastAsia="宋体" w:cs="宋体"/>
        <w:spacing w:val="-9"/>
        <w:sz w:val="21"/>
        <w:szCs w:val="21"/>
      </w:rPr>
      <w:t>度</w: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3916C">
    <w:pPr>
      <w:spacing w:line="175" w:lineRule="auto"/>
      <w:ind w:left="3"/>
      <w:rPr>
        <w:rFonts w:ascii="宋体" w:hAnsi="宋体" w:eastAsia="宋体" w:cs="宋体"/>
        <w:sz w:val="21"/>
        <w:szCs w:val="21"/>
      </w:rPr>
    </w:pPr>
    <w:r>
      <w:rPr>
        <w:rFonts w:ascii="宋体" w:hAnsi="宋体" w:eastAsia="宋体" w:cs="宋体"/>
        <w:spacing w:val="-20"/>
        <w:w w:val="95"/>
        <w:sz w:val="21"/>
        <w:szCs w:val="21"/>
      </w:rPr>
      <w:t>—52—</w:t>
    </w:r>
    <w:r>
      <w:rPr>
        <w:rFonts w:ascii="宋体" w:hAnsi="宋体" w:eastAsia="宋体" w:cs="宋体"/>
        <w:spacing w:val="-91"/>
        <w:sz w:val="21"/>
        <w:szCs w:val="21"/>
      </w:rPr>
      <w:t xml:space="preserve"> </w:t>
    </w:r>
    <w:r>
      <w:rPr>
        <w:rFonts w:ascii="宋体" w:hAnsi="宋体" w:eastAsia="宋体" w:cs="宋体"/>
        <w:spacing w:val="1"/>
        <w:sz w:val="21"/>
        <w:szCs w:val="21"/>
        <w:u w:val="single" w:color="auto"/>
      </w:rPr>
      <w:t xml:space="preserve">                                </w:t>
    </w:r>
    <w:r>
      <w:rPr>
        <w:rFonts w:ascii="宋体" w:hAnsi="宋体" w:eastAsia="宋体" w:cs="宋体"/>
        <w:spacing w:val="-20"/>
        <w:w w:val="95"/>
        <w:sz w:val="21"/>
        <w:szCs w:val="21"/>
        <w:u w:val="single" w:color="auto"/>
      </w:rPr>
      <w:t>福</w:t>
    </w:r>
    <w:r>
      <w:rPr>
        <w:rFonts w:ascii="宋体" w:hAnsi="宋体" w:eastAsia="宋体" w:cs="宋体"/>
        <w:spacing w:val="-19"/>
        <w:sz w:val="21"/>
        <w:szCs w:val="21"/>
        <w:u w:val="single" w:color="auto"/>
      </w:rPr>
      <w:t xml:space="preserve"> </w:t>
    </w:r>
    <w:r>
      <w:rPr>
        <w:rFonts w:ascii="宋体" w:hAnsi="宋体" w:eastAsia="宋体" w:cs="宋体"/>
        <w:spacing w:val="-20"/>
        <w:w w:val="95"/>
        <w:sz w:val="21"/>
        <w:szCs w:val="21"/>
        <w:u w:val="single" w:color="auto"/>
      </w:rPr>
      <w:t>建</w:t>
    </w:r>
    <w:r>
      <w:rPr>
        <w:rFonts w:ascii="宋体" w:hAnsi="宋体" w:eastAsia="宋体" w:cs="宋体"/>
        <w:spacing w:val="-20"/>
        <w:sz w:val="21"/>
        <w:szCs w:val="21"/>
        <w:u w:val="single" w:color="auto"/>
      </w:rPr>
      <w:t xml:space="preserve"> </w:t>
    </w:r>
    <w:r>
      <w:rPr>
        <w:rFonts w:ascii="宋体" w:hAnsi="宋体" w:eastAsia="宋体" w:cs="宋体"/>
        <w:spacing w:val="-20"/>
        <w:w w:val="95"/>
        <w:sz w:val="21"/>
        <w:szCs w:val="21"/>
        <w:u w:val="single" w:color="auto"/>
      </w:rPr>
      <w:t>省 能</w:t>
    </w:r>
    <w:r>
      <w:rPr>
        <w:rFonts w:ascii="宋体" w:hAnsi="宋体" w:eastAsia="宋体" w:cs="宋体"/>
        <w:spacing w:val="-25"/>
        <w:sz w:val="21"/>
        <w:szCs w:val="21"/>
        <w:u w:val="single" w:color="auto"/>
      </w:rPr>
      <w:t xml:space="preserve"> </w:t>
    </w:r>
    <w:r>
      <w:rPr>
        <w:rFonts w:ascii="宋体" w:hAnsi="宋体" w:eastAsia="宋体" w:cs="宋体"/>
        <w:spacing w:val="-20"/>
        <w:w w:val="95"/>
        <w:sz w:val="21"/>
        <w:szCs w:val="21"/>
        <w:u w:val="single" w:color="auto"/>
      </w:rPr>
      <w:t>源</w:t>
    </w:r>
    <w:r>
      <w:rPr>
        <w:rFonts w:ascii="宋体" w:hAnsi="宋体" w:eastAsia="宋体" w:cs="宋体"/>
        <w:spacing w:val="-22"/>
        <w:sz w:val="21"/>
        <w:szCs w:val="21"/>
        <w:u w:val="single" w:color="auto"/>
      </w:rPr>
      <w:t xml:space="preserve"> </w:t>
    </w:r>
    <w:r>
      <w:rPr>
        <w:rFonts w:ascii="宋体" w:hAnsi="宋体" w:eastAsia="宋体" w:cs="宋体"/>
        <w:spacing w:val="-20"/>
        <w:w w:val="95"/>
        <w:sz w:val="21"/>
        <w:szCs w:val="21"/>
        <w:u w:val="single" w:color="auto"/>
      </w:rPr>
      <w:t>制</w:t>
    </w:r>
    <w:r>
      <w:rPr>
        <w:rFonts w:ascii="宋体" w:hAnsi="宋体" w:eastAsia="宋体" w:cs="宋体"/>
        <w:spacing w:val="-25"/>
        <w:sz w:val="21"/>
        <w:szCs w:val="21"/>
        <w:u w:val="single" w:color="auto"/>
      </w:rPr>
      <w:t xml:space="preserve"> </w:t>
    </w:r>
    <w:r>
      <w:rPr>
        <w:rFonts w:ascii="宋体" w:hAnsi="宋体" w:eastAsia="宋体" w:cs="宋体"/>
        <w:spacing w:val="-20"/>
        <w:w w:val="95"/>
        <w:sz w:val="21"/>
        <w:szCs w:val="21"/>
        <w:u w:val="single" w:color="auto"/>
      </w:rPr>
      <w:t>度</w:t>
    </w:r>
    <w:r>
      <w:rPr>
        <w:rFonts w:ascii="宋体" w:hAnsi="宋体" w:eastAsia="宋体" w:cs="宋体"/>
        <w:sz w:val="21"/>
        <w:szCs w:val="21"/>
        <w:u w:val="single" w:color="auto"/>
      </w:rPr>
      <w:t xml:space="preserve">                                    </w: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657BC7">
    <w:pPr>
      <w:tabs>
        <w:tab w:val="left" w:pos="3672"/>
      </w:tabs>
      <w:spacing w:line="175" w:lineRule="auto"/>
      <w:rPr>
        <w:rFonts w:ascii="宋体" w:hAnsi="宋体" w:eastAsia="宋体" w:cs="宋体"/>
        <w:sz w:val="21"/>
        <w:szCs w:val="21"/>
      </w:rPr>
    </w:pPr>
    <w:r>
      <w:rPr>
        <w:rFonts w:ascii="宋体" w:hAnsi="宋体" w:eastAsia="宋体" w:cs="宋体"/>
        <w:sz w:val="21"/>
        <w:szCs w:val="21"/>
        <w:u w:val="single" w:color="auto"/>
      </w:rPr>
      <w:tab/>
    </w:r>
    <w:r>
      <w:rPr>
        <w:rFonts w:ascii="宋体" w:hAnsi="宋体" w:eastAsia="宋体" w:cs="宋体"/>
        <w:spacing w:val="-18"/>
        <w:w w:val="97"/>
        <w:sz w:val="21"/>
        <w:szCs w:val="21"/>
        <w:u w:val="single" w:color="auto"/>
      </w:rPr>
      <w:t>福</w:t>
    </w:r>
    <w:r>
      <w:rPr>
        <w:rFonts w:ascii="宋体" w:hAnsi="宋体" w:eastAsia="宋体" w:cs="宋体"/>
        <w:spacing w:val="-24"/>
        <w:sz w:val="21"/>
        <w:szCs w:val="21"/>
        <w:u w:val="single" w:color="auto"/>
      </w:rPr>
      <w:t xml:space="preserve"> </w:t>
    </w:r>
    <w:r>
      <w:rPr>
        <w:rFonts w:ascii="宋体" w:hAnsi="宋体" w:eastAsia="宋体" w:cs="宋体"/>
        <w:spacing w:val="-18"/>
        <w:w w:val="97"/>
        <w:sz w:val="21"/>
        <w:szCs w:val="21"/>
        <w:u w:val="single" w:color="auto"/>
      </w:rPr>
      <w:t>建</w:t>
    </w:r>
    <w:r>
      <w:rPr>
        <w:rFonts w:ascii="宋体" w:hAnsi="宋体" w:eastAsia="宋体" w:cs="宋体"/>
        <w:spacing w:val="-24"/>
        <w:sz w:val="21"/>
        <w:szCs w:val="21"/>
        <w:u w:val="single" w:color="auto"/>
      </w:rPr>
      <w:t xml:space="preserve"> </w:t>
    </w:r>
    <w:r>
      <w:rPr>
        <w:rFonts w:ascii="宋体" w:hAnsi="宋体" w:eastAsia="宋体" w:cs="宋体"/>
        <w:spacing w:val="-18"/>
        <w:w w:val="97"/>
        <w:sz w:val="21"/>
        <w:szCs w:val="21"/>
        <w:u w:val="single" w:color="auto"/>
      </w:rPr>
      <w:t>省</w:t>
    </w:r>
    <w:r>
      <w:rPr>
        <w:rFonts w:ascii="宋体" w:hAnsi="宋体" w:eastAsia="宋体" w:cs="宋体"/>
        <w:spacing w:val="-19"/>
        <w:sz w:val="21"/>
        <w:szCs w:val="21"/>
        <w:u w:val="single" w:color="auto"/>
      </w:rPr>
      <w:t xml:space="preserve"> </w:t>
    </w:r>
    <w:r>
      <w:rPr>
        <w:rFonts w:ascii="宋体" w:hAnsi="宋体" w:eastAsia="宋体" w:cs="宋体"/>
        <w:spacing w:val="-18"/>
        <w:w w:val="97"/>
        <w:sz w:val="21"/>
        <w:szCs w:val="21"/>
        <w:u w:val="single" w:color="auto"/>
      </w:rPr>
      <w:t>能</w:t>
    </w:r>
    <w:r>
      <w:rPr>
        <w:rFonts w:ascii="宋体" w:hAnsi="宋体" w:eastAsia="宋体" w:cs="宋体"/>
        <w:spacing w:val="-28"/>
        <w:sz w:val="21"/>
        <w:szCs w:val="21"/>
        <w:u w:val="single" w:color="auto"/>
      </w:rPr>
      <w:t xml:space="preserve"> </w:t>
    </w:r>
    <w:r>
      <w:rPr>
        <w:rFonts w:ascii="宋体" w:hAnsi="宋体" w:eastAsia="宋体" w:cs="宋体"/>
        <w:spacing w:val="-18"/>
        <w:w w:val="97"/>
        <w:sz w:val="21"/>
        <w:szCs w:val="21"/>
        <w:u w:val="single" w:color="auto"/>
      </w:rPr>
      <w:t>源</w:t>
    </w:r>
    <w:r>
      <w:rPr>
        <w:rFonts w:ascii="宋体" w:hAnsi="宋体" w:eastAsia="宋体" w:cs="宋体"/>
        <w:spacing w:val="-26"/>
        <w:sz w:val="21"/>
        <w:szCs w:val="21"/>
        <w:u w:val="single" w:color="auto"/>
      </w:rPr>
      <w:t xml:space="preserve"> </w:t>
    </w:r>
    <w:r>
      <w:rPr>
        <w:rFonts w:ascii="宋体" w:hAnsi="宋体" w:eastAsia="宋体" w:cs="宋体"/>
        <w:spacing w:val="-18"/>
        <w:w w:val="97"/>
        <w:sz w:val="21"/>
        <w:szCs w:val="21"/>
        <w:u w:val="single" w:color="auto"/>
      </w:rPr>
      <w:t>制</w:t>
    </w:r>
    <w:r>
      <w:rPr>
        <w:rFonts w:ascii="宋体" w:hAnsi="宋体" w:eastAsia="宋体" w:cs="宋体"/>
        <w:spacing w:val="-28"/>
        <w:sz w:val="21"/>
        <w:szCs w:val="21"/>
        <w:u w:val="single" w:color="auto"/>
      </w:rPr>
      <w:t xml:space="preserve"> </w:t>
    </w:r>
    <w:r>
      <w:rPr>
        <w:rFonts w:ascii="宋体" w:hAnsi="宋体" w:eastAsia="宋体" w:cs="宋体"/>
        <w:spacing w:val="-18"/>
        <w:w w:val="97"/>
        <w:sz w:val="21"/>
        <w:szCs w:val="21"/>
        <w:u w:val="single" w:color="auto"/>
      </w:rPr>
      <w:t>度</w:t>
    </w:r>
    <w:r>
      <w:rPr>
        <w:rFonts w:ascii="宋体" w:hAnsi="宋体" w:eastAsia="宋体" w:cs="宋体"/>
        <w:spacing w:val="3"/>
        <w:sz w:val="21"/>
        <w:szCs w:val="21"/>
        <w:u w:val="single" w:color="auto"/>
      </w:rPr>
      <w:t xml:space="preserve">                           </w:t>
    </w:r>
    <w:r>
      <w:rPr>
        <w:rFonts w:ascii="宋体" w:hAnsi="宋体" w:eastAsia="宋体" w:cs="宋体"/>
        <w:spacing w:val="2"/>
        <w:sz w:val="21"/>
        <w:szCs w:val="21"/>
        <w:u w:val="single" w:color="auto"/>
      </w:rPr>
      <w:t xml:space="preserve">       </w:t>
    </w:r>
    <w:r>
      <w:rPr>
        <w:rFonts w:ascii="宋体" w:hAnsi="宋体" w:eastAsia="宋体" w:cs="宋体"/>
        <w:spacing w:val="-3"/>
        <w:w w:val="33"/>
        <w:sz w:val="21"/>
        <w:szCs w:val="21"/>
      </w:rPr>
      <w:t>—</w:t>
    </w:r>
    <w:r>
      <w:rPr>
        <w:rFonts w:ascii="宋体" w:hAnsi="宋体" w:eastAsia="宋体" w:cs="宋体"/>
        <w:spacing w:val="-18"/>
        <w:w w:val="97"/>
        <w:sz w:val="21"/>
        <w:szCs w:val="21"/>
      </w:rPr>
      <w:t>53</w:t>
    </w:r>
    <w:r>
      <w:rPr>
        <w:rFonts w:ascii="宋体" w:hAnsi="宋体" w:eastAsia="宋体" w:cs="宋体"/>
        <w:spacing w:val="-3"/>
        <w:w w:val="33"/>
        <w:sz w:val="21"/>
        <w:szCs w:val="21"/>
      </w:rPr>
      <w:t>—</w: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11929">
    <w:pPr>
      <w:spacing w:line="219" w:lineRule="auto"/>
      <w:rPr>
        <w:rFonts w:ascii="宋体" w:hAnsi="宋体" w:eastAsia="宋体" w:cs="宋体"/>
        <w:sz w:val="21"/>
        <w:szCs w:val="21"/>
      </w:rPr>
    </w:pPr>
    <w:r>
      <w:drawing>
        <wp:anchor distT="0" distB="0" distL="0" distR="0" simplePos="0" relativeHeight="251722752" behindDoc="0" locked="0" layoutInCell="0" allowOverlap="1">
          <wp:simplePos x="0" y="0"/>
          <wp:positionH relativeFrom="page">
            <wp:posOffset>786765</wp:posOffset>
          </wp:positionH>
          <wp:positionV relativeFrom="page">
            <wp:posOffset>697865</wp:posOffset>
          </wp:positionV>
          <wp:extent cx="5981700" cy="6350"/>
          <wp:effectExtent l="0" t="0" r="0" b="0"/>
          <wp:wrapNone/>
          <wp:docPr id="94" name="IM 94"/>
          <wp:cNvGraphicFramePr/>
          <a:graphic xmlns:a="http://schemas.openxmlformats.org/drawingml/2006/main">
            <a:graphicData uri="http://schemas.openxmlformats.org/drawingml/2006/picture">
              <pic:pic xmlns:pic="http://schemas.openxmlformats.org/drawingml/2006/picture">
                <pic:nvPicPr>
                  <pic:cNvPr id="94" name="IM 94"/>
                  <pic:cNvPicPr/>
                </pic:nvPicPr>
                <pic:blipFill>
                  <a:blip r:embed="rId1"/>
                  <a:stretch>
                    <a:fillRect/>
                  </a:stretch>
                </pic:blipFill>
                <pic:spPr>
                  <a:xfrm>
                    <a:off x="0" y="0"/>
                    <a:ext cx="5981761" cy="6350"/>
                  </a:xfrm>
                  <a:prstGeom prst="rect">
                    <a:avLst/>
                  </a:prstGeom>
                </pic:spPr>
              </pic:pic>
            </a:graphicData>
          </a:graphic>
        </wp:anchor>
      </w:drawing>
    </w:r>
    <w:r>
      <w:rPr>
        <w:rFonts w:ascii="宋体" w:hAnsi="宋体" w:eastAsia="宋体" w:cs="宋体"/>
        <w:spacing w:val="-14"/>
        <w:w w:val="86"/>
        <w:sz w:val="21"/>
        <w:szCs w:val="21"/>
      </w:rPr>
      <w:t>—54—</w:t>
    </w:r>
    <w:r>
      <w:rPr>
        <w:rFonts w:ascii="宋体" w:hAnsi="宋体" w:eastAsia="宋体" w:cs="宋体"/>
        <w:spacing w:val="1"/>
        <w:sz w:val="21"/>
        <w:szCs w:val="21"/>
      </w:rPr>
      <w:t xml:space="preserve">                                   </w:t>
    </w:r>
    <w:r>
      <w:rPr>
        <w:rFonts w:ascii="宋体" w:hAnsi="宋体" w:eastAsia="宋体" w:cs="宋体"/>
        <w:spacing w:val="-14"/>
        <w:w w:val="86"/>
        <w:sz w:val="21"/>
        <w:szCs w:val="21"/>
      </w:rPr>
      <w:t>福建省能源制度</w: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9A7E54">
    <w:pPr>
      <w:spacing w:line="185" w:lineRule="auto"/>
      <w:ind w:left="3509"/>
      <w:rPr>
        <w:rFonts w:ascii="宋体" w:hAnsi="宋体" w:eastAsia="宋体" w:cs="宋体"/>
        <w:sz w:val="21"/>
        <w:szCs w:val="21"/>
      </w:rPr>
    </w:pPr>
    <w:r>
      <w:drawing>
        <wp:anchor distT="0" distB="0" distL="0" distR="0" simplePos="0" relativeHeight="251723776" behindDoc="0" locked="0" layoutInCell="1" allowOverlap="1">
          <wp:simplePos x="0" y="0"/>
          <wp:positionH relativeFrom="column">
            <wp:posOffset>0</wp:posOffset>
          </wp:positionH>
          <wp:positionV relativeFrom="paragraph">
            <wp:posOffset>126365</wp:posOffset>
          </wp:positionV>
          <wp:extent cx="5972810" cy="13970"/>
          <wp:effectExtent l="0" t="0" r="0" b="0"/>
          <wp:wrapNone/>
          <wp:docPr id="96" name="IM 96"/>
          <wp:cNvGraphicFramePr/>
          <a:graphic xmlns:a="http://schemas.openxmlformats.org/drawingml/2006/main">
            <a:graphicData uri="http://schemas.openxmlformats.org/drawingml/2006/picture">
              <pic:pic xmlns:pic="http://schemas.openxmlformats.org/drawingml/2006/picture">
                <pic:nvPicPr>
                  <pic:cNvPr id="96" name="IM 96"/>
                  <pic:cNvPicPr/>
                </pic:nvPicPr>
                <pic:blipFill>
                  <a:blip r:embed="rId1"/>
                  <a:stretch>
                    <a:fillRect/>
                  </a:stretch>
                </pic:blipFill>
                <pic:spPr>
                  <a:xfrm>
                    <a:off x="0" y="0"/>
                    <a:ext cx="5972654" cy="13720"/>
                  </a:xfrm>
                  <a:prstGeom prst="rect">
                    <a:avLst/>
                  </a:prstGeom>
                </pic:spPr>
              </pic:pic>
            </a:graphicData>
          </a:graphic>
        </wp:anchor>
      </w:drawing>
    </w:r>
    <w:r>
      <w:rPr>
        <w:rFonts w:ascii="宋体" w:hAnsi="宋体" w:eastAsia="宋体" w:cs="宋体"/>
        <w:spacing w:val="-7"/>
        <w:sz w:val="21"/>
        <w:szCs w:val="21"/>
      </w:rPr>
      <w:t>福</w:t>
    </w:r>
    <w:r>
      <w:rPr>
        <w:rFonts w:ascii="宋体" w:hAnsi="宋体" w:eastAsia="宋体" w:cs="宋体"/>
        <w:spacing w:val="-33"/>
        <w:sz w:val="21"/>
        <w:szCs w:val="21"/>
      </w:rPr>
      <w:t xml:space="preserve"> </w:t>
    </w:r>
    <w:r>
      <w:rPr>
        <w:rFonts w:ascii="宋体" w:hAnsi="宋体" w:eastAsia="宋体" w:cs="宋体"/>
        <w:spacing w:val="-7"/>
        <w:sz w:val="21"/>
        <w:szCs w:val="21"/>
      </w:rPr>
      <w:t>建</w:t>
    </w:r>
    <w:r>
      <w:rPr>
        <w:rFonts w:ascii="宋体" w:hAnsi="宋体" w:eastAsia="宋体" w:cs="宋体"/>
        <w:spacing w:val="-32"/>
        <w:sz w:val="21"/>
        <w:szCs w:val="21"/>
      </w:rPr>
      <w:t xml:space="preserve"> </w:t>
    </w:r>
    <w:r>
      <w:rPr>
        <w:rFonts w:ascii="宋体" w:hAnsi="宋体" w:eastAsia="宋体" w:cs="宋体"/>
        <w:spacing w:val="-7"/>
        <w:sz w:val="21"/>
        <w:szCs w:val="21"/>
      </w:rPr>
      <w:t>省</w:t>
    </w:r>
    <w:r>
      <w:rPr>
        <w:rFonts w:ascii="宋体" w:hAnsi="宋体" w:eastAsia="宋体" w:cs="宋体"/>
        <w:spacing w:val="-27"/>
        <w:sz w:val="21"/>
        <w:szCs w:val="21"/>
      </w:rPr>
      <w:t xml:space="preserve"> </w:t>
    </w:r>
    <w:r>
      <w:rPr>
        <w:rFonts w:ascii="宋体" w:hAnsi="宋体" w:eastAsia="宋体" w:cs="宋体"/>
        <w:spacing w:val="-7"/>
        <w:sz w:val="21"/>
        <w:szCs w:val="21"/>
      </w:rPr>
      <w:t>能</w:t>
    </w:r>
    <w:r>
      <w:rPr>
        <w:rFonts w:ascii="宋体" w:hAnsi="宋体" w:eastAsia="宋体" w:cs="宋体"/>
        <w:spacing w:val="-36"/>
        <w:sz w:val="21"/>
        <w:szCs w:val="21"/>
      </w:rPr>
      <w:t xml:space="preserve"> </w:t>
    </w:r>
    <w:r>
      <w:rPr>
        <w:rFonts w:ascii="宋体" w:hAnsi="宋体" w:eastAsia="宋体" w:cs="宋体"/>
        <w:spacing w:val="-7"/>
        <w:sz w:val="21"/>
        <w:szCs w:val="21"/>
      </w:rPr>
      <w:t>源</w:t>
    </w:r>
    <w:r>
      <w:rPr>
        <w:rFonts w:ascii="宋体" w:hAnsi="宋体" w:eastAsia="宋体" w:cs="宋体"/>
        <w:spacing w:val="-34"/>
        <w:sz w:val="21"/>
        <w:szCs w:val="21"/>
      </w:rPr>
      <w:t xml:space="preserve"> </w:t>
    </w:r>
    <w:r>
      <w:rPr>
        <w:rFonts w:ascii="宋体" w:hAnsi="宋体" w:eastAsia="宋体" w:cs="宋体"/>
        <w:spacing w:val="-7"/>
        <w:sz w:val="21"/>
        <w:szCs w:val="21"/>
      </w:rPr>
      <w:t>制</w:t>
    </w:r>
    <w:r>
      <w:rPr>
        <w:rFonts w:ascii="宋体" w:hAnsi="宋体" w:eastAsia="宋体" w:cs="宋体"/>
        <w:spacing w:val="-36"/>
        <w:sz w:val="21"/>
        <w:szCs w:val="21"/>
      </w:rPr>
      <w:t xml:space="preserve"> </w:t>
    </w:r>
    <w:r>
      <w:rPr>
        <w:rFonts w:ascii="宋体" w:hAnsi="宋体" w:eastAsia="宋体" w:cs="宋体"/>
        <w:spacing w:val="-7"/>
        <w:sz w:val="21"/>
        <w:szCs w:val="21"/>
      </w:rPr>
      <w:t>度</w:t>
    </w:r>
    <w:r>
      <w:rPr>
        <w:rFonts w:ascii="宋体" w:hAnsi="宋体" w:eastAsia="宋体" w:cs="宋体"/>
        <w:spacing w:val="2"/>
        <w:sz w:val="21"/>
        <w:szCs w:val="21"/>
      </w:rPr>
      <w:t xml:space="preserve">                                </w:t>
    </w:r>
    <w:r>
      <w:rPr>
        <w:rFonts w:ascii="宋体" w:hAnsi="宋体" w:eastAsia="宋体" w:cs="宋体"/>
        <w:spacing w:val="-7"/>
        <w:sz w:val="21"/>
        <w:szCs w:val="21"/>
      </w:rPr>
      <w:t>—55—</w: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A657D5">
    <w:pPr>
      <w:spacing w:line="175" w:lineRule="auto"/>
      <w:ind w:left="4"/>
      <w:rPr>
        <w:rFonts w:ascii="宋体" w:hAnsi="宋体" w:eastAsia="宋体" w:cs="宋体"/>
        <w:sz w:val="21"/>
        <w:szCs w:val="21"/>
      </w:rPr>
    </w:pPr>
    <w:r>
      <w:rPr>
        <w:rFonts w:ascii="宋体" w:hAnsi="宋体" w:eastAsia="宋体" w:cs="宋体"/>
        <w:spacing w:val="-21"/>
        <w:w w:val="96"/>
        <w:sz w:val="21"/>
        <w:szCs w:val="21"/>
      </w:rPr>
      <w:t>—56—</w:t>
    </w:r>
    <w:r>
      <w:rPr>
        <w:rFonts w:ascii="宋体" w:hAnsi="宋体" w:eastAsia="宋体" w:cs="宋体"/>
        <w:spacing w:val="-82"/>
        <w:sz w:val="21"/>
        <w:szCs w:val="21"/>
      </w:rPr>
      <w:t xml:space="preserve"> </w:t>
    </w:r>
    <w:r>
      <w:rPr>
        <w:rFonts w:ascii="宋体" w:hAnsi="宋体" w:eastAsia="宋体" w:cs="宋体"/>
        <w:spacing w:val="1"/>
        <w:sz w:val="21"/>
        <w:szCs w:val="21"/>
        <w:u w:val="single" w:color="auto"/>
      </w:rPr>
      <w:t xml:space="preserve">                              </w:t>
    </w:r>
    <w:r>
      <w:rPr>
        <w:rFonts w:ascii="宋体" w:hAnsi="宋体" w:eastAsia="宋体" w:cs="宋体"/>
        <w:sz w:val="21"/>
        <w:szCs w:val="21"/>
        <w:u w:val="single" w:color="auto"/>
      </w:rPr>
      <w:t xml:space="preserve">  </w:t>
    </w:r>
    <w:r>
      <w:rPr>
        <w:rFonts w:ascii="宋体" w:hAnsi="宋体" w:eastAsia="宋体" w:cs="宋体"/>
        <w:spacing w:val="-21"/>
        <w:w w:val="96"/>
        <w:sz w:val="21"/>
        <w:szCs w:val="21"/>
        <w:u w:val="single" w:color="auto"/>
      </w:rPr>
      <w:t>福</w:t>
    </w:r>
    <w:r>
      <w:rPr>
        <w:rFonts w:ascii="宋体" w:hAnsi="宋体" w:eastAsia="宋体" w:cs="宋体"/>
        <w:spacing w:val="-21"/>
        <w:sz w:val="21"/>
        <w:szCs w:val="21"/>
        <w:u w:val="single" w:color="auto"/>
      </w:rPr>
      <w:t xml:space="preserve"> </w:t>
    </w:r>
    <w:r>
      <w:rPr>
        <w:rFonts w:ascii="宋体" w:hAnsi="宋体" w:eastAsia="宋体" w:cs="宋体"/>
        <w:spacing w:val="-21"/>
        <w:w w:val="96"/>
        <w:sz w:val="21"/>
        <w:szCs w:val="21"/>
        <w:u w:val="single" w:color="auto"/>
      </w:rPr>
      <w:t>建</w:t>
    </w:r>
    <w:r>
      <w:rPr>
        <w:rFonts w:ascii="宋体" w:hAnsi="宋体" w:eastAsia="宋体" w:cs="宋体"/>
        <w:spacing w:val="-20"/>
        <w:sz w:val="21"/>
        <w:szCs w:val="21"/>
        <w:u w:val="single" w:color="auto"/>
      </w:rPr>
      <w:t xml:space="preserve"> </w:t>
    </w:r>
    <w:r>
      <w:rPr>
        <w:rFonts w:ascii="宋体" w:hAnsi="宋体" w:eastAsia="宋体" w:cs="宋体"/>
        <w:spacing w:val="-21"/>
        <w:w w:val="96"/>
        <w:sz w:val="21"/>
        <w:szCs w:val="21"/>
        <w:u w:val="single" w:color="auto"/>
      </w:rPr>
      <w:t>省 能</w:t>
    </w:r>
    <w:r>
      <w:rPr>
        <w:rFonts w:ascii="宋体" w:hAnsi="宋体" w:eastAsia="宋体" w:cs="宋体"/>
        <w:spacing w:val="-25"/>
        <w:sz w:val="21"/>
        <w:szCs w:val="21"/>
        <w:u w:val="single" w:color="auto"/>
      </w:rPr>
      <w:t xml:space="preserve"> </w:t>
    </w:r>
    <w:r>
      <w:rPr>
        <w:rFonts w:ascii="宋体" w:hAnsi="宋体" w:eastAsia="宋体" w:cs="宋体"/>
        <w:spacing w:val="-21"/>
        <w:w w:val="96"/>
        <w:sz w:val="21"/>
        <w:szCs w:val="21"/>
        <w:u w:val="single" w:color="auto"/>
      </w:rPr>
      <w:t>源</w:t>
    </w:r>
    <w:r>
      <w:rPr>
        <w:rFonts w:ascii="宋体" w:hAnsi="宋体" w:eastAsia="宋体" w:cs="宋体"/>
        <w:spacing w:val="-23"/>
        <w:sz w:val="21"/>
        <w:szCs w:val="21"/>
        <w:u w:val="single" w:color="auto"/>
      </w:rPr>
      <w:t xml:space="preserve"> </w:t>
    </w:r>
    <w:r>
      <w:rPr>
        <w:rFonts w:ascii="宋体" w:hAnsi="宋体" w:eastAsia="宋体" w:cs="宋体"/>
        <w:spacing w:val="-21"/>
        <w:w w:val="96"/>
        <w:sz w:val="21"/>
        <w:szCs w:val="21"/>
        <w:u w:val="single" w:color="auto"/>
      </w:rPr>
      <w:t>制</w:t>
    </w:r>
    <w:r>
      <w:rPr>
        <w:rFonts w:ascii="宋体" w:hAnsi="宋体" w:eastAsia="宋体" w:cs="宋体"/>
        <w:spacing w:val="-24"/>
        <w:sz w:val="21"/>
        <w:szCs w:val="21"/>
        <w:u w:val="single" w:color="auto"/>
      </w:rPr>
      <w:t xml:space="preserve"> </w:t>
    </w:r>
    <w:r>
      <w:rPr>
        <w:rFonts w:ascii="宋体" w:hAnsi="宋体" w:eastAsia="宋体" w:cs="宋体"/>
        <w:spacing w:val="-21"/>
        <w:w w:val="96"/>
        <w:sz w:val="21"/>
        <w:szCs w:val="21"/>
        <w:u w:val="single" w:color="auto"/>
      </w:rPr>
      <w:t>度</w:t>
    </w:r>
    <w:r>
      <w:rPr>
        <w:rFonts w:ascii="宋体" w:hAnsi="宋体" w:eastAsia="宋体" w:cs="宋体"/>
        <w:sz w:val="21"/>
        <w:szCs w:val="21"/>
        <w:u w:val="single" w:color="auto"/>
      </w:rPr>
      <w:t xml:space="preserve">                                    </w:t>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43D52">
    <w:pPr>
      <w:spacing w:line="219" w:lineRule="auto"/>
      <w:jc w:val="right"/>
      <w:rPr>
        <w:rFonts w:ascii="宋体" w:hAnsi="宋体" w:eastAsia="宋体" w:cs="宋体"/>
        <w:sz w:val="21"/>
        <w:szCs w:val="21"/>
      </w:rPr>
    </w:pPr>
    <w:r>
      <w:drawing>
        <wp:anchor distT="0" distB="0" distL="0" distR="0" simplePos="0" relativeHeight="251724800" behindDoc="0" locked="0" layoutInCell="0" allowOverlap="1">
          <wp:simplePos x="0" y="0"/>
          <wp:positionH relativeFrom="page">
            <wp:posOffset>786765</wp:posOffset>
          </wp:positionH>
          <wp:positionV relativeFrom="page">
            <wp:posOffset>697865</wp:posOffset>
          </wp:positionV>
          <wp:extent cx="5981700" cy="6350"/>
          <wp:effectExtent l="0" t="0" r="0" b="0"/>
          <wp:wrapNone/>
          <wp:docPr id="98" name="IM 98"/>
          <wp:cNvGraphicFramePr/>
          <a:graphic xmlns:a="http://schemas.openxmlformats.org/drawingml/2006/main">
            <a:graphicData uri="http://schemas.openxmlformats.org/drawingml/2006/picture">
              <pic:pic xmlns:pic="http://schemas.openxmlformats.org/drawingml/2006/picture">
                <pic:nvPicPr>
                  <pic:cNvPr id="98" name="IM 98"/>
                  <pic:cNvPicPr/>
                </pic:nvPicPr>
                <pic:blipFill>
                  <a:blip r:embed="rId1"/>
                  <a:stretch>
                    <a:fillRect/>
                  </a:stretch>
                </pic:blipFill>
                <pic:spPr>
                  <a:xfrm>
                    <a:off x="0" y="0"/>
                    <a:ext cx="5981761" cy="6350"/>
                  </a:xfrm>
                  <a:prstGeom prst="rect">
                    <a:avLst/>
                  </a:prstGeom>
                </pic:spPr>
              </pic:pic>
            </a:graphicData>
          </a:graphic>
        </wp:anchor>
      </w:drawing>
    </w:r>
    <w:r>
      <w:rPr>
        <w:rFonts w:ascii="宋体" w:hAnsi="宋体" w:eastAsia="宋体" w:cs="宋体"/>
        <w:spacing w:val="-16"/>
        <w:w w:val="84"/>
        <w:sz w:val="21"/>
        <w:szCs w:val="21"/>
      </w:rPr>
      <w:t>福建省能源制度</w:t>
    </w:r>
    <w:r>
      <w:rPr>
        <w:rFonts w:ascii="宋体" w:hAnsi="宋体" w:eastAsia="宋体" w:cs="宋体"/>
        <w:spacing w:val="1"/>
        <w:sz w:val="21"/>
        <w:szCs w:val="21"/>
      </w:rPr>
      <w:t xml:space="preserve">                                   </w:t>
    </w:r>
    <w:r>
      <w:rPr>
        <w:rFonts w:ascii="宋体" w:hAnsi="宋体" w:eastAsia="宋体" w:cs="宋体"/>
        <w:spacing w:val="-16"/>
        <w:w w:val="84"/>
        <w:sz w:val="21"/>
        <w:szCs w:val="21"/>
      </w:rPr>
      <w:t>—5</w:t>
    </w:r>
    <w:r>
      <w:rPr>
        <w:rFonts w:ascii="宋体" w:hAnsi="宋体" w:eastAsia="宋体" w:cs="宋体"/>
        <w:spacing w:val="-15"/>
        <w:w w:val="84"/>
        <w:sz w:val="21"/>
        <w:szCs w:val="21"/>
      </w:rPr>
      <w:t>7</w:t>
    </w:r>
    <w:r>
      <w:rPr>
        <w:rFonts w:ascii="宋体" w:hAnsi="宋体" w:eastAsia="宋体" w:cs="宋体"/>
        <w:spacing w:val="-6"/>
        <w:w w:val="84"/>
        <w:sz w:val="21"/>
        <w:szCs w:val="21"/>
      </w:rPr>
      <w:t>—</w:t>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A029FF">
    <w:pPr>
      <w:spacing w:line="219" w:lineRule="auto"/>
      <w:rPr>
        <w:rFonts w:ascii="宋体" w:hAnsi="宋体" w:eastAsia="宋体" w:cs="宋体"/>
        <w:sz w:val="21"/>
        <w:szCs w:val="21"/>
      </w:rPr>
    </w:pPr>
    <w:r>
      <w:drawing>
        <wp:anchor distT="0" distB="0" distL="0" distR="0" simplePos="0" relativeHeight="251725824" behindDoc="0" locked="0" layoutInCell="0" allowOverlap="1">
          <wp:simplePos x="0" y="0"/>
          <wp:positionH relativeFrom="page">
            <wp:posOffset>786765</wp:posOffset>
          </wp:positionH>
          <wp:positionV relativeFrom="page">
            <wp:posOffset>697865</wp:posOffset>
          </wp:positionV>
          <wp:extent cx="5981700" cy="6350"/>
          <wp:effectExtent l="0" t="0" r="0" b="0"/>
          <wp:wrapNone/>
          <wp:docPr id="100" name="IM 100"/>
          <wp:cNvGraphicFramePr/>
          <a:graphic xmlns:a="http://schemas.openxmlformats.org/drawingml/2006/main">
            <a:graphicData uri="http://schemas.openxmlformats.org/drawingml/2006/picture">
              <pic:pic xmlns:pic="http://schemas.openxmlformats.org/drawingml/2006/picture">
                <pic:nvPicPr>
                  <pic:cNvPr id="100" name="IM 100"/>
                  <pic:cNvPicPr/>
                </pic:nvPicPr>
                <pic:blipFill>
                  <a:blip r:embed="rId1"/>
                  <a:stretch>
                    <a:fillRect/>
                  </a:stretch>
                </pic:blipFill>
                <pic:spPr>
                  <a:xfrm>
                    <a:off x="0" y="0"/>
                    <a:ext cx="5981761" cy="6350"/>
                  </a:xfrm>
                  <a:prstGeom prst="rect">
                    <a:avLst/>
                  </a:prstGeom>
                </pic:spPr>
              </pic:pic>
            </a:graphicData>
          </a:graphic>
        </wp:anchor>
      </w:drawing>
    </w:r>
    <w:bookmarkStart w:id="28" w:name="bookmark23"/>
    <w:bookmarkEnd w:id="28"/>
    <w:r>
      <w:rPr>
        <w:rFonts w:ascii="宋体" w:hAnsi="宋体" w:eastAsia="宋体" w:cs="宋体"/>
        <w:spacing w:val="-14"/>
        <w:w w:val="85"/>
        <w:sz w:val="21"/>
        <w:szCs w:val="21"/>
      </w:rPr>
      <w:t>—58—</w:t>
    </w:r>
    <w:r>
      <w:rPr>
        <w:rFonts w:ascii="宋体" w:hAnsi="宋体" w:eastAsia="宋体" w:cs="宋体"/>
        <w:spacing w:val="2"/>
        <w:sz w:val="21"/>
        <w:szCs w:val="21"/>
      </w:rPr>
      <w:t xml:space="preserve">                              </w:t>
    </w:r>
    <w:r>
      <w:rPr>
        <w:rFonts w:ascii="宋体" w:hAnsi="宋体" w:eastAsia="宋体" w:cs="宋体"/>
        <w:spacing w:val="1"/>
        <w:sz w:val="21"/>
        <w:szCs w:val="21"/>
      </w:rPr>
      <w:t xml:space="preserve">     </w:t>
    </w:r>
    <w:r>
      <w:rPr>
        <w:rFonts w:ascii="宋体" w:hAnsi="宋体" w:eastAsia="宋体" w:cs="宋体"/>
        <w:spacing w:val="-14"/>
        <w:w w:val="85"/>
        <w:sz w:val="21"/>
        <w:szCs w:val="21"/>
      </w:rPr>
      <w:t>福建省能源制度</w:t>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64BF92">
    <w:pPr>
      <w:spacing w:line="219" w:lineRule="auto"/>
      <w:jc w:val="right"/>
      <w:rPr>
        <w:rFonts w:ascii="宋体" w:hAnsi="宋体" w:eastAsia="宋体" w:cs="宋体"/>
        <w:sz w:val="20"/>
        <w:szCs w:val="20"/>
      </w:rPr>
    </w:pPr>
    <w:r>
      <w:drawing>
        <wp:anchor distT="0" distB="0" distL="0" distR="0" simplePos="0" relativeHeight="251726848" behindDoc="0" locked="0" layoutInCell="0" allowOverlap="1">
          <wp:simplePos x="0" y="0"/>
          <wp:positionH relativeFrom="page">
            <wp:posOffset>786765</wp:posOffset>
          </wp:positionH>
          <wp:positionV relativeFrom="page">
            <wp:posOffset>697865</wp:posOffset>
          </wp:positionV>
          <wp:extent cx="5981700" cy="6350"/>
          <wp:effectExtent l="0" t="0" r="0" b="0"/>
          <wp:wrapNone/>
          <wp:docPr id="102" name="IM 102"/>
          <wp:cNvGraphicFramePr/>
          <a:graphic xmlns:a="http://schemas.openxmlformats.org/drawingml/2006/main">
            <a:graphicData uri="http://schemas.openxmlformats.org/drawingml/2006/picture">
              <pic:pic xmlns:pic="http://schemas.openxmlformats.org/drawingml/2006/picture">
                <pic:nvPicPr>
                  <pic:cNvPr id="102" name="IM 102"/>
                  <pic:cNvPicPr/>
                </pic:nvPicPr>
                <pic:blipFill>
                  <a:blip r:embed="rId1"/>
                  <a:stretch>
                    <a:fillRect/>
                  </a:stretch>
                </pic:blipFill>
                <pic:spPr>
                  <a:xfrm>
                    <a:off x="0" y="0"/>
                    <a:ext cx="5981761" cy="6350"/>
                  </a:xfrm>
                  <a:prstGeom prst="rect">
                    <a:avLst/>
                  </a:prstGeom>
                </pic:spPr>
              </pic:pic>
            </a:graphicData>
          </a:graphic>
        </wp:anchor>
      </w:drawing>
    </w:r>
    <w:r>
      <w:rPr>
        <w:rFonts w:ascii="宋体" w:hAnsi="宋体" w:eastAsia="宋体" w:cs="宋体"/>
        <w:spacing w:val="-15"/>
        <w:w w:val="87"/>
        <w:sz w:val="20"/>
        <w:szCs w:val="20"/>
      </w:rPr>
      <w:t>福建省能源制度</w:t>
    </w:r>
    <w:r>
      <w:rPr>
        <w:rFonts w:ascii="宋体" w:hAnsi="宋体" w:eastAsia="宋体" w:cs="宋体"/>
        <w:spacing w:val="3"/>
        <w:sz w:val="20"/>
        <w:szCs w:val="20"/>
      </w:rPr>
      <w:t xml:space="preserve">                       </w:t>
    </w:r>
    <w:r>
      <w:rPr>
        <w:rFonts w:ascii="宋体" w:hAnsi="宋体" w:eastAsia="宋体" w:cs="宋体"/>
        <w:spacing w:val="2"/>
        <w:sz w:val="20"/>
        <w:szCs w:val="20"/>
      </w:rPr>
      <w:t xml:space="preserve">             </w:t>
    </w:r>
    <w:r>
      <w:rPr>
        <w:rFonts w:ascii="宋体" w:hAnsi="宋体" w:eastAsia="宋体" w:cs="宋体"/>
        <w:spacing w:val="-15"/>
        <w:w w:val="87"/>
        <w:sz w:val="20"/>
        <w:szCs w:val="20"/>
      </w:rPr>
      <w:t>—</w:t>
    </w:r>
    <w:r>
      <w:rPr>
        <w:rFonts w:ascii="宋体" w:hAnsi="宋体" w:eastAsia="宋体" w:cs="宋体"/>
        <w:spacing w:val="-14"/>
        <w:w w:val="87"/>
        <w:sz w:val="20"/>
        <w:szCs w:val="20"/>
      </w:rPr>
      <w:t>59</w:t>
    </w:r>
    <w:r>
      <w:rPr>
        <w:rFonts w:ascii="宋体" w:hAnsi="宋体" w:eastAsia="宋体" w:cs="宋体"/>
        <w:spacing w:val="-6"/>
        <w:w w:val="87"/>
        <w:sz w:val="20"/>
        <w:szCs w:val="20"/>
      </w:rPr>
      <w:t>—</w:t>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5101A">
    <w:pPr>
      <w:spacing w:line="219" w:lineRule="auto"/>
      <w:ind w:left="10"/>
      <w:rPr>
        <w:rFonts w:ascii="宋体" w:hAnsi="宋体" w:eastAsia="宋体" w:cs="宋体"/>
        <w:sz w:val="19"/>
        <w:szCs w:val="19"/>
      </w:rPr>
    </w:pPr>
    <w:r>
      <w:drawing>
        <wp:anchor distT="0" distB="0" distL="0" distR="0" simplePos="0" relativeHeight="251727872" behindDoc="0" locked="0" layoutInCell="0" allowOverlap="1">
          <wp:simplePos x="0" y="0"/>
          <wp:positionH relativeFrom="page">
            <wp:posOffset>786765</wp:posOffset>
          </wp:positionH>
          <wp:positionV relativeFrom="page">
            <wp:posOffset>697865</wp:posOffset>
          </wp:positionV>
          <wp:extent cx="5981700" cy="6350"/>
          <wp:effectExtent l="0" t="0" r="0" b="0"/>
          <wp:wrapNone/>
          <wp:docPr id="104" name="IM 104"/>
          <wp:cNvGraphicFramePr/>
          <a:graphic xmlns:a="http://schemas.openxmlformats.org/drawingml/2006/main">
            <a:graphicData uri="http://schemas.openxmlformats.org/drawingml/2006/picture">
              <pic:pic xmlns:pic="http://schemas.openxmlformats.org/drawingml/2006/picture">
                <pic:nvPicPr>
                  <pic:cNvPr id="104" name="IM 104"/>
                  <pic:cNvPicPr/>
                </pic:nvPicPr>
                <pic:blipFill>
                  <a:blip r:embed="rId1"/>
                  <a:stretch>
                    <a:fillRect/>
                  </a:stretch>
                </pic:blipFill>
                <pic:spPr>
                  <a:xfrm>
                    <a:off x="0" y="0"/>
                    <a:ext cx="5981761" cy="6350"/>
                  </a:xfrm>
                  <a:prstGeom prst="rect">
                    <a:avLst/>
                  </a:prstGeom>
                </pic:spPr>
              </pic:pic>
            </a:graphicData>
          </a:graphic>
        </wp:anchor>
      </w:drawing>
    </w:r>
    <w:r>
      <w:rPr>
        <w:rFonts w:ascii="宋体" w:hAnsi="宋体" w:eastAsia="宋体" w:cs="宋体"/>
        <w:spacing w:val="-14"/>
        <w:w w:val="94"/>
        <w:position w:val="-1"/>
        <w:sz w:val="19"/>
        <w:szCs w:val="19"/>
      </w:rPr>
      <w:t>—60—</w:t>
    </w:r>
    <w:r>
      <w:rPr>
        <w:rFonts w:ascii="宋体" w:hAnsi="宋体" w:eastAsia="宋体" w:cs="宋体"/>
        <w:position w:val="-1"/>
        <w:sz w:val="19"/>
        <w:szCs w:val="19"/>
      </w:rPr>
      <w:t xml:space="preserve">                                       </w:t>
    </w:r>
    <w:r>
      <w:rPr>
        <w:rFonts w:ascii="宋体" w:hAnsi="宋体" w:eastAsia="宋体" w:cs="宋体"/>
        <w:spacing w:val="-14"/>
        <w:w w:val="94"/>
        <w:sz w:val="19"/>
        <w:szCs w:val="19"/>
      </w:rPr>
      <w:t>福建省能源制度</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F802E">
    <w:pPr>
      <w:spacing w:line="219" w:lineRule="auto"/>
      <w:ind w:left="4080"/>
      <w:rPr>
        <w:rFonts w:ascii="宋体" w:hAnsi="宋体" w:eastAsia="宋体" w:cs="宋体"/>
        <w:sz w:val="18"/>
        <w:szCs w:val="18"/>
      </w:rPr>
    </w:pPr>
    <w:r>
      <w:drawing>
        <wp:anchor distT="0" distB="0" distL="0" distR="0" simplePos="0" relativeHeight="251667456" behindDoc="0" locked="0" layoutInCell="0" allowOverlap="1">
          <wp:simplePos x="0" y="0"/>
          <wp:positionH relativeFrom="page">
            <wp:posOffset>786765</wp:posOffset>
          </wp:positionH>
          <wp:positionV relativeFrom="page">
            <wp:posOffset>697865</wp:posOffset>
          </wp:positionV>
          <wp:extent cx="5981700" cy="6350"/>
          <wp:effectExtent l="0" t="0" r="0" b="0"/>
          <wp:wrapNone/>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1"/>
                  <a:stretch>
                    <a:fillRect/>
                  </a:stretch>
                </pic:blipFill>
                <pic:spPr>
                  <a:xfrm>
                    <a:off x="0" y="0"/>
                    <a:ext cx="5981761" cy="6350"/>
                  </a:xfrm>
                  <a:prstGeom prst="rect">
                    <a:avLst/>
                  </a:prstGeom>
                </pic:spPr>
              </pic:pic>
            </a:graphicData>
          </a:graphic>
        </wp:anchor>
      </w:drawing>
    </w:r>
    <w:r>
      <w:pict>
        <v:shape id="_x0000_s2052" o:spid="_x0000_s2052" o:spt="202" type="#_x0000_t202" style="position:absolute;left:0pt;margin-left:455.5pt;margin-top:0.9pt;height:10.9pt;width:10.75pt;z-index:251668480;mso-width-relative:page;mso-height-relative:page;" filled="f" stroked="f" coordsize="21600,21600">
          <v:path/>
          <v:fill on="f" focussize="0,0"/>
          <v:stroke on="f"/>
          <v:imagedata o:title=""/>
          <o:lock v:ext="edit" aspectratio="f"/>
          <v:textbox inset="0mm,0mm,0mm,0mm">
            <w:txbxContent>
              <w:p w14:paraId="24CB66AC">
                <w:pPr>
                  <w:spacing w:before="19" w:line="182" w:lineRule="auto"/>
                  <w:ind w:left="20"/>
                  <w:rPr>
                    <w:rFonts w:ascii="宋体" w:hAnsi="宋体" w:eastAsia="宋体" w:cs="宋体"/>
                    <w:sz w:val="18"/>
                    <w:szCs w:val="18"/>
                  </w:rPr>
                </w:pPr>
                <w:r>
                  <w:rPr>
                    <w:rFonts w:ascii="宋体" w:hAnsi="宋体" w:eastAsia="宋体" w:cs="宋体"/>
                    <w:spacing w:val="-2"/>
                    <w:sz w:val="18"/>
                    <w:szCs w:val="18"/>
                  </w:rPr>
                  <w:t>-7</w:t>
                </w:r>
              </w:p>
            </w:txbxContent>
          </v:textbox>
        </v:shape>
      </w:pict>
    </w:r>
    <w:r>
      <w:rPr>
        <w:rFonts w:ascii="宋体" w:hAnsi="宋体" w:eastAsia="宋体" w:cs="宋体"/>
        <w:spacing w:val="-1"/>
        <w:sz w:val="18"/>
        <w:szCs w:val="18"/>
      </w:rPr>
      <w:t>福建省能源制度</w:t>
    </w: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9633E">
    <w:pPr>
      <w:spacing w:line="219" w:lineRule="auto"/>
      <w:ind w:left="4129"/>
      <w:rPr>
        <w:rFonts w:ascii="宋体" w:hAnsi="宋体" w:eastAsia="宋体" w:cs="宋体"/>
        <w:sz w:val="21"/>
        <w:szCs w:val="21"/>
      </w:rPr>
    </w:pPr>
    <w:r>
      <w:drawing>
        <wp:anchor distT="0" distB="0" distL="0" distR="0" simplePos="0" relativeHeight="251728896" behindDoc="0" locked="0" layoutInCell="0" allowOverlap="1">
          <wp:simplePos x="0" y="0"/>
          <wp:positionH relativeFrom="page">
            <wp:posOffset>786765</wp:posOffset>
          </wp:positionH>
          <wp:positionV relativeFrom="page">
            <wp:posOffset>697865</wp:posOffset>
          </wp:positionV>
          <wp:extent cx="5981700" cy="6350"/>
          <wp:effectExtent l="0" t="0" r="0" b="0"/>
          <wp:wrapNone/>
          <wp:docPr id="106" name="IM 106"/>
          <wp:cNvGraphicFramePr/>
          <a:graphic xmlns:a="http://schemas.openxmlformats.org/drawingml/2006/main">
            <a:graphicData uri="http://schemas.openxmlformats.org/drawingml/2006/picture">
              <pic:pic xmlns:pic="http://schemas.openxmlformats.org/drawingml/2006/picture">
                <pic:nvPicPr>
                  <pic:cNvPr id="106" name="IM 106"/>
                  <pic:cNvPicPr/>
                </pic:nvPicPr>
                <pic:blipFill>
                  <a:blip r:embed="rId1"/>
                  <a:stretch>
                    <a:fillRect/>
                  </a:stretch>
                </pic:blipFill>
                <pic:spPr>
                  <a:xfrm>
                    <a:off x="0" y="0"/>
                    <a:ext cx="5981761" cy="6350"/>
                  </a:xfrm>
                  <a:prstGeom prst="rect">
                    <a:avLst/>
                  </a:prstGeom>
                </pic:spPr>
              </pic:pic>
            </a:graphicData>
          </a:graphic>
        </wp:anchor>
      </w:drawing>
    </w:r>
    <w:r>
      <w:pict>
        <v:shape id="_x0000_s2064" o:spid="_x0000_s2064" o:spt="202" type="#_x0000_t202" style="position:absolute;left:0pt;margin-left:450.95pt;margin-top:2.95pt;height:10pt;width:13.8pt;z-index:251729920;mso-width-relative:page;mso-height-relative:page;" filled="f" stroked="f" coordsize="21600,21600">
          <v:path/>
          <v:fill on="f" focussize="0,0"/>
          <v:stroke on="f"/>
          <v:imagedata o:title=""/>
          <o:lock v:ext="edit" aspectratio="f"/>
          <v:textbox inset="0mm,0mm,0mm,0mm">
            <w:txbxContent>
              <w:p w14:paraId="04DAAF7A">
                <w:pPr>
                  <w:spacing w:before="19" w:line="184" w:lineRule="auto"/>
                  <w:ind w:left="20"/>
                  <w:rPr>
                    <w:rFonts w:ascii="宋体" w:hAnsi="宋体" w:eastAsia="宋体" w:cs="宋体"/>
                    <w:sz w:val="16"/>
                    <w:szCs w:val="16"/>
                  </w:rPr>
                </w:pPr>
                <w:r>
                  <w:rPr>
                    <w:rFonts w:ascii="宋体" w:hAnsi="宋体" w:eastAsia="宋体" w:cs="宋体"/>
                    <w:spacing w:val="-2"/>
                    <w:sz w:val="16"/>
                    <w:szCs w:val="16"/>
                  </w:rPr>
                  <w:t>-61</w:t>
                </w:r>
              </w:p>
            </w:txbxContent>
          </v:textbox>
        </v:shape>
      </w:pict>
    </w:r>
    <w:r>
      <w:rPr>
        <w:rFonts w:ascii="宋体" w:hAnsi="宋体" w:eastAsia="宋体" w:cs="宋体"/>
        <w:spacing w:val="-17"/>
        <w:w w:val="94"/>
        <w:sz w:val="21"/>
        <w:szCs w:val="21"/>
      </w:rPr>
      <w:t>福建省能源制度</w:t>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4A19B">
    <w:pPr>
      <w:spacing w:line="219" w:lineRule="auto"/>
      <w:rPr>
        <w:rFonts w:ascii="宋体" w:hAnsi="宋体" w:eastAsia="宋体" w:cs="宋体"/>
        <w:sz w:val="21"/>
        <w:szCs w:val="21"/>
      </w:rPr>
    </w:pPr>
    <w:r>
      <w:drawing>
        <wp:anchor distT="0" distB="0" distL="0" distR="0" simplePos="0" relativeHeight="251730944" behindDoc="0" locked="0" layoutInCell="0" allowOverlap="1">
          <wp:simplePos x="0" y="0"/>
          <wp:positionH relativeFrom="page">
            <wp:posOffset>786765</wp:posOffset>
          </wp:positionH>
          <wp:positionV relativeFrom="page">
            <wp:posOffset>697865</wp:posOffset>
          </wp:positionV>
          <wp:extent cx="5981700" cy="6350"/>
          <wp:effectExtent l="0" t="0" r="0" b="0"/>
          <wp:wrapNone/>
          <wp:docPr id="110" name="IM 110"/>
          <wp:cNvGraphicFramePr/>
          <a:graphic xmlns:a="http://schemas.openxmlformats.org/drawingml/2006/main">
            <a:graphicData uri="http://schemas.openxmlformats.org/drawingml/2006/picture">
              <pic:pic xmlns:pic="http://schemas.openxmlformats.org/drawingml/2006/picture">
                <pic:nvPicPr>
                  <pic:cNvPr id="110" name="IM 110"/>
                  <pic:cNvPicPr/>
                </pic:nvPicPr>
                <pic:blipFill>
                  <a:blip r:embed="rId1"/>
                  <a:stretch>
                    <a:fillRect/>
                  </a:stretch>
                </pic:blipFill>
                <pic:spPr>
                  <a:xfrm>
                    <a:off x="0" y="0"/>
                    <a:ext cx="5981761" cy="6350"/>
                  </a:xfrm>
                  <a:prstGeom prst="rect">
                    <a:avLst/>
                  </a:prstGeom>
                </pic:spPr>
              </pic:pic>
            </a:graphicData>
          </a:graphic>
        </wp:anchor>
      </w:drawing>
    </w:r>
    <w:r>
      <w:rPr>
        <w:rFonts w:ascii="宋体" w:hAnsi="宋体" w:eastAsia="宋体" w:cs="宋体"/>
        <w:spacing w:val="-14"/>
        <w:w w:val="86"/>
        <w:sz w:val="21"/>
        <w:szCs w:val="21"/>
      </w:rPr>
      <w:t>—62—</w:t>
    </w:r>
    <w:r>
      <w:rPr>
        <w:rFonts w:ascii="宋体" w:hAnsi="宋体" w:eastAsia="宋体" w:cs="宋体"/>
        <w:spacing w:val="2"/>
        <w:sz w:val="21"/>
        <w:szCs w:val="21"/>
      </w:rPr>
      <w:t xml:space="preserve">                   </w:t>
    </w:r>
    <w:r>
      <w:rPr>
        <w:rFonts w:ascii="宋体" w:hAnsi="宋体" w:eastAsia="宋体" w:cs="宋体"/>
        <w:spacing w:val="1"/>
        <w:sz w:val="21"/>
        <w:szCs w:val="21"/>
      </w:rPr>
      <w:t xml:space="preserve">                </w:t>
    </w:r>
    <w:r>
      <w:rPr>
        <w:rFonts w:ascii="宋体" w:hAnsi="宋体" w:eastAsia="宋体" w:cs="宋体"/>
        <w:spacing w:val="-14"/>
        <w:w w:val="86"/>
        <w:sz w:val="21"/>
        <w:szCs w:val="21"/>
      </w:rPr>
      <w:t>福建省能源制度</w:t>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58B947">
    <w:pPr>
      <w:tabs>
        <w:tab w:val="left" w:pos="3668"/>
      </w:tabs>
      <w:spacing w:line="175" w:lineRule="auto"/>
      <w:rPr>
        <w:rFonts w:ascii="宋体" w:hAnsi="宋体" w:eastAsia="宋体" w:cs="宋体"/>
        <w:sz w:val="21"/>
        <w:szCs w:val="21"/>
      </w:rPr>
    </w:pPr>
    <w:bookmarkStart w:id="29" w:name="bookmark27"/>
    <w:bookmarkEnd w:id="29"/>
    <w:r>
      <w:rPr>
        <w:rFonts w:ascii="宋体" w:hAnsi="宋体" w:eastAsia="宋体" w:cs="宋体"/>
        <w:sz w:val="21"/>
        <w:szCs w:val="21"/>
        <w:u w:val="single" w:color="auto"/>
      </w:rPr>
      <w:tab/>
    </w:r>
    <w:r>
      <w:rPr>
        <w:rFonts w:ascii="宋体" w:hAnsi="宋体" w:eastAsia="宋体" w:cs="宋体"/>
        <w:spacing w:val="-17"/>
        <w:w w:val="96"/>
        <w:sz w:val="21"/>
        <w:szCs w:val="21"/>
        <w:u w:val="single" w:color="auto"/>
      </w:rPr>
      <w:t>福</w:t>
    </w:r>
    <w:r>
      <w:rPr>
        <w:rFonts w:ascii="宋体" w:hAnsi="宋体" w:eastAsia="宋体" w:cs="宋体"/>
        <w:spacing w:val="-16"/>
        <w:sz w:val="21"/>
        <w:szCs w:val="21"/>
        <w:u w:val="single" w:color="auto"/>
      </w:rPr>
      <w:t xml:space="preserve"> </w:t>
    </w:r>
    <w:r>
      <w:rPr>
        <w:rFonts w:ascii="宋体" w:hAnsi="宋体" w:eastAsia="宋体" w:cs="宋体"/>
        <w:spacing w:val="-17"/>
        <w:w w:val="96"/>
        <w:sz w:val="21"/>
        <w:szCs w:val="21"/>
        <w:u w:val="single" w:color="auto"/>
      </w:rPr>
      <w:t>建</w:t>
    </w:r>
    <w:r>
      <w:rPr>
        <w:rFonts w:ascii="宋体" w:hAnsi="宋体" w:eastAsia="宋体" w:cs="宋体"/>
        <w:spacing w:val="-24"/>
        <w:sz w:val="21"/>
        <w:szCs w:val="21"/>
        <w:u w:val="single" w:color="auto"/>
      </w:rPr>
      <w:t xml:space="preserve"> </w:t>
    </w:r>
    <w:r>
      <w:rPr>
        <w:rFonts w:ascii="宋体" w:hAnsi="宋体" w:eastAsia="宋体" w:cs="宋体"/>
        <w:spacing w:val="-17"/>
        <w:w w:val="96"/>
        <w:sz w:val="21"/>
        <w:szCs w:val="21"/>
        <w:u w:val="single" w:color="auto"/>
      </w:rPr>
      <w:t>省</w:t>
    </w:r>
    <w:r>
      <w:rPr>
        <w:rFonts w:ascii="宋体" w:hAnsi="宋体" w:eastAsia="宋体" w:cs="宋体"/>
        <w:spacing w:val="-20"/>
        <w:sz w:val="21"/>
        <w:szCs w:val="21"/>
        <w:u w:val="single" w:color="auto"/>
      </w:rPr>
      <w:t xml:space="preserve"> </w:t>
    </w:r>
    <w:r>
      <w:rPr>
        <w:rFonts w:ascii="宋体" w:hAnsi="宋体" w:eastAsia="宋体" w:cs="宋体"/>
        <w:spacing w:val="-17"/>
        <w:w w:val="96"/>
        <w:sz w:val="21"/>
        <w:szCs w:val="21"/>
        <w:u w:val="single" w:color="auto"/>
      </w:rPr>
      <w:t>能</w:t>
    </w:r>
    <w:r>
      <w:rPr>
        <w:rFonts w:ascii="宋体" w:hAnsi="宋体" w:eastAsia="宋体" w:cs="宋体"/>
        <w:spacing w:val="-28"/>
        <w:sz w:val="21"/>
        <w:szCs w:val="21"/>
        <w:u w:val="single" w:color="auto"/>
      </w:rPr>
      <w:t xml:space="preserve"> </w:t>
    </w:r>
    <w:r>
      <w:rPr>
        <w:rFonts w:ascii="宋体" w:hAnsi="宋体" w:eastAsia="宋体" w:cs="宋体"/>
        <w:spacing w:val="-17"/>
        <w:w w:val="96"/>
        <w:sz w:val="21"/>
        <w:szCs w:val="21"/>
        <w:u w:val="single" w:color="auto"/>
      </w:rPr>
      <w:t>源</w:t>
    </w:r>
    <w:r>
      <w:rPr>
        <w:rFonts w:ascii="宋体" w:hAnsi="宋体" w:eastAsia="宋体" w:cs="宋体"/>
        <w:spacing w:val="-26"/>
        <w:sz w:val="21"/>
        <w:szCs w:val="21"/>
        <w:u w:val="single" w:color="auto"/>
      </w:rPr>
      <w:t xml:space="preserve"> </w:t>
    </w:r>
    <w:r>
      <w:rPr>
        <w:rFonts w:ascii="宋体" w:hAnsi="宋体" w:eastAsia="宋体" w:cs="宋体"/>
        <w:spacing w:val="-17"/>
        <w:w w:val="96"/>
        <w:sz w:val="21"/>
        <w:szCs w:val="21"/>
        <w:u w:val="single" w:color="auto"/>
      </w:rPr>
      <w:t>制</w:t>
    </w:r>
    <w:r>
      <w:rPr>
        <w:rFonts w:ascii="宋体" w:hAnsi="宋体" w:eastAsia="宋体" w:cs="宋体"/>
        <w:spacing w:val="-29"/>
        <w:sz w:val="21"/>
        <w:szCs w:val="21"/>
        <w:u w:val="single" w:color="auto"/>
      </w:rPr>
      <w:t xml:space="preserve"> </w:t>
    </w:r>
    <w:r>
      <w:rPr>
        <w:rFonts w:ascii="宋体" w:hAnsi="宋体" w:eastAsia="宋体" w:cs="宋体"/>
        <w:spacing w:val="-17"/>
        <w:w w:val="96"/>
        <w:sz w:val="21"/>
        <w:szCs w:val="21"/>
        <w:u w:val="single" w:color="auto"/>
      </w:rPr>
      <w:t>度</w:t>
    </w:r>
    <w:r>
      <w:rPr>
        <w:rFonts w:ascii="宋体" w:hAnsi="宋体" w:eastAsia="宋体" w:cs="宋体"/>
        <w:spacing w:val="3"/>
        <w:sz w:val="21"/>
        <w:szCs w:val="21"/>
        <w:u w:val="single" w:color="auto"/>
      </w:rPr>
      <w:t xml:space="preserve">                       </w:t>
    </w:r>
    <w:r>
      <w:rPr>
        <w:rFonts w:ascii="宋体" w:hAnsi="宋体" w:eastAsia="宋体" w:cs="宋体"/>
        <w:spacing w:val="2"/>
        <w:sz w:val="21"/>
        <w:szCs w:val="21"/>
        <w:u w:val="single" w:color="auto"/>
      </w:rPr>
      <w:t xml:space="preserve">           </w:t>
    </w:r>
    <w:r>
      <w:rPr>
        <w:rFonts w:ascii="宋体" w:hAnsi="宋体" w:eastAsia="宋体" w:cs="宋体"/>
        <w:spacing w:val="-3"/>
        <w:w w:val="33"/>
        <w:sz w:val="21"/>
        <w:szCs w:val="21"/>
      </w:rPr>
      <w:t>—</w:t>
    </w:r>
    <w:r>
      <w:rPr>
        <w:rFonts w:ascii="宋体" w:hAnsi="宋体" w:eastAsia="宋体" w:cs="宋体"/>
        <w:spacing w:val="-17"/>
        <w:w w:val="96"/>
        <w:sz w:val="21"/>
        <w:szCs w:val="21"/>
      </w:rPr>
      <w:t>63</w:t>
    </w:r>
    <w:r>
      <w:rPr>
        <w:rFonts w:ascii="宋体" w:hAnsi="宋体" w:eastAsia="宋体" w:cs="宋体"/>
        <w:spacing w:val="-3"/>
        <w:w w:val="33"/>
        <w:sz w:val="21"/>
        <w:szCs w:val="21"/>
      </w:rPr>
      <w:t>—</w:t>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67DB14">
    <w:pPr>
      <w:spacing w:line="219" w:lineRule="auto"/>
      <w:rPr>
        <w:rFonts w:ascii="宋体" w:hAnsi="宋体" w:eastAsia="宋体" w:cs="宋体"/>
        <w:sz w:val="21"/>
        <w:szCs w:val="21"/>
      </w:rPr>
    </w:pPr>
    <w:r>
      <w:drawing>
        <wp:anchor distT="0" distB="0" distL="0" distR="0" simplePos="0" relativeHeight="251731968" behindDoc="0" locked="0" layoutInCell="0" allowOverlap="1">
          <wp:simplePos x="0" y="0"/>
          <wp:positionH relativeFrom="page">
            <wp:posOffset>786765</wp:posOffset>
          </wp:positionH>
          <wp:positionV relativeFrom="page">
            <wp:posOffset>697865</wp:posOffset>
          </wp:positionV>
          <wp:extent cx="5981700" cy="6350"/>
          <wp:effectExtent l="0" t="0" r="0" b="0"/>
          <wp:wrapNone/>
          <wp:docPr id="112" name="IM 112"/>
          <wp:cNvGraphicFramePr/>
          <a:graphic xmlns:a="http://schemas.openxmlformats.org/drawingml/2006/main">
            <a:graphicData uri="http://schemas.openxmlformats.org/drawingml/2006/picture">
              <pic:pic xmlns:pic="http://schemas.openxmlformats.org/drawingml/2006/picture">
                <pic:nvPicPr>
                  <pic:cNvPr id="112" name="IM 112"/>
                  <pic:cNvPicPr/>
                </pic:nvPicPr>
                <pic:blipFill>
                  <a:blip r:embed="rId1"/>
                  <a:stretch>
                    <a:fillRect/>
                  </a:stretch>
                </pic:blipFill>
                <pic:spPr>
                  <a:xfrm>
                    <a:off x="0" y="0"/>
                    <a:ext cx="5981761" cy="6350"/>
                  </a:xfrm>
                  <a:prstGeom prst="rect">
                    <a:avLst/>
                  </a:prstGeom>
                </pic:spPr>
              </pic:pic>
            </a:graphicData>
          </a:graphic>
        </wp:anchor>
      </w:drawing>
    </w:r>
    <w:bookmarkStart w:id="30" w:name="bookmark28"/>
    <w:bookmarkEnd w:id="30"/>
    <w:r>
      <w:rPr>
        <w:rFonts w:ascii="宋体" w:hAnsi="宋体" w:eastAsia="宋体" w:cs="宋体"/>
        <w:spacing w:val="-13"/>
        <w:w w:val="85"/>
        <w:sz w:val="21"/>
        <w:szCs w:val="21"/>
      </w:rPr>
      <w:t>—64—</w:t>
    </w:r>
    <w:r>
      <w:rPr>
        <w:rFonts w:ascii="宋体" w:hAnsi="宋体" w:eastAsia="宋体" w:cs="宋体"/>
        <w:spacing w:val="2"/>
        <w:sz w:val="21"/>
        <w:szCs w:val="21"/>
      </w:rPr>
      <w:t xml:space="preserve">                             </w:t>
    </w:r>
    <w:r>
      <w:rPr>
        <w:rFonts w:ascii="宋体" w:hAnsi="宋体" w:eastAsia="宋体" w:cs="宋体"/>
        <w:spacing w:val="1"/>
        <w:sz w:val="21"/>
        <w:szCs w:val="21"/>
      </w:rPr>
      <w:t xml:space="preserve">      </w:t>
    </w:r>
    <w:r>
      <w:rPr>
        <w:rFonts w:ascii="宋体" w:hAnsi="宋体" w:eastAsia="宋体" w:cs="宋体"/>
        <w:spacing w:val="-13"/>
        <w:w w:val="85"/>
        <w:sz w:val="21"/>
        <w:szCs w:val="21"/>
      </w:rPr>
      <w:t>福建省能源制度</w:t>
    </w: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597862">
    <w:pPr>
      <w:spacing w:line="185" w:lineRule="auto"/>
      <w:ind w:left="3509"/>
      <w:rPr>
        <w:rFonts w:ascii="宋体" w:hAnsi="宋体" w:eastAsia="宋体" w:cs="宋体"/>
        <w:sz w:val="21"/>
        <w:szCs w:val="21"/>
      </w:rPr>
    </w:pPr>
    <w:r>
      <w:drawing>
        <wp:anchor distT="0" distB="0" distL="0" distR="0" simplePos="0" relativeHeight="251732992" behindDoc="0" locked="0" layoutInCell="1" allowOverlap="1">
          <wp:simplePos x="0" y="0"/>
          <wp:positionH relativeFrom="column">
            <wp:posOffset>0</wp:posOffset>
          </wp:positionH>
          <wp:positionV relativeFrom="paragraph">
            <wp:posOffset>126365</wp:posOffset>
          </wp:positionV>
          <wp:extent cx="5972810" cy="13970"/>
          <wp:effectExtent l="0" t="0" r="0" b="0"/>
          <wp:wrapNone/>
          <wp:docPr id="114" name="IM 114"/>
          <wp:cNvGraphicFramePr/>
          <a:graphic xmlns:a="http://schemas.openxmlformats.org/drawingml/2006/main">
            <a:graphicData uri="http://schemas.openxmlformats.org/drawingml/2006/picture">
              <pic:pic xmlns:pic="http://schemas.openxmlformats.org/drawingml/2006/picture">
                <pic:nvPicPr>
                  <pic:cNvPr id="114" name="IM 114"/>
                  <pic:cNvPicPr/>
                </pic:nvPicPr>
                <pic:blipFill>
                  <a:blip r:embed="rId1"/>
                  <a:stretch>
                    <a:fillRect/>
                  </a:stretch>
                </pic:blipFill>
                <pic:spPr>
                  <a:xfrm>
                    <a:off x="0" y="0"/>
                    <a:ext cx="5972654" cy="13720"/>
                  </a:xfrm>
                  <a:prstGeom prst="rect">
                    <a:avLst/>
                  </a:prstGeom>
                </pic:spPr>
              </pic:pic>
            </a:graphicData>
          </a:graphic>
        </wp:anchor>
      </w:drawing>
    </w:r>
    <w:r>
      <w:rPr>
        <w:rFonts w:ascii="宋体" w:hAnsi="宋体" w:eastAsia="宋体" w:cs="宋体"/>
        <w:spacing w:val="-7"/>
        <w:sz w:val="21"/>
        <w:szCs w:val="21"/>
      </w:rPr>
      <w:t>福</w:t>
    </w:r>
    <w:r>
      <w:rPr>
        <w:rFonts w:ascii="宋体" w:hAnsi="宋体" w:eastAsia="宋体" w:cs="宋体"/>
        <w:spacing w:val="-33"/>
        <w:sz w:val="21"/>
        <w:szCs w:val="21"/>
      </w:rPr>
      <w:t xml:space="preserve"> </w:t>
    </w:r>
    <w:r>
      <w:rPr>
        <w:rFonts w:ascii="宋体" w:hAnsi="宋体" w:eastAsia="宋体" w:cs="宋体"/>
        <w:spacing w:val="-7"/>
        <w:sz w:val="21"/>
        <w:szCs w:val="21"/>
      </w:rPr>
      <w:t>建</w:t>
    </w:r>
    <w:r>
      <w:rPr>
        <w:rFonts w:ascii="宋体" w:hAnsi="宋体" w:eastAsia="宋体" w:cs="宋体"/>
        <w:spacing w:val="-32"/>
        <w:sz w:val="21"/>
        <w:szCs w:val="21"/>
      </w:rPr>
      <w:t xml:space="preserve"> </w:t>
    </w:r>
    <w:r>
      <w:rPr>
        <w:rFonts w:ascii="宋体" w:hAnsi="宋体" w:eastAsia="宋体" w:cs="宋体"/>
        <w:spacing w:val="-7"/>
        <w:sz w:val="21"/>
        <w:szCs w:val="21"/>
      </w:rPr>
      <w:t>省</w:t>
    </w:r>
    <w:r>
      <w:rPr>
        <w:rFonts w:ascii="宋体" w:hAnsi="宋体" w:eastAsia="宋体" w:cs="宋体"/>
        <w:spacing w:val="-27"/>
        <w:sz w:val="21"/>
        <w:szCs w:val="21"/>
      </w:rPr>
      <w:t xml:space="preserve"> </w:t>
    </w:r>
    <w:r>
      <w:rPr>
        <w:rFonts w:ascii="宋体" w:hAnsi="宋体" w:eastAsia="宋体" w:cs="宋体"/>
        <w:spacing w:val="-7"/>
        <w:sz w:val="21"/>
        <w:szCs w:val="21"/>
      </w:rPr>
      <w:t>能</w:t>
    </w:r>
    <w:r>
      <w:rPr>
        <w:rFonts w:ascii="宋体" w:hAnsi="宋体" w:eastAsia="宋体" w:cs="宋体"/>
        <w:spacing w:val="-36"/>
        <w:sz w:val="21"/>
        <w:szCs w:val="21"/>
      </w:rPr>
      <w:t xml:space="preserve"> </w:t>
    </w:r>
    <w:r>
      <w:rPr>
        <w:rFonts w:ascii="宋体" w:hAnsi="宋体" w:eastAsia="宋体" w:cs="宋体"/>
        <w:spacing w:val="-7"/>
        <w:sz w:val="21"/>
        <w:szCs w:val="21"/>
      </w:rPr>
      <w:t>源</w:t>
    </w:r>
    <w:r>
      <w:rPr>
        <w:rFonts w:ascii="宋体" w:hAnsi="宋体" w:eastAsia="宋体" w:cs="宋体"/>
        <w:spacing w:val="-34"/>
        <w:sz w:val="21"/>
        <w:szCs w:val="21"/>
      </w:rPr>
      <w:t xml:space="preserve"> </w:t>
    </w:r>
    <w:r>
      <w:rPr>
        <w:rFonts w:ascii="宋体" w:hAnsi="宋体" w:eastAsia="宋体" w:cs="宋体"/>
        <w:spacing w:val="-7"/>
        <w:sz w:val="21"/>
        <w:szCs w:val="21"/>
      </w:rPr>
      <w:t>制</w:t>
    </w:r>
    <w:r>
      <w:rPr>
        <w:rFonts w:ascii="宋体" w:hAnsi="宋体" w:eastAsia="宋体" w:cs="宋体"/>
        <w:spacing w:val="-36"/>
        <w:sz w:val="21"/>
        <w:szCs w:val="21"/>
      </w:rPr>
      <w:t xml:space="preserve"> </w:t>
    </w:r>
    <w:r>
      <w:rPr>
        <w:rFonts w:ascii="宋体" w:hAnsi="宋体" w:eastAsia="宋体" w:cs="宋体"/>
        <w:spacing w:val="-7"/>
        <w:sz w:val="21"/>
        <w:szCs w:val="21"/>
      </w:rPr>
      <w:t>度</w:t>
    </w:r>
    <w:r>
      <w:rPr>
        <w:rFonts w:ascii="宋体" w:hAnsi="宋体" w:eastAsia="宋体" w:cs="宋体"/>
        <w:spacing w:val="2"/>
        <w:sz w:val="21"/>
        <w:szCs w:val="21"/>
      </w:rPr>
      <w:t xml:space="preserve">                                </w:t>
    </w:r>
    <w:r>
      <w:rPr>
        <w:rFonts w:ascii="宋体" w:hAnsi="宋体" w:eastAsia="宋体" w:cs="宋体"/>
        <w:spacing w:val="-7"/>
        <w:sz w:val="21"/>
        <w:szCs w:val="21"/>
      </w:rPr>
      <w:t>—65—</w:t>
    </w: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9BD728">
    <w:pPr>
      <w:spacing w:line="219" w:lineRule="auto"/>
      <w:rPr>
        <w:rFonts w:ascii="宋体" w:hAnsi="宋体" w:eastAsia="宋体" w:cs="宋体"/>
        <w:sz w:val="18"/>
        <w:szCs w:val="18"/>
      </w:rPr>
    </w:pPr>
    <w:r>
      <w:drawing>
        <wp:anchor distT="0" distB="0" distL="0" distR="0" simplePos="0" relativeHeight="251734016" behindDoc="0" locked="0" layoutInCell="0" allowOverlap="1">
          <wp:simplePos x="0" y="0"/>
          <wp:positionH relativeFrom="page">
            <wp:posOffset>786765</wp:posOffset>
          </wp:positionH>
          <wp:positionV relativeFrom="page">
            <wp:posOffset>697865</wp:posOffset>
          </wp:positionV>
          <wp:extent cx="5981700" cy="6350"/>
          <wp:effectExtent l="0" t="0" r="0" b="0"/>
          <wp:wrapNone/>
          <wp:docPr id="116" name="IM 116"/>
          <wp:cNvGraphicFramePr/>
          <a:graphic xmlns:a="http://schemas.openxmlformats.org/drawingml/2006/main">
            <a:graphicData uri="http://schemas.openxmlformats.org/drawingml/2006/picture">
              <pic:pic xmlns:pic="http://schemas.openxmlformats.org/drawingml/2006/picture">
                <pic:nvPicPr>
                  <pic:cNvPr id="116" name="IM 116"/>
                  <pic:cNvPicPr/>
                </pic:nvPicPr>
                <pic:blipFill>
                  <a:blip r:embed="rId1"/>
                  <a:stretch>
                    <a:fillRect/>
                  </a:stretch>
                </pic:blipFill>
                <pic:spPr>
                  <a:xfrm>
                    <a:off x="0" y="0"/>
                    <a:ext cx="5981761" cy="6350"/>
                  </a:xfrm>
                  <a:prstGeom prst="rect">
                    <a:avLst/>
                  </a:prstGeom>
                </pic:spPr>
              </pic:pic>
            </a:graphicData>
          </a:graphic>
        </wp:anchor>
      </w:drawing>
    </w:r>
    <w:r>
      <w:rPr>
        <w:rFonts w:ascii="宋体" w:hAnsi="宋体" w:eastAsia="宋体" w:cs="宋体"/>
        <w:spacing w:val="-14"/>
        <w:w w:val="99"/>
        <w:sz w:val="18"/>
        <w:szCs w:val="18"/>
      </w:rPr>
      <w:t>—66—</w:t>
    </w:r>
    <w:r>
      <w:rPr>
        <w:rFonts w:ascii="宋体" w:hAnsi="宋体" w:eastAsia="宋体" w:cs="宋体"/>
        <w:spacing w:val="1"/>
        <w:sz w:val="18"/>
        <w:szCs w:val="18"/>
      </w:rPr>
      <w:t xml:space="preserve">                        </w:t>
    </w:r>
    <w:r>
      <w:rPr>
        <w:rFonts w:ascii="宋体" w:hAnsi="宋体" w:eastAsia="宋体" w:cs="宋体"/>
        <w:sz w:val="18"/>
        <w:szCs w:val="18"/>
      </w:rPr>
      <w:t xml:space="preserve">                 </w:t>
    </w:r>
    <w:r>
      <w:rPr>
        <w:rFonts w:ascii="宋体" w:hAnsi="宋体" w:eastAsia="宋体" w:cs="宋体"/>
        <w:spacing w:val="-14"/>
        <w:w w:val="99"/>
        <w:sz w:val="18"/>
        <w:szCs w:val="18"/>
      </w:rPr>
      <w:t>福建省能源制度</w:t>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298A2D">
    <w:pPr>
      <w:spacing w:line="172" w:lineRule="auto"/>
      <w:ind w:left="3630"/>
      <w:rPr>
        <w:rFonts w:ascii="宋体" w:hAnsi="宋体" w:eastAsia="宋体" w:cs="宋体"/>
        <w:sz w:val="18"/>
        <w:szCs w:val="18"/>
      </w:rPr>
    </w:pPr>
    <w:r>
      <w:drawing>
        <wp:anchor distT="0" distB="0" distL="0" distR="0" simplePos="0" relativeHeight="251735040" behindDoc="0" locked="0" layoutInCell="1" allowOverlap="1">
          <wp:simplePos x="0" y="0"/>
          <wp:positionH relativeFrom="column">
            <wp:posOffset>0</wp:posOffset>
          </wp:positionH>
          <wp:positionV relativeFrom="paragraph">
            <wp:posOffset>102235</wp:posOffset>
          </wp:positionV>
          <wp:extent cx="5972175" cy="10795"/>
          <wp:effectExtent l="0" t="0" r="0" b="0"/>
          <wp:wrapNone/>
          <wp:docPr id="118" name="IM 118"/>
          <wp:cNvGraphicFramePr/>
          <a:graphic xmlns:a="http://schemas.openxmlformats.org/drawingml/2006/main">
            <a:graphicData uri="http://schemas.openxmlformats.org/drawingml/2006/picture">
              <pic:pic xmlns:pic="http://schemas.openxmlformats.org/drawingml/2006/picture">
                <pic:nvPicPr>
                  <pic:cNvPr id="118" name="IM 118"/>
                  <pic:cNvPicPr/>
                </pic:nvPicPr>
                <pic:blipFill>
                  <a:blip r:embed="rId1"/>
                  <a:stretch>
                    <a:fillRect/>
                  </a:stretch>
                </pic:blipFill>
                <pic:spPr>
                  <a:xfrm>
                    <a:off x="0" y="0"/>
                    <a:ext cx="5972139" cy="10773"/>
                  </a:xfrm>
                  <a:prstGeom prst="rect">
                    <a:avLst/>
                  </a:prstGeom>
                </pic:spPr>
              </pic:pic>
            </a:graphicData>
          </a:graphic>
        </wp:anchor>
      </w:drawing>
    </w:r>
    <w:r>
      <w:rPr>
        <w:rFonts w:ascii="宋体" w:hAnsi="宋体" w:eastAsia="宋体" w:cs="宋体"/>
        <w:spacing w:val="-3"/>
        <w:sz w:val="17"/>
        <w:szCs w:val="17"/>
      </w:rPr>
      <w:t>福 建</w:t>
    </w:r>
    <w:r>
      <w:rPr>
        <w:rFonts w:ascii="宋体" w:hAnsi="宋体" w:eastAsia="宋体" w:cs="宋体"/>
        <w:spacing w:val="12"/>
        <w:sz w:val="17"/>
        <w:szCs w:val="17"/>
      </w:rPr>
      <w:t xml:space="preserve"> </w:t>
    </w:r>
    <w:r>
      <w:rPr>
        <w:rFonts w:ascii="宋体" w:hAnsi="宋体" w:eastAsia="宋体" w:cs="宋体"/>
        <w:spacing w:val="-3"/>
        <w:sz w:val="17"/>
        <w:szCs w:val="17"/>
      </w:rPr>
      <w:t>省</w:t>
    </w:r>
    <w:r>
      <w:rPr>
        <w:rFonts w:ascii="宋体" w:hAnsi="宋体" w:eastAsia="宋体" w:cs="宋体"/>
        <w:spacing w:val="16"/>
        <w:sz w:val="17"/>
        <w:szCs w:val="17"/>
      </w:rPr>
      <w:t xml:space="preserve"> </w:t>
    </w:r>
    <w:r>
      <w:rPr>
        <w:rFonts w:ascii="宋体" w:hAnsi="宋体" w:eastAsia="宋体" w:cs="宋体"/>
        <w:spacing w:val="-3"/>
        <w:sz w:val="17"/>
        <w:szCs w:val="17"/>
      </w:rPr>
      <w:t>能</w:t>
    </w:r>
    <w:r>
      <w:rPr>
        <w:rFonts w:ascii="宋体" w:hAnsi="宋体" w:eastAsia="宋体" w:cs="宋体"/>
        <w:spacing w:val="8"/>
        <w:sz w:val="17"/>
        <w:szCs w:val="17"/>
      </w:rPr>
      <w:t xml:space="preserve"> </w:t>
    </w:r>
    <w:r>
      <w:rPr>
        <w:rFonts w:ascii="宋体" w:hAnsi="宋体" w:eastAsia="宋体" w:cs="宋体"/>
        <w:spacing w:val="-3"/>
        <w:sz w:val="17"/>
        <w:szCs w:val="17"/>
      </w:rPr>
      <w:t>源</w:t>
    </w:r>
    <w:r>
      <w:rPr>
        <w:rFonts w:ascii="宋体" w:hAnsi="宋体" w:eastAsia="宋体" w:cs="宋体"/>
        <w:spacing w:val="10"/>
        <w:sz w:val="17"/>
        <w:szCs w:val="17"/>
      </w:rPr>
      <w:t xml:space="preserve"> </w:t>
    </w:r>
    <w:r>
      <w:rPr>
        <w:rFonts w:ascii="宋体" w:hAnsi="宋体" w:eastAsia="宋体" w:cs="宋体"/>
        <w:spacing w:val="-3"/>
        <w:sz w:val="17"/>
        <w:szCs w:val="17"/>
      </w:rPr>
      <w:t>制</w:t>
    </w:r>
    <w:r>
      <w:rPr>
        <w:rFonts w:ascii="宋体" w:hAnsi="宋体" w:eastAsia="宋体" w:cs="宋体"/>
        <w:spacing w:val="9"/>
        <w:sz w:val="17"/>
        <w:szCs w:val="17"/>
      </w:rPr>
      <w:t xml:space="preserve"> </w:t>
    </w:r>
    <w:r>
      <w:rPr>
        <w:rFonts w:ascii="宋体" w:hAnsi="宋体" w:eastAsia="宋体" w:cs="宋体"/>
        <w:spacing w:val="-3"/>
        <w:sz w:val="17"/>
        <w:szCs w:val="17"/>
      </w:rPr>
      <w:t xml:space="preserve">度                                   </w:t>
    </w:r>
    <w:r>
      <w:rPr>
        <w:rFonts w:ascii="宋体" w:hAnsi="宋体" w:eastAsia="宋体" w:cs="宋体"/>
        <w:spacing w:val="-4"/>
        <w:sz w:val="17"/>
        <w:szCs w:val="17"/>
      </w:rPr>
      <w:t xml:space="preserve">        </w:t>
    </w:r>
    <w:r>
      <w:rPr>
        <w:rFonts w:ascii="宋体" w:hAnsi="宋体" w:eastAsia="宋体" w:cs="宋体"/>
        <w:spacing w:val="-4"/>
        <w:sz w:val="18"/>
        <w:szCs w:val="18"/>
      </w:rPr>
      <w:t>—67—</w:t>
    </w: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609925">
    <w:pPr>
      <w:spacing w:line="163" w:lineRule="auto"/>
      <w:ind w:left="4"/>
      <w:rPr>
        <w:rFonts w:ascii="宋体" w:hAnsi="宋体" w:eastAsia="宋体" w:cs="宋体"/>
        <w:sz w:val="17"/>
        <w:szCs w:val="17"/>
      </w:rPr>
    </w:pPr>
    <w:r>
      <w:rPr>
        <w:rFonts w:ascii="宋体" w:hAnsi="宋体" w:eastAsia="宋体" w:cs="宋体"/>
        <w:spacing w:val="-13"/>
        <w:w w:val="96"/>
        <w:sz w:val="18"/>
        <w:szCs w:val="18"/>
      </w:rPr>
      <w:t>—68—</w:t>
    </w:r>
    <w:r>
      <w:rPr>
        <w:rFonts w:ascii="宋体" w:hAnsi="宋体" w:eastAsia="宋体" w:cs="宋体"/>
        <w:spacing w:val="-76"/>
        <w:sz w:val="18"/>
        <w:szCs w:val="18"/>
      </w:rPr>
      <w:t xml:space="preserve"> </w:t>
    </w:r>
    <w:r>
      <w:rPr>
        <w:rFonts w:ascii="宋体" w:hAnsi="宋体" w:eastAsia="宋体" w:cs="宋体"/>
        <w:spacing w:val="1"/>
        <w:sz w:val="17"/>
        <w:szCs w:val="17"/>
        <w:u w:val="single" w:color="auto"/>
      </w:rPr>
      <w:t xml:space="preserve">                                        </w:t>
    </w:r>
    <w:r>
      <w:rPr>
        <w:rFonts w:ascii="宋体" w:hAnsi="宋体" w:eastAsia="宋体" w:cs="宋体"/>
        <w:spacing w:val="-13"/>
        <w:w w:val="96"/>
        <w:sz w:val="17"/>
        <w:szCs w:val="17"/>
        <w:u w:val="single" w:color="auto"/>
      </w:rPr>
      <w:t>福</w:t>
    </w:r>
    <w:r>
      <w:rPr>
        <w:rFonts w:ascii="宋体" w:hAnsi="宋体" w:eastAsia="宋体" w:cs="宋体"/>
        <w:spacing w:val="31"/>
        <w:sz w:val="17"/>
        <w:szCs w:val="17"/>
        <w:u w:val="single" w:color="auto"/>
      </w:rPr>
      <w:t xml:space="preserve"> </w:t>
    </w:r>
    <w:r>
      <w:rPr>
        <w:rFonts w:ascii="宋体" w:hAnsi="宋体" w:eastAsia="宋体" w:cs="宋体"/>
        <w:spacing w:val="-13"/>
        <w:w w:val="96"/>
        <w:sz w:val="17"/>
        <w:szCs w:val="17"/>
        <w:u w:val="single" w:color="auto"/>
      </w:rPr>
      <w:t>建</w:t>
    </w:r>
    <w:r>
      <w:rPr>
        <w:rFonts w:ascii="宋体" w:hAnsi="宋体" w:eastAsia="宋体" w:cs="宋体"/>
        <w:spacing w:val="21"/>
        <w:sz w:val="17"/>
        <w:szCs w:val="17"/>
        <w:u w:val="single" w:color="auto"/>
      </w:rPr>
      <w:t xml:space="preserve"> </w:t>
    </w:r>
    <w:r>
      <w:rPr>
        <w:rFonts w:ascii="宋体" w:hAnsi="宋体" w:eastAsia="宋体" w:cs="宋体"/>
        <w:spacing w:val="-13"/>
        <w:w w:val="96"/>
        <w:sz w:val="17"/>
        <w:szCs w:val="17"/>
        <w:u w:val="single" w:color="auto"/>
      </w:rPr>
      <w:t>省</w:t>
    </w:r>
    <w:r>
      <w:rPr>
        <w:rFonts w:ascii="宋体" w:hAnsi="宋体" w:eastAsia="宋体" w:cs="宋体"/>
        <w:spacing w:val="24"/>
        <w:sz w:val="17"/>
        <w:szCs w:val="17"/>
        <w:u w:val="single" w:color="auto"/>
      </w:rPr>
      <w:t xml:space="preserve"> </w:t>
    </w:r>
    <w:r>
      <w:rPr>
        <w:rFonts w:ascii="宋体" w:hAnsi="宋体" w:eastAsia="宋体" w:cs="宋体"/>
        <w:spacing w:val="-13"/>
        <w:w w:val="96"/>
        <w:sz w:val="17"/>
        <w:szCs w:val="17"/>
        <w:u w:val="single" w:color="auto"/>
      </w:rPr>
      <w:t>能</w:t>
    </w:r>
    <w:r>
      <w:rPr>
        <w:rFonts w:ascii="宋体" w:hAnsi="宋体" w:eastAsia="宋体" w:cs="宋体"/>
        <w:spacing w:val="17"/>
        <w:sz w:val="17"/>
        <w:szCs w:val="17"/>
        <w:u w:val="single" w:color="auto"/>
      </w:rPr>
      <w:t xml:space="preserve"> </w:t>
    </w:r>
    <w:r>
      <w:rPr>
        <w:rFonts w:ascii="宋体" w:hAnsi="宋体" w:eastAsia="宋体" w:cs="宋体"/>
        <w:spacing w:val="-13"/>
        <w:w w:val="96"/>
        <w:sz w:val="17"/>
        <w:szCs w:val="17"/>
        <w:u w:val="single" w:color="auto"/>
      </w:rPr>
      <w:t>源</w:t>
    </w:r>
    <w:r>
      <w:rPr>
        <w:rFonts w:ascii="宋体" w:hAnsi="宋体" w:eastAsia="宋体" w:cs="宋体"/>
        <w:spacing w:val="19"/>
        <w:sz w:val="17"/>
        <w:szCs w:val="17"/>
        <w:u w:val="single" w:color="auto"/>
      </w:rPr>
      <w:t xml:space="preserve"> </w:t>
    </w:r>
    <w:r>
      <w:rPr>
        <w:rFonts w:ascii="宋体" w:hAnsi="宋体" w:eastAsia="宋体" w:cs="宋体"/>
        <w:spacing w:val="-13"/>
        <w:w w:val="96"/>
        <w:sz w:val="17"/>
        <w:szCs w:val="17"/>
        <w:u w:val="single" w:color="auto"/>
      </w:rPr>
      <w:t>制</w:t>
    </w:r>
    <w:r>
      <w:rPr>
        <w:rFonts w:ascii="宋体" w:hAnsi="宋体" w:eastAsia="宋体" w:cs="宋体"/>
        <w:spacing w:val="17"/>
        <w:sz w:val="17"/>
        <w:szCs w:val="17"/>
        <w:u w:val="single" w:color="auto"/>
      </w:rPr>
      <w:t xml:space="preserve"> </w:t>
    </w:r>
    <w:r>
      <w:rPr>
        <w:rFonts w:ascii="宋体" w:hAnsi="宋体" w:eastAsia="宋体" w:cs="宋体"/>
        <w:spacing w:val="-13"/>
        <w:w w:val="96"/>
        <w:sz w:val="17"/>
        <w:szCs w:val="17"/>
        <w:u w:val="single" w:color="auto"/>
      </w:rPr>
      <w:t>度</w:t>
    </w:r>
    <w:r>
      <w:rPr>
        <w:rFonts w:ascii="宋体" w:hAnsi="宋体" w:eastAsia="宋体" w:cs="宋体"/>
        <w:sz w:val="17"/>
        <w:szCs w:val="17"/>
        <w:u w:val="single" w:color="auto"/>
      </w:rPr>
      <w:t xml:space="preserve">                                             </w:t>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D115B0">
    <w:pPr>
      <w:spacing w:line="185" w:lineRule="auto"/>
      <w:ind w:left="3509"/>
      <w:rPr>
        <w:rFonts w:ascii="宋体" w:hAnsi="宋体" w:eastAsia="宋体" w:cs="宋体"/>
        <w:sz w:val="21"/>
        <w:szCs w:val="21"/>
      </w:rPr>
    </w:pPr>
    <w:r>
      <w:drawing>
        <wp:anchor distT="0" distB="0" distL="0" distR="0" simplePos="0" relativeHeight="251736064" behindDoc="0" locked="0" layoutInCell="1" allowOverlap="1">
          <wp:simplePos x="0" y="0"/>
          <wp:positionH relativeFrom="column">
            <wp:posOffset>0</wp:posOffset>
          </wp:positionH>
          <wp:positionV relativeFrom="paragraph">
            <wp:posOffset>126365</wp:posOffset>
          </wp:positionV>
          <wp:extent cx="5966460" cy="13970"/>
          <wp:effectExtent l="0" t="0" r="0" b="0"/>
          <wp:wrapNone/>
          <wp:docPr id="120" name="IM 120"/>
          <wp:cNvGraphicFramePr/>
          <a:graphic xmlns:a="http://schemas.openxmlformats.org/drawingml/2006/main">
            <a:graphicData uri="http://schemas.openxmlformats.org/drawingml/2006/picture">
              <pic:pic xmlns:pic="http://schemas.openxmlformats.org/drawingml/2006/picture">
                <pic:nvPicPr>
                  <pic:cNvPr id="120" name="IM 120"/>
                  <pic:cNvPicPr/>
                </pic:nvPicPr>
                <pic:blipFill>
                  <a:blip r:embed="rId1"/>
                  <a:stretch>
                    <a:fillRect/>
                  </a:stretch>
                </pic:blipFill>
                <pic:spPr>
                  <a:xfrm>
                    <a:off x="0" y="0"/>
                    <a:ext cx="5966302" cy="13720"/>
                  </a:xfrm>
                  <a:prstGeom prst="rect">
                    <a:avLst/>
                  </a:prstGeom>
                </pic:spPr>
              </pic:pic>
            </a:graphicData>
          </a:graphic>
        </wp:anchor>
      </w:drawing>
    </w:r>
    <w:bookmarkStart w:id="31" w:name="bookmark32"/>
    <w:bookmarkEnd w:id="31"/>
    <w:bookmarkStart w:id="32" w:name="bookmark31"/>
    <w:bookmarkEnd w:id="32"/>
    <w:r>
      <w:rPr>
        <w:rFonts w:ascii="宋体" w:hAnsi="宋体" w:eastAsia="宋体" w:cs="宋体"/>
        <w:spacing w:val="-7"/>
        <w:sz w:val="21"/>
        <w:szCs w:val="21"/>
      </w:rPr>
      <w:t>福</w:t>
    </w:r>
    <w:r>
      <w:rPr>
        <w:rFonts w:ascii="宋体" w:hAnsi="宋体" w:eastAsia="宋体" w:cs="宋体"/>
        <w:spacing w:val="-33"/>
        <w:sz w:val="21"/>
        <w:szCs w:val="21"/>
      </w:rPr>
      <w:t xml:space="preserve"> </w:t>
    </w:r>
    <w:r>
      <w:rPr>
        <w:rFonts w:ascii="宋体" w:hAnsi="宋体" w:eastAsia="宋体" w:cs="宋体"/>
        <w:spacing w:val="-7"/>
        <w:sz w:val="21"/>
        <w:szCs w:val="21"/>
      </w:rPr>
      <w:t>建</w:t>
    </w:r>
    <w:r>
      <w:rPr>
        <w:rFonts w:ascii="宋体" w:hAnsi="宋体" w:eastAsia="宋体" w:cs="宋体"/>
        <w:spacing w:val="-32"/>
        <w:sz w:val="21"/>
        <w:szCs w:val="21"/>
      </w:rPr>
      <w:t xml:space="preserve"> </w:t>
    </w:r>
    <w:r>
      <w:rPr>
        <w:rFonts w:ascii="宋体" w:hAnsi="宋体" w:eastAsia="宋体" w:cs="宋体"/>
        <w:spacing w:val="-7"/>
        <w:sz w:val="21"/>
        <w:szCs w:val="21"/>
      </w:rPr>
      <w:t>省</w:t>
    </w:r>
    <w:r>
      <w:rPr>
        <w:rFonts w:ascii="宋体" w:hAnsi="宋体" w:eastAsia="宋体" w:cs="宋体"/>
        <w:spacing w:val="-27"/>
        <w:sz w:val="21"/>
        <w:szCs w:val="21"/>
      </w:rPr>
      <w:t xml:space="preserve"> </w:t>
    </w:r>
    <w:r>
      <w:rPr>
        <w:rFonts w:ascii="宋体" w:hAnsi="宋体" w:eastAsia="宋体" w:cs="宋体"/>
        <w:spacing w:val="-7"/>
        <w:sz w:val="21"/>
        <w:szCs w:val="21"/>
      </w:rPr>
      <w:t>能</w:t>
    </w:r>
    <w:r>
      <w:rPr>
        <w:rFonts w:ascii="宋体" w:hAnsi="宋体" w:eastAsia="宋体" w:cs="宋体"/>
        <w:spacing w:val="-36"/>
        <w:sz w:val="21"/>
        <w:szCs w:val="21"/>
      </w:rPr>
      <w:t xml:space="preserve"> </w:t>
    </w:r>
    <w:r>
      <w:rPr>
        <w:rFonts w:ascii="宋体" w:hAnsi="宋体" w:eastAsia="宋体" w:cs="宋体"/>
        <w:spacing w:val="-7"/>
        <w:sz w:val="21"/>
        <w:szCs w:val="21"/>
      </w:rPr>
      <w:t>源</w:t>
    </w:r>
    <w:r>
      <w:rPr>
        <w:rFonts w:ascii="宋体" w:hAnsi="宋体" w:eastAsia="宋体" w:cs="宋体"/>
        <w:spacing w:val="-34"/>
        <w:sz w:val="21"/>
        <w:szCs w:val="21"/>
      </w:rPr>
      <w:t xml:space="preserve"> </w:t>
    </w:r>
    <w:r>
      <w:rPr>
        <w:rFonts w:ascii="宋体" w:hAnsi="宋体" w:eastAsia="宋体" w:cs="宋体"/>
        <w:spacing w:val="-7"/>
        <w:sz w:val="21"/>
        <w:szCs w:val="21"/>
      </w:rPr>
      <w:t>制</w:t>
    </w:r>
    <w:r>
      <w:rPr>
        <w:rFonts w:ascii="宋体" w:hAnsi="宋体" w:eastAsia="宋体" w:cs="宋体"/>
        <w:spacing w:val="-36"/>
        <w:sz w:val="21"/>
        <w:szCs w:val="21"/>
      </w:rPr>
      <w:t xml:space="preserve"> </w:t>
    </w:r>
    <w:r>
      <w:rPr>
        <w:rFonts w:ascii="宋体" w:hAnsi="宋体" w:eastAsia="宋体" w:cs="宋体"/>
        <w:spacing w:val="-7"/>
        <w:sz w:val="21"/>
        <w:szCs w:val="21"/>
      </w:rPr>
      <w:t>度</w:t>
    </w:r>
    <w:r>
      <w:rPr>
        <w:rFonts w:ascii="宋体" w:hAnsi="宋体" w:eastAsia="宋体" w:cs="宋体"/>
        <w:spacing w:val="2"/>
        <w:sz w:val="21"/>
        <w:szCs w:val="21"/>
      </w:rPr>
      <w:t xml:space="preserve">                                </w:t>
    </w:r>
    <w:r>
      <w:rPr>
        <w:rFonts w:ascii="宋体" w:hAnsi="宋体" w:eastAsia="宋体" w:cs="宋体"/>
        <w:spacing w:val="-7"/>
        <w:sz w:val="21"/>
        <w:szCs w:val="21"/>
      </w:rPr>
      <w:t>—69—</w:t>
    </w: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50CE32">
    <w:pPr>
      <w:spacing w:line="219" w:lineRule="auto"/>
      <w:ind w:left="10"/>
      <w:rPr>
        <w:rFonts w:ascii="宋体" w:hAnsi="宋体" w:eastAsia="宋体" w:cs="宋体"/>
        <w:sz w:val="18"/>
        <w:szCs w:val="18"/>
      </w:rPr>
    </w:pPr>
    <w:r>
      <w:drawing>
        <wp:anchor distT="0" distB="0" distL="0" distR="0" simplePos="0" relativeHeight="251737088" behindDoc="0" locked="0" layoutInCell="0" allowOverlap="1">
          <wp:simplePos x="0" y="0"/>
          <wp:positionH relativeFrom="page">
            <wp:posOffset>786765</wp:posOffset>
          </wp:positionH>
          <wp:positionV relativeFrom="page">
            <wp:posOffset>697865</wp:posOffset>
          </wp:positionV>
          <wp:extent cx="5981700" cy="6350"/>
          <wp:effectExtent l="0" t="0" r="0" b="0"/>
          <wp:wrapNone/>
          <wp:docPr id="122" name="IM 122"/>
          <wp:cNvGraphicFramePr/>
          <a:graphic xmlns:a="http://schemas.openxmlformats.org/drawingml/2006/main">
            <a:graphicData uri="http://schemas.openxmlformats.org/drawingml/2006/picture">
              <pic:pic xmlns:pic="http://schemas.openxmlformats.org/drawingml/2006/picture">
                <pic:nvPicPr>
                  <pic:cNvPr id="122" name="IM 122"/>
                  <pic:cNvPicPr/>
                </pic:nvPicPr>
                <pic:blipFill>
                  <a:blip r:embed="rId1"/>
                  <a:stretch>
                    <a:fillRect/>
                  </a:stretch>
                </pic:blipFill>
                <pic:spPr>
                  <a:xfrm>
                    <a:off x="0" y="0"/>
                    <a:ext cx="5981761" cy="6350"/>
                  </a:xfrm>
                  <a:prstGeom prst="rect">
                    <a:avLst/>
                  </a:prstGeom>
                </pic:spPr>
              </pic:pic>
            </a:graphicData>
          </a:graphic>
        </wp:anchor>
      </w:drawing>
    </w:r>
    <w:r>
      <w:rPr>
        <w:rFonts w:ascii="宋体" w:hAnsi="宋体" w:eastAsia="宋体" w:cs="宋体"/>
        <w:spacing w:val="-15"/>
        <w:w w:val="99"/>
        <w:sz w:val="18"/>
        <w:szCs w:val="18"/>
      </w:rPr>
      <w:t>—70—</w:t>
    </w:r>
    <w:r>
      <w:rPr>
        <w:rFonts w:ascii="宋体" w:hAnsi="宋体" w:eastAsia="宋体" w:cs="宋体"/>
        <w:spacing w:val="1"/>
        <w:sz w:val="18"/>
        <w:szCs w:val="18"/>
      </w:rPr>
      <w:t xml:space="preserve">                                   </w:t>
    </w:r>
    <w:r>
      <w:rPr>
        <w:rFonts w:ascii="宋体" w:hAnsi="宋体" w:eastAsia="宋体" w:cs="宋体"/>
        <w:sz w:val="18"/>
        <w:szCs w:val="18"/>
      </w:rPr>
      <w:t xml:space="preserve">      </w:t>
    </w:r>
    <w:r>
      <w:rPr>
        <w:rFonts w:ascii="宋体" w:hAnsi="宋体" w:eastAsia="宋体" w:cs="宋体"/>
        <w:spacing w:val="-15"/>
        <w:w w:val="99"/>
        <w:sz w:val="18"/>
        <w:szCs w:val="18"/>
      </w:rPr>
      <w:t>福建省能源制度</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66328">
    <w:pPr>
      <w:spacing w:line="219" w:lineRule="auto"/>
      <w:ind w:left="16"/>
      <w:rPr>
        <w:rFonts w:ascii="宋体" w:hAnsi="宋体" w:eastAsia="宋体" w:cs="宋体"/>
        <w:sz w:val="18"/>
        <w:szCs w:val="18"/>
      </w:rPr>
    </w:pPr>
    <w:r>
      <w:drawing>
        <wp:anchor distT="0" distB="0" distL="0" distR="0" simplePos="0" relativeHeight="251669504" behindDoc="0" locked="0" layoutInCell="0" allowOverlap="1">
          <wp:simplePos x="0" y="0"/>
          <wp:positionH relativeFrom="page">
            <wp:posOffset>786765</wp:posOffset>
          </wp:positionH>
          <wp:positionV relativeFrom="page">
            <wp:posOffset>697865</wp:posOffset>
          </wp:positionV>
          <wp:extent cx="5981700" cy="6350"/>
          <wp:effectExtent l="0" t="0" r="0" b="0"/>
          <wp:wrapNone/>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1"/>
                  <a:stretch>
                    <a:fillRect/>
                  </a:stretch>
                </pic:blipFill>
                <pic:spPr>
                  <a:xfrm>
                    <a:off x="0" y="0"/>
                    <a:ext cx="5981761" cy="6350"/>
                  </a:xfrm>
                  <a:prstGeom prst="rect">
                    <a:avLst/>
                  </a:prstGeom>
                </pic:spPr>
              </pic:pic>
            </a:graphicData>
          </a:graphic>
        </wp:anchor>
      </w:drawing>
    </w:r>
    <w:r>
      <w:rPr>
        <w:rFonts w:ascii="宋体" w:hAnsi="宋体" w:eastAsia="宋体" w:cs="宋体"/>
        <w:b/>
        <w:bCs/>
        <w:spacing w:val="-13"/>
        <w:w w:val="97"/>
        <w:sz w:val="18"/>
        <w:szCs w:val="18"/>
      </w:rPr>
      <w:t>—8—</w:t>
    </w:r>
    <w:r>
      <w:rPr>
        <w:rFonts w:ascii="宋体" w:hAnsi="宋体" w:eastAsia="宋体" w:cs="宋体"/>
        <w:sz w:val="18"/>
        <w:szCs w:val="18"/>
      </w:rPr>
      <w:t xml:space="preserve">                                          </w:t>
    </w:r>
    <w:r>
      <w:rPr>
        <w:rFonts w:ascii="宋体" w:hAnsi="宋体" w:eastAsia="宋体" w:cs="宋体"/>
        <w:spacing w:val="-13"/>
        <w:w w:val="97"/>
        <w:sz w:val="18"/>
        <w:szCs w:val="18"/>
      </w:rPr>
      <w:t>福建省能源制度</w:t>
    </w: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3B3E3">
    <w:pPr>
      <w:spacing w:line="175" w:lineRule="auto"/>
      <w:ind w:left="3622"/>
      <w:rPr>
        <w:rFonts w:ascii="宋体" w:hAnsi="宋体" w:eastAsia="宋体" w:cs="宋体"/>
        <w:sz w:val="17"/>
        <w:szCs w:val="17"/>
      </w:rPr>
    </w:pPr>
    <w:r>
      <w:drawing>
        <wp:anchor distT="0" distB="0" distL="0" distR="0" simplePos="0" relativeHeight="251739136" behindDoc="0" locked="0" layoutInCell="1" allowOverlap="1">
          <wp:simplePos x="0" y="0"/>
          <wp:positionH relativeFrom="column">
            <wp:posOffset>0</wp:posOffset>
          </wp:positionH>
          <wp:positionV relativeFrom="paragraph">
            <wp:posOffset>102235</wp:posOffset>
          </wp:positionV>
          <wp:extent cx="5989955" cy="6350"/>
          <wp:effectExtent l="0" t="0" r="0" b="0"/>
          <wp:wrapNone/>
          <wp:docPr id="124" name="IM 124"/>
          <wp:cNvGraphicFramePr/>
          <a:graphic xmlns:a="http://schemas.openxmlformats.org/drawingml/2006/main">
            <a:graphicData uri="http://schemas.openxmlformats.org/drawingml/2006/picture">
              <pic:pic xmlns:pic="http://schemas.openxmlformats.org/drawingml/2006/picture">
                <pic:nvPicPr>
                  <pic:cNvPr id="124" name="IM 124"/>
                  <pic:cNvPicPr/>
                </pic:nvPicPr>
                <pic:blipFill>
                  <a:blip r:embed="rId1"/>
                  <a:stretch>
                    <a:fillRect/>
                  </a:stretch>
                </pic:blipFill>
                <pic:spPr>
                  <a:xfrm>
                    <a:off x="0" y="0"/>
                    <a:ext cx="5990180" cy="6350"/>
                  </a:xfrm>
                  <a:prstGeom prst="rect">
                    <a:avLst/>
                  </a:prstGeom>
                </pic:spPr>
              </pic:pic>
            </a:graphicData>
          </a:graphic>
        </wp:anchor>
      </w:drawing>
    </w:r>
    <w:r>
      <w:pict>
        <v:shape id="_x0000_s2065" o:spid="_x0000_s2065" o:spt="202" type="#_x0000_t202" style="position:absolute;left:0pt;margin-left:461.1pt;margin-top:2.05pt;height:8.5pt;width:11.55pt;z-index:251738112;mso-width-relative:page;mso-height-relative:page;" filled="f" stroked="f" coordsize="21600,21600">
          <v:path/>
          <v:fill on="f" focussize="0,0"/>
          <v:stroke on="f"/>
          <v:imagedata o:title=""/>
          <o:lock v:ext="edit" aspectratio="f"/>
          <v:textbox inset="0mm,0mm,0mm,0mm">
            <w:txbxContent>
              <w:p w14:paraId="013F8CC9">
                <w:pPr>
                  <w:spacing w:before="19" w:line="184" w:lineRule="auto"/>
                  <w:ind w:left="20"/>
                  <w:rPr>
                    <w:rFonts w:ascii="宋体" w:hAnsi="宋体" w:eastAsia="宋体" w:cs="宋体"/>
                    <w:sz w:val="13"/>
                    <w:szCs w:val="13"/>
                  </w:rPr>
                </w:pPr>
                <w:r>
                  <w:rPr>
                    <w:rFonts w:ascii="宋体" w:hAnsi="宋体" w:eastAsia="宋体" w:cs="宋体"/>
                    <w:spacing w:val="-1"/>
                    <w:sz w:val="13"/>
                    <w:szCs w:val="13"/>
                  </w:rPr>
                  <w:t>-71</w:t>
                </w:r>
              </w:p>
            </w:txbxContent>
          </v:textbox>
        </v:shape>
      </w:pict>
    </w:r>
    <w:r>
      <w:rPr>
        <w:rFonts w:ascii="宋体" w:hAnsi="宋体" w:eastAsia="宋体" w:cs="宋体"/>
        <w:spacing w:val="-8"/>
        <w:sz w:val="17"/>
        <w:szCs w:val="17"/>
      </w:rPr>
      <w:t>福</w:t>
    </w:r>
    <w:r>
      <w:rPr>
        <w:rFonts w:ascii="宋体" w:hAnsi="宋体" w:eastAsia="宋体" w:cs="宋体"/>
        <w:spacing w:val="15"/>
        <w:sz w:val="17"/>
        <w:szCs w:val="17"/>
      </w:rPr>
      <w:t xml:space="preserve"> </w:t>
    </w:r>
    <w:r>
      <w:rPr>
        <w:rFonts w:ascii="宋体" w:hAnsi="宋体" w:eastAsia="宋体" w:cs="宋体"/>
        <w:spacing w:val="-8"/>
        <w:sz w:val="17"/>
        <w:szCs w:val="17"/>
      </w:rPr>
      <w:t>建</w:t>
    </w:r>
    <w:r>
      <w:rPr>
        <w:rFonts w:ascii="宋体" w:hAnsi="宋体" w:eastAsia="宋体" w:cs="宋体"/>
        <w:spacing w:val="11"/>
        <w:sz w:val="17"/>
        <w:szCs w:val="17"/>
      </w:rPr>
      <w:t xml:space="preserve"> </w:t>
    </w:r>
    <w:r>
      <w:rPr>
        <w:rFonts w:ascii="宋体" w:hAnsi="宋体" w:eastAsia="宋体" w:cs="宋体"/>
        <w:spacing w:val="-8"/>
        <w:sz w:val="17"/>
        <w:szCs w:val="17"/>
      </w:rPr>
      <w:t>省</w:t>
    </w:r>
    <w:r>
      <w:rPr>
        <w:rFonts w:ascii="宋体" w:hAnsi="宋体" w:eastAsia="宋体" w:cs="宋体"/>
        <w:spacing w:val="16"/>
        <w:sz w:val="17"/>
        <w:szCs w:val="17"/>
      </w:rPr>
      <w:t xml:space="preserve"> </w:t>
    </w:r>
    <w:r>
      <w:rPr>
        <w:rFonts w:ascii="宋体" w:hAnsi="宋体" w:eastAsia="宋体" w:cs="宋体"/>
        <w:spacing w:val="-8"/>
        <w:sz w:val="17"/>
        <w:szCs w:val="17"/>
      </w:rPr>
      <w:t>能</w:t>
    </w:r>
    <w:r>
      <w:rPr>
        <w:rFonts w:ascii="宋体" w:hAnsi="宋体" w:eastAsia="宋体" w:cs="宋体"/>
        <w:spacing w:val="8"/>
        <w:sz w:val="17"/>
        <w:szCs w:val="17"/>
      </w:rPr>
      <w:t xml:space="preserve"> </w:t>
    </w:r>
    <w:r>
      <w:rPr>
        <w:rFonts w:ascii="宋体" w:hAnsi="宋体" w:eastAsia="宋体" w:cs="宋体"/>
        <w:spacing w:val="-8"/>
        <w:sz w:val="17"/>
        <w:szCs w:val="17"/>
      </w:rPr>
      <w:t>源</w:t>
    </w:r>
    <w:r>
      <w:rPr>
        <w:rFonts w:ascii="宋体" w:hAnsi="宋体" w:eastAsia="宋体" w:cs="宋体"/>
        <w:spacing w:val="10"/>
        <w:sz w:val="17"/>
        <w:szCs w:val="17"/>
      </w:rPr>
      <w:t xml:space="preserve"> </w:t>
    </w:r>
    <w:r>
      <w:rPr>
        <w:rFonts w:ascii="宋体" w:hAnsi="宋体" w:eastAsia="宋体" w:cs="宋体"/>
        <w:spacing w:val="-8"/>
        <w:sz w:val="17"/>
        <w:szCs w:val="17"/>
      </w:rPr>
      <w:t>制</w:t>
    </w:r>
    <w:r>
      <w:rPr>
        <w:rFonts w:ascii="宋体" w:hAnsi="宋体" w:eastAsia="宋体" w:cs="宋体"/>
        <w:spacing w:val="8"/>
        <w:sz w:val="17"/>
        <w:szCs w:val="17"/>
      </w:rPr>
      <w:t xml:space="preserve"> </w:t>
    </w:r>
    <w:r>
      <w:rPr>
        <w:rFonts w:ascii="宋体" w:hAnsi="宋体" w:eastAsia="宋体" w:cs="宋体"/>
        <w:spacing w:val="-8"/>
        <w:sz w:val="17"/>
        <w:szCs w:val="17"/>
      </w:rPr>
      <w:t>度</w:t>
    </w: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8C028">
    <w:pPr>
      <w:spacing w:line="174" w:lineRule="auto"/>
      <w:ind w:left="354"/>
      <w:rPr>
        <w:rFonts w:ascii="宋体" w:hAnsi="宋体" w:eastAsia="宋体" w:cs="宋体"/>
        <w:sz w:val="18"/>
        <w:szCs w:val="18"/>
      </w:rPr>
    </w:pPr>
    <w:r>
      <w:drawing>
        <wp:anchor distT="0" distB="0" distL="0" distR="0" simplePos="0" relativeHeight="251740160" behindDoc="0" locked="0" layoutInCell="1" allowOverlap="1">
          <wp:simplePos x="0" y="0"/>
          <wp:positionH relativeFrom="column">
            <wp:posOffset>0</wp:posOffset>
          </wp:positionH>
          <wp:positionV relativeFrom="paragraph">
            <wp:posOffset>107950</wp:posOffset>
          </wp:positionV>
          <wp:extent cx="5981700" cy="6350"/>
          <wp:effectExtent l="0" t="0" r="0" b="0"/>
          <wp:wrapNone/>
          <wp:docPr id="126" name="IM 126"/>
          <wp:cNvGraphicFramePr/>
          <a:graphic xmlns:a="http://schemas.openxmlformats.org/drawingml/2006/main">
            <a:graphicData uri="http://schemas.openxmlformats.org/drawingml/2006/picture">
              <pic:pic xmlns:pic="http://schemas.openxmlformats.org/drawingml/2006/picture">
                <pic:nvPicPr>
                  <pic:cNvPr id="126" name="IM 126"/>
                  <pic:cNvPicPr/>
                </pic:nvPicPr>
                <pic:blipFill>
                  <a:blip r:embed="rId1"/>
                  <a:stretch>
                    <a:fillRect/>
                  </a:stretch>
                </pic:blipFill>
                <pic:spPr>
                  <a:xfrm>
                    <a:off x="0" y="0"/>
                    <a:ext cx="5981760" cy="6350"/>
                  </a:xfrm>
                  <a:prstGeom prst="rect">
                    <a:avLst/>
                  </a:prstGeom>
                </pic:spPr>
              </pic:pic>
            </a:graphicData>
          </a:graphic>
        </wp:anchor>
      </w:drawing>
    </w:r>
    <w:r>
      <w:rPr>
        <w:rFonts w:ascii="宋体" w:hAnsi="宋体" w:eastAsia="宋体" w:cs="宋体"/>
        <w:spacing w:val="187"/>
        <w:w w:val="175"/>
        <w:sz w:val="18"/>
        <w:szCs w:val="18"/>
      </w:rPr>
      <w:t>—72—</w:t>
    </w:r>
    <w:r>
      <w:rPr>
        <w:rFonts w:ascii="宋体" w:hAnsi="宋体" w:eastAsia="宋体" w:cs="宋体"/>
        <w:spacing w:val="3"/>
        <w:sz w:val="18"/>
        <w:szCs w:val="18"/>
      </w:rPr>
      <w:t xml:space="preserve">                      </w:t>
    </w:r>
    <w:r>
      <w:rPr>
        <w:rFonts w:ascii="宋体" w:hAnsi="宋体" w:eastAsia="宋体" w:cs="宋体"/>
        <w:spacing w:val="-6"/>
        <w:sz w:val="18"/>
        <w:szCs w:val="18"/>
      </w:rPr>
      <w:t>福 建</w:t>
    </w:r>
    <w:r>
      <w:rPr>
        <w:rFonts w:ascii="宋体" w:hAnsi="宋体" w:eastAsia="宋体" w:cs="宋体"/>
        <w:spacing w:val="13"/>
        <w:sz w:val="18"/>
        <w:szCs w:val="18"/>
      </w:rPr>
      <w:t xml:space="preserve"> </w:t>
    </w:r>
    <w:r>
      <w:rPr>
        <w:rFonts w:ascii="宋体" w:hAnsi="宋体" w:eastAsia="宋体" w:cs="宋体"/>
        <w:spacing w:val="-6"/>
        <w:sz w:val="18"/>
        <w:szCs w:val="18"/>
      </w:rPr>
      <w:t>省</w:t>
    </w:r>
    <w:r>
      <w:rPr>
        <w:rFonts w:ascii="宋体" w:hAnsi="宋体" w:eastAsia="宋体" w:cs="宋体"/>
        <w:spacing w:val="11"/>
        <w:sz w:val="18"/>
        <w:szCs w:val="18"/>
      </w:rPr>
      <w:t xml:space="preserve"> </w:t>
    </w:r>
    <w:r>
      <w:rPr>
        <w:rFonts w:ascii="宋体" w:hAnsi="宋体" w:eastAsia="宋体" w:cs="宋体"/>
        <w:spacing w:val="-6"/>
        <w:sz w:val="18"/>
        <w:szCs w:val="18"/>
      </w:rPr>
      <w:t>能</w:t>
    </w:r>
    <w:r>
      <w:rPr>
        <w:rFonts w:ascii="宋体" w:hAnsi="宋体" w:eastAsia="宋体" w:cs="宋体"/>
        <w:spacing w:val="3"/>
        <w:sz w:val="18"/>
        <w:szCs w:val="18"/>
      </w:rPr>
      <w:t xml:space="preserve"> </w:t>
    </w:r>
    <w:r>
      <w:rPr>
        <w:rFonts w:ascii="宋体" w:hAnsi="宋体" w:eastAsia="宋体" w:cs="宋体"/>
        <w:spacing w:val="-6"/>
        <w:sz w:val="18"/>
        <w:szCs w:val="18"/>
      </w:rPr>
      <w:t>源</w:t>
    </w:r>
    <w:r>
      <w:rPr>
        <w:rFonts w:ascii="宋体" w:hAnsi="宋体" w:eastAsia="宋体" w:cs="宋体"/>
        <w:spacing w:val="5"/>
        <w:sz w:val="18"/>
        <w:szCs w:val="18"/>
      </w:rPr>
      <w:t xml:space="preserve"> </w:t>
    </w:r>
    <w:r>
      <w:rPr>
        <w:rFonts w:ascii="宋体" w:hAnsi="宋体" w:eastAsia="宋体" w:cs="宋体"/>
        <w:spacing w:val="-6"/>
        <w:sz w:val="18"/>
        <w:szCs w:val="18"/>
      </w:rPr>
      <w:t>制</w:t>
    </w:r>
    <w:r>
      <w:rPr>
        <w:rFonts w:ascii="宋体" w:hAnsi="宋体" w:eastAsia="宋体" w:cs="宋体"/>
        <w:spacing w:val="4"/>
        <w:sz w:val="18"/>
        <w:szCs w:val="18"/>
      </w:rPr>
      <w:t xml:space="preserve"> </w:t>
    </w:r>
    <w:r>
      <w:rPr>
        <w:rFonts w:ascii="宋体" w:hAnsi="宋体" w:eastAsia="宋体" w:cs="宋体"/>
        <w:spacing w:val="-6"/>
        <w:sz w:val="18"/>
        <w:szCs w:val="18"/>
      </w:rPr>
      <w:t>度</w:t>
    </w: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F683BA">
    <w:pPr>
      <w:pStyle w:val="2"/>
      <w:spacing w:line="14" w:lineRule="auto"/>
      <w:rPr>
        <w:sz w:val="2"/>
      </w:rPr>
    </w:pP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151849">
    <w:pPr>
      <w:spacing w:line="219" w:lineRule="auto"/>
      <w:rPr>
        <w:rFonts w:ascii="宋体" w:hAnsi="宋体" w:eastAsia="宋体" w:cs="宋体"/>
        <w:sz w:val="18"/>
        <w:szCs w:val="18"/>
      </w:rPr>
    </w:pPr>
    <w:r>
      <w:drawing>
        <wp:anchor distT="0" distB="0" distL="0" distR="0" simplePos="0" relativeHeight="251741184" behindDoc="0" locked="0" layoutInCell="0" allowOverlap="1">
          <wp:simplePos x="0" y="0"/>
          <wp:positionH relativeFrom="page">
            <wp:posOffset>786765</wp:posOffset>
          </wp:positionH>
          <wp:positionV relativeFrom="page">
            <wp:posOffset>697865</wp:posOffset>
          </wp:positionV>
          <wp:extent cx="5981700" cy="6350"/>
          <wp:effectExtent l="0" t="0" r="0" b="0"/>
          <wp:wrapNone/>
          <wp:docPr id="130" name="IM 130"/>
          <wp:cNvGraphicFramePr/>
          <a:graphic xmlns:a="http://schemas.openxmlformats.org/drawingml/2006/main">
            <a:graphicData uri="http://schemas.openxmlformats.org/drawingml/2006/picture">
              <pic:pic xmlns:pic="http://schemas.openxmlformats.org/drawingml/2006/picture">
                <pic:nvPicPr>
                  <pic:cNvPr id="130" name="IM 130"/>
                  <pic:cNvPicPr/>
                </pic:nvPicPr>
                <pic:blipFill>
                  <a:blip r:embed="rId1"/>
                  <a:stretch>
                    <a:fillRect/>
                  </a:stretch>
                </pic:blipFill>
                <pic:spPr>
                  <a:xfrm>
                    <a:off x="0" y="0"/>
                    <a:ext cx="5981761" cy="6350"/>
                  </a:xfrm>
                  <a:prstGeom prst="rect">
                    <a:avLst/>
                  </a:prstGeom>
                </pic:spPr>
              </pic:pic>
            </a:graphicData>
          </a:graphic>
        </wp:anchor>
      </w:drawing>
    </w:r>
    <w:r>
      <w:rPr>
        <w:rFonts w:ascii="宋体" w:hAnsi="宋体" w:eastAsia="宋体" w:cs="宋体"/>
        <w:spacing w:val="-14"/>
        <w:w w:val="99"/>
        <w:position w:val="-1"/>
        <w:sz w:val="18"/>
        <w:szCs w:val="18"/>
      </w:rPr>
      <w:t>—74—</w:t>
    </w:r>
    <w:r>
      <w:rPr>
        <w:rFonts w:ascii="宋体" w:hAnsi="宋体" w:eastAsia="宋体" w:cs="宋体"/>
        <w:spacing w:val="1"/>
        <w:position w:val="-1"/>
        <w:sz w:val="18"/>
        <w:szCs w:val="18"/>
      </w:rPr>
      <w:t xml:space="preserve">                        </w:t>
    </w:r>
    <w:r>
      <w:rPr>
        <w:rFonts w:ascii="宋体" w:hAnsi="宋体" w:eastAsia="宋体" w:cs="宋体"/>
        <w:position w:val="-1"/>
        <w:sz w:val="18"/>
        <w:szCs w:val="18"/>
      </w:rPr>
      <w:t xml:space="preserve">                 </w:t>
    </w:r>
    <w:r>
      <w:rPr>
        <w:rFonts w:ascii="宋体" w:hAnsi="宋体" w:eastAsia="宋体" w:cs="宋体"/>
        <w:spacing w:val="-14"/>
        <w:w w:val="99"/>
        <w:sz w:val="18"/>
        <w:szCs w:val="18"/>
      </w:rPr>
      <w:t>福建省能源制度</w:t>
    </w: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696D4">
    <w:pPr>
      <w:pStyle w:val="2"/>
      <w:spacing w:line="14" w:lineRule="auto"/>
      <w:rPr>
        <w:sz w:val="2"/>
      </w:rPr>
    </w:pP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6C07F">
    <w:pPr>
      <w:spacing w:line="163" w:lineRule="auto"/>
      <w:ind w:left="10"/>
      <w:rPr>
        <w:rFonts w:ascii="宋体" w:hAnsi="宋体" w:eastAsia="宋体" w:cs="宋体"/>
        <w:sz w:val="17"/>
        <w:szCs w:val="17"/>
      </w:rPr>
    </w:pPr>
    <w:r>
      <w:rPr>
        <w:rFonts w:ascii="宋体" w:hAnsi="宋体" w:eastAsia="宋体" w:cs="宋体"/>
        <w:spacing w:val="-13"/>
        <w:w w:val="95"/>
        <w:position w:val="-1"/>
        <w:sz w:val="18"/>
        <w:szCs w:val="18"/>
      </w:rPr>
      <w:t>—76—</w:t>
    </w:r>
    <w:r>
      <w:rPr>
        <w:rFonts w:ascii="宋体" w:hAnsi="宋体" w:eastAsia="宋体" w:cs="宋体"/>
        <w:spacing w:val="-78"/>
        <w:position w:val="-1"/>
        <w:sz w:val="18"/>
        <w:szCs w:val="18"/>
      </w:rPr>
      <w:t xml:space="preserve"> </w:t>
    </w:r>
    <w:r>
      <w:rPr>
        <w:rFonts w:ascii="宋体" w:hAnsi="宋体" w:eastAsia="宋体" w:cs="宋体"/>
        <w:spacing w:val="1"/>
        <w:sz w:val="17"/>
        <w:szCs w:val="17"/>
        <w:u w:val="single" w:color="auto"/>
      </w:rPr>
      <w:t xml:space="preserve">                                        </w:t>
    </w:r>
    <w:r>
      <w:rPr>
        <w:rFonts w:ascii="宋体" w:hAnsi="宋体" w:eastAsia="宋体" w:cs="宋体"/>
        <w:spacing w:val="-13"/>
        <w:w w:val="95"/>
        <w:sz w:val="17"/>
        <w:szCs w:val="17"/>
        <w:u w:val="single" w:color="auto"/>
      </w:rPr>
      <w:t>福</w:t>
    </w:r>
    <w:r>
      <w:rPr>
        <w:rFonts w:ascii="宋体" w:hAnsi="宋体" w:eastAsia="宋体" w:cs="宋体"/>
        <w:spacing w:val="35"/>
        <w:sz w:val="17"/>
        <w:szCs w:val="17"/>
        <w:u w:val="single" w:color="auto"/>
      </w:rPr>
      <w:t xml:space="preserve"> </w:t>
    </w:r>
    <w:r>
      <w:rPr>
        <w:rFonts w:ascii="宋体" w:hAnsi="宋体" w:eastAsia="宋体" w:cs="宋体"/>
        <w:spacing w:val="-13"/>
        <w:w w:val="95"/>
        <w:sz w:val="17"/>
        <w:szCs w:val="17"/>
        <w:u w:val="single" w:color="auto"/>
      </w:rPr>
      <w:t>建</w:t>
    </w:r>
    <w:r>
      <w:rPr>
        <w:rFonts w:ascii="宋体" w:hAnsi="宋体" w:eastAsia="宋体" w:cs="宋体"/>
        <w:spacing w:val="21"/>
        <w:sz w:val="17"/>
        <w:szCs w:val="17"/>
        <w:u w:val="single" w:color="auto"/>
      </w:rPr>
      <w:t xml:space="preserve"> </w:t>
    </w:r>
    <w:r>
      <w:rPr>
        <w:rFonts w:ascii="宋体" w:hAnsi="宋体" w:eastAsia="宋体" w:cs="宋体"/>
        <w:spacing w:val="-13"/>
        <w:w w:val="95"/>
        <w:sz w:val="17"/>
        <w:szCs w:val="17"/>
        <w:u w:val="single" w:color="auto"/>
      </w:rPr>
      <w:t>省</w:t>
    </w:r>
    <w:r>
      <w:rPr>
        <w:rFonts w:ascii="宋体" w:hAnsi="宋体" w:eastAsia="宋体" w:cs="宋体"/>
        <w:spacing w:val="24"/>
        <w:sz w:val="17"/>
        <w:szCs w:val="17"/>
        <w:u w:val="single" w:color="auto"/>
      </w:rPr>
      <w:t xml:space="preserve"> </w:t>
    </w:r>
    <w:r>
      <w:rPr>
        <w:rFonts w:ascii="宋体" w:hAnsi="宋体" w:eastAsia="宋体" w:cs="宋体"/>
        <w:spacing w:val="-13"/>
        <w:w w:val="95"/>
        <w:sz w:val="17"/>
        <w:szCs w:val="17"/>
        <w:u w:val="single" w:color="auto"/>
      </w:rPr>
      <w:t>能</w:t>
    </w:r>
    <w:r>
      <w:rPr>
        <w:rFonts w:ascii="宋体" w:hAnsi="宋体" w:eastAsia="宋体" w:cs="宋体"/>
        <w:spacing w:val="18"/>
        <w:sz w:val="17"/>
        <w:szCs w:val="17"/>
        <w:u w:val="single" w:color="auto"/>
      </w:rPr>
      <w:t xml:space="preserve"> </w:t>
    </w:r>
    <w:r>
      <w:rPr>
        <w:rFonts w:ascii="宋体" w:hAnsi="宋体" w:eastAsia="宋体" w:cs="宋体"/>
        <w:spacing w:val="-13"/>
        <w:w w:val="95"/>
        <w:sz w:val="17"/>
        <w:szCs w:val="17"/>
        <w:u w:val="single" w:color="auto"/>
      </w:rPr>
      <w:t>源</w:t>
    </w:r>
    <w:r>
      <w:rPr>
        <w:rFonts w:ascii="宋体" w:hAnsi="宋体" w:eastAsia="宋体" w:cs="宋体"/>
        <w:spacing w:val="19"/>
        <w:sz w:val="17"/>
        <w:szCs w:val="17"/>
        <w:u w:val="single" w:color="auto"/>
      </w:rPr>
      <w:t xml:space="preserve"> </w:t>
    </w:r>
    <w:r>
      <w:rPr>
        <w:rFonts w:ascii="宋体" w:hAnsi="宋体" w:eastAsia="宋体" w:cs="宋体"/>
        <w:spacing w:val="-13"/>
        <w:w w:val="95"/>
        <w:sz w:val="17"/>
        <w:szCs w:val="17"/>
        <w:u w:val="single" w:color="auto"/>
      </w:rPr>
      <w:t>制</w:t>
    </w:r>
    <w:r>
      <w:rPr>
        <w:rFonts w:ascii="宋体" w:hAnsi="宋体" w:eastAsia="宋体" w:cs="宋体"/>
        <w:spacing w:val="17"/>
        <w:sz w:val="17"/>
        <w:szCs w:val="17"/>
        <w:u w:val="single" w:color="auto"/>
      </w:rPr>
      <w:t xml:space="preserve"> </w:t>
    </w:r>
    <w:r>
      <w:rPr>
        <w:rFonts w:ascii="宋体" w:hAnsi="宋体" w:eastAsia="宋体" w:cs="宋体"/>
        <w:spacing w:val="-13"/>
        <w:w w:val="95"/>
        <w:sz w:val="17"/>
        <w:szCs w:val="17"/>
        <w:u w:val="single" w:color="auto"/>
      </w:rPr>
      <w:t>度</w:t>
    </w:r>
    <w:r>
      <w:rPr>
        <w:rFonts w:ascii="宋体" w:hAnsi="宋体" w:eastAsia="宋体" w:cs="宋体"/>
        <w:sz w:val="17"/>
        <w:szCs w:val="17"/>
        <w:u w:val="single" w:color="auto"/>
      </w:rPr>
      <w:t xml:space="preserve">                                             </w:t>
    </w: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A51D1B">
    <w:pPr>
      <w:spacing w:line="219" w:lineRule="auto"/>
      <w:ind w:right="35"/>
      <w:jc w:val="right"/>
      <w:rPr>
        <w:rFonts w:ascii="宋体" w:hAnsi="宋体" w:eastAsia="宋体" w:cs="宋体"/>
        <w:sz w:val="21"/>
        <w:szCs w:val="21"/>
      </w:rPr>
    </w:pPr>
    <w:r>
      <w:drawing>
        <wp:anchor distT="0" distB="0" distL="0" distR="0" simplePos="0" relativeHeight="251742208" behindDoc="0" locked="0" layoutInCell="0" allowOverlap="1">
          <wp:simplePos x="0" y="0"/>
          <wp:positionH relativeFrom="page">
            <wp:posOffset>786765</wp:posOffset>
          </wp:positionH>
          <wp:positionV relativeFrom="page">
            <wp:posOffset>697865</wp:posOffset>
          </wp:positionV>
          <wp:extent cx="5981700" cy="6350"/>
          <wp:effectExtent l="0" t="0" r="0" b="0"/>
          <wp:wrapNone/>
          <wp:docPr id="134" name="IM 134"/>
          <wp:cNvGraphicFramePr/>
          <a:graphic xmlns:a="http://schemas.openxmlformats.org/drawingml/2006/main">
            <a:graphicData uri="http://schemas.openxmlformats.org/drawingml/2006/picture">
              <pic:pic xmlns:pic="http://schemas.openxmlformats.org/drawingml/2006/picture">
                <pic:nvPicPr>
                  <pic:cNvPr id="134" name="IM 134"/>
                  <pic:cNvPicPr/>
                </pic:nvPicPr>
                <pic:blipFill>
                  <a:blip r:embed="rId1"/>
                  <a:stretch>
                    <a:fillRect/>
                  </a:stretch>
                </pic:blipFill>
                <pic:spPr>
                  <a:xfrm>
                    <a:off x="0" y="0"/>
                    <a:ext cx="5981761" cy="6350"/>
                  </a:xfrm>
                  <a:prstGeom prst="rect">
                    <a:avLst/>
                  </a:prstGeom>
                </pic:spPr>
              </pic:pic>
            </a:graphicData>
          </a:graphic>
        </wp:anchor>
      </w:drawing>
    </w:r>
    <w:r>
      <w:rPr>
        <w:rFonts w:ascii="宋体" w:hAnsi="宋体" w:eastAsia="宋体" w:cs="宋体"/>
        <w:spacing w:val="-16"/>
        <w:w w:val="89"/>
        <w:sz w:val="21"/>
        <w:szCs w:val="21"/>
      </w:rPr>
      <w:t>福建省能源制度</w:t>
    </w:r>
    <w:r>
      <w:rPr>
        <w:rFonts w:ascii="宋体" w:hAnsi="宋体" w:eastAsia="宋体" w:cs="宋体"/>
        <w:spacing w:val="1"/>
        <w:sz w:val="21"/>
        <w:szCs w:val="21"/>
      </w:rPr>
      <w:t xml:space="preserve">                        </w:t>
    </w:r>
    <w:r>
      <w:rPr>
        <w:rFonts w:ascii="宋体" w:hAnsi="宋体" w:eastAsia="宋体" w:cs="宋体"/>
        <w:sz w:val="21"/>
        <w:szCs w:val="21"/>
      </w:rPr>
      <w:t xml:space="preserve">           </w:t>
    </w:r>
    <w:r>
      <w:rPr>
        <w:rFonts w:ascii="宋体" w:hAnsi="宋体" w:eastAsia="宋体" w:cs="宋体"/>
        <w:spacing w:val="-16"/>
        <w:w w:val="89"/>
        <w:sz w:val="21"/>
        <w:szCs w:val="21"/>
      </w:rPr>
      <w:t>—77—</w:t>
    </w: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D98107">
    <w:pPr>
      <w:spacing w:line="198" w:lineRule="auto"/>
      <w:ind w:left="3934"/>
      <w:rPr>
        <w:rFonts w:ascii="宋体" w:hAnsi="宋体" w:eastAsia="宋体" w:cs="宋体"/>
        <w:sz w:val="17"/>
        <w:szCs w:val="17"/>
      </w:rPr>
    </w:pPr>
    <w:r>
      <w:pict>
        <v:shape id="_x0000_s2066" o:spid="_x0000_s2066" o:spt="202" type="#_x0000_t202" style="position:absolute;left:0pt;margin-left:2.95pt;margin-top:-0.15pt;height:12.45pt;width:21.2pt;z-index:251743232;mso-width-relative:page;mso-height-relative:page;" filled="f" stroked="f" coordsize="21600,21600">
          <v:path/>
          <v:fill on="f" focussize="0,0"/>
          <v:stroke on="f"/>
          <v:imagedata o:title=""/>
          <o:lock v:ext="edit" aspectratio="f"/>
          <v:textbox inset="0mm,0mm,0mm,0mm">
            <w:txbxContent>
              <w:p w14:paraId="4681EB04">
                <w:pPr>
                  <w:spacing w:before="20" w:line="183" w:lineRule="auto"/>
                  <w:jc w:val="right"/>
                  <w:rPr>
                    <w:rFonts w:ascii="宋体" w:hAnsi="宋体" w:eastAsia="宋体" w:cs="宋体"/>
                    <w:sz w:val="21"/>
                    <w:szCs w:val="21"/>
                  </w:rPr>
                </w:pPr>
                <w:r>
                  <w:rPr>
                    <w:rFonts w:ascii="宋体" w:hAnsi="宋体" w:eastAsia="宋体" w:cs="宋体"/>
                    <w:spacing w:val="-12"/>
                    <w:w w:val="67"/>
                    <w:sz w:val="21"/>
                    <w:szCs w:val="21"/>
                  </w:rPr>
                  <w:t>—</w:t>
                </w:r>
                <w:r>
                  <w:rPr>
                    <w:rFonts w:ascii="宋体" w:hAnsi="宋体" w:eastAsia="宋体" w:cs="宋体"/>
                    <w:spacing w:val="-11"/>
                    <w:w w:val="67"/>
                    <w:sz w:val="21"/>
                    <w:szCs w:val="21"/>
                  </w:rPr>
                  <w:t>78</w:t>
                </w:r>
                <w:r>
                  <w:rPr>
                    <w:rFonts w:ascii="宋体" w:hAnsi="宋体" w:eastAsia="宋体" w:cs="宋体"/>
                    <w:spacing w:val="-6"/>
                    <w:w w:val="67"/>
                    <w:sz w:val="21"/>
                    <w:szCs w:val="21"/>
                  </w:rPr>
                  <w:t>—</w:t>
                </w:r>
              </w:p>
            </w:txbxContent>
          </v:textbox>
        </v:shape>
      </w:pict>
    </w:r>
    <w:r>
      <w:drawing>
        <wp:anchor distT="0" distB="0" distL="0" distR="0" simplePos="0" relativeHeight="251744256" behindDoc="0" locked="0" layoutInCell="1" allowOverlap="1">
          <wp:simplePos x="0" y="0"/>
          <wp:positionH relativeFrom="column">
            <wp:posOffset>47625</wp:posOffset>
          </wp:positionH>
          <wp:positionV relativeFrom="paragraph">
            <wp:posOffset>102235</wp:posOffset>
          </wp:positionV>
          <wp:extent cx="5990590" cy="19685"/>
          <wp:effectExtent l="0" t="0" r="0" b="0"/>
          <wp:wrapNone/>
          <wp:docPr id="136" name="IM 136"/>
          <wp:cNvGraphicFramePr/>
          <a:graphic xmlns:a="http://schemas.openxmlformats.org/drawingml/2006/main">
            <a:graphicData uri="http://schemas.openxmlformats.org/drawingml/2006/picture">
              <pic:pic xmlns:pic="http://schemas.openxmlformats.org/drawingml/2006/picture">
                <pic:nvPicPr>
                  <pic:cNvPr id="136" name="IM 136"/>
                  <pic:cNvPicPr/>
                </pic:nvPicPr>
                <pic:blipFill>
                  <a:blip r:embed="rId1"/>
                  <a:stretch>
                    <a:fillRect/>
                  </a:stretch>
                </pic:blipFill>
                <pic:spPr>
                  <a:xfrm>
                    <a:off x="0" y="0"/>
                    <a:ext cx="5990654" cy="19856"/>
                  </a:xfrm>
                  <a:prstGeom prst="rect">
                    <a:avLst/>
                  </a:prstGeom>
                </pic:spPr>
              </pic:pic>
            </a:graphicData>
          </a:graphic>
        </wp:anchor>
      </w:drawing>
    </w:r>
    <w:r>
      <w:rPr>
        <w:rFonts w:ascii="宋体" w:hAnsi="宋体" w:eastAsia="宋体" w:cs="宋体"/>
        <w:spacing w:val="-8"/>
        <w:sz w:val="17"/>
        <w:szCs w:val="17"/>
      </w:rPr>
      <w:t>福</w:t>
    </w:r>
    <w:r>
      <w:rPr>
        <w:rFonts w:ascii="宋体" w:hAnsi="宋体" w:eastAsia="宋体" w:cs="宋体"/>
        <w:spacing w:val="24"/>
        <w:sz w:val="17"/>
        <w:szCs w:val="17"/>
      </w:rPr>
      <w:t xml:space="preserve"> </w:t>
    </w:r>
    <w:r>
      <w:rPr>
        <w:rFonts w:ascii="宋体" w:hAnsi="宋体" w:eastAsia="宋体" w:cs="宋体"/>
        <w:spacing w:val="-8"/>
        <w:sz w:val="17"/>
        <w:szCs w:val="17"/>
      </w:rPr>
      <w:t>建</w:t>
    </w:r>
    <w:r>
      <w:rPr>
        <w:rFonts w:ascii="宋体" w:hAnsi="宋体" w:eastAsia="宋体" w:cs="宋体"/>
        <w:spacing w:val="21"/>
        <w:sz w:val="17"/>
        <w:szCs w:val="17"/>
      </w:rPr>
      <w:t xml:space="preserve"> </w:t>
    </w:r>
    <w:r>
      <w:rPr>
        <w:rFonts w:ascii="宋体" w:hAnsi="宋体" w:eastAsia="宋体" w:cs="宋体"/>
        <w:spacing w:val="-8"/>
        <w:sz w:val="17"/>
        <w:szCs w:val="17"/>
      </w:rPr>
      <w:t>省</w:t>
    </w:r>
    <w:r>
      <w:rPr>
        <w:rFonts w:ascii="宋体" w:hAnsi="宋体" w:eastAsia="宋体" w:cs="宋体"/>
        <w:spacing w:val="25"/>
        <w:sz w:val="17"/>
        <w:szCs w:val="17"/>
      </w:rPr>
      <w:t xml:space="preserve"> </w:t>
    </w:r>
    <w:r>
      <w:rPr>
        <w:rFonts w:ascii="宋体" w:hAnsi="宋体" w:eastAsia="宋体" w:cs="宋体"/>
        <w:spacing w:val="-8"/>
        <w:sz w:val="17"/>
        <w:szCs w:val="17"/>
      </w:rPr>
      <w:t>能</w:t>
    </w:r>
    <w:r>
      <w:rPr>
        <w:rFonts w:ascii="宋体" w:hAnsi="宋体" w:eastAsia="宋体" w:cs="宋体"/>
        <w:spacing w:val="17"/>
        <w:sz w:val="17"/>
        <w:szCs w:val="17"/>
      </w:rPr>
      <w:t xml:space="preserve"> </w:t>
    </w:r>
    <w:r>
      <w:rPr>
        <w:rFonts w:ascii="宋体" w:hAnsi="宋体" w:eastAsia="宋体" w:cs="宋体"/>
        <w:spacing w:val="-8"/>
        <w:sz w:val="17"/>
        <w:szCs w:val="17"/>
      </w:rPr>
      <w:t>源</w:t>
    </w:r>
    <w:r>
      <w:rPr>
        <w:rFonts w:ascii="宋体" w:hAnsi="宋体" w:eastAsia="宋体" w:cs="宋体"/>
        <w:spacing w:val="19"/>
        <w:sz w:val="17"/>
        <w:szCs w:val="17"/>
      </w:rPr>
      <w:t xml:space="preserve"> </w:t>
    </w:r>
    <w:r>
      <w:rPr>
        <w:rFonts w:ascii="宋体" w:hAnsi="宋体" w:eastAsia="宋体" w:cs="宋体"/>
        <w:spacing w:val="-8"/>
        <w:sz w:val="17"/>
        <w:szCs w:val="17"/>
      </w:rPr>
      <w:t>制</w:t>
    </w:r>
    <w:r>
      <w:rPr>
        <w:rFonts w:ascii="宋体" w:hAnsi="宋体" w:eastAsia="宋体" w:cs="宋体"/>
        <w:spacing w:val="18"/>
        <w:sz w:val="17"/>
        <w:szCs w:val="17"/>
      </w:rPr>
      <w:t xml:space="preserve"> </w:t>
    </w:r>
    <w:r>
      <w:rPr>
        <w:rFonts w:ascii="宋体" w:hAnsi="宋体" w:eastAsia="宋体" w:cs="宋体"/>
        <w:spacing w:val="-8"/>
        <w:sz w:val="17"/>
        <w:szCs w:val="17"/>
      </w:rPr>
      <w:t>度</w:t>
    </w: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C070D">
    <w:pPr>
      <w:pStyle w:val="2"/>
      <w:spacing w:line="14" w:lineRule="auto"/>
      <w:rPr>
        <w:sz w:val="2"/>
      </w:rPr>
    </w:pP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CDA95">
    <w:pPr>
      <w:spacing w:line="219" w:lineRule="auto"/>
      <w:ind w:left="10"/>
      <w:rPr>
        <w:rFonts w:ascii="宋体" w:hAnsi="宋体" w:eastAsia="宋体" w:cs="宋体"/>
        <w:sz w:val="20"/>
        <w:szCs w:val="20"/>
      </w:rPr>
    </w:pPr>
    <w:r>
      <w:drawing>
        <wp:anchor distT="0" distB="0" distL="0" distR="0" simplePos="0" relativeHeight="251745280" behindDoc="0" locked="0" layoutInCell="0" allowOverlap="1">
          <wp:simplePos x="0" y="0"/>
          <wp:positionH relativeFrom="page">
            <wp:posOffset>786765</wp:posOffset>
          </wp:positionH>
          <wp:positionV relativeFrom="page">
            <wp:posOffset>720725</wp:posOffset>
          </wp:positionV>
          <wp:extent cx="5981700" cy="8890"/>
          <wp:effectExtent l="0" t="0" r="0" b="0"/>
          <wp:wrapNone/>
          <wp:docPr id="140" name="IM 140"/>
          <wp:cNvGraphicFramePr/>
          <a:graphic xmlns:a="http://schemas.openxmlformats.org/drawingml/2006/main">
            <a:graphicData uri="http://schemas.openxmlformats.org/drawingml/2006/picture">
              <pic:pic xmlns:pic="http://schemas.openxmlformats.org/drawingml/2006/picture">
                <pic:nvPicPr>
                  <pic:cNvPr id="140" name="IM 140"/>
                  <pic:cNvPicPr/>
                </pic:nvPicPr>
                <pic:blipFill>
                  <a:blip r:embed="rId1"/>
                  <a:stretch>
                    <a:fillRect/>
                  </a:stretch>
                </pic:blipFill>
                <pic:spPr>
                  <a:xfrm>
                    <a:off x="0" y="0"/>
                    <a:ext cx="5981761" cy="8890"/>
                  </a:xfrm>
                  <a:prstGeom prst="rect">
                    <a:avLst/>
                  </a:prstGeom>
                </pic:spPr>
              </pic:pic>
            </a:graphicData>
          </a:graphic>
        </wp:anchor>
      </w:drawing>
    </w:r>
    <w:r>
      <w:rPr>
        <w:rFonts w:ascii="宋体" w:hAnsi="宋体" w:eastAsia="宋体" w:cs="宋体"/>
        <w:spacing w:val="-14"/>
        <w:w w:val="99"/>
        <w:sz w:val="14"/>
        <w:szCs w:val="14"/>
      </w:rPr>
      <w:t>—80—</w:t>
    </w:r>
    <w:r>
      <w:rPr>
        <w:rFonts w:ascii="宋体" w:hAnsi="宋体" w:eastAsia="宋体" w:cs="宋体"/>
        <w:spacing w:val="2"/>
        <w:sz w:val="14"/>
        <w:szCs w:val="14"/>
      </w:rPr>
      <w:t xml:space="preserve">                    </w:t>
    </w:r>
    <w:r>
      <w:rPr>
        <w:rFonts w:ascii="宋体" w:hAnsi="宋体" w:eastAsia="宋体" w:cs="宋体"/>
        <w:spacing w:val="1"/>
        <w:sz w:val="14"/>
        <w:szCs w:val="14"/>
      </w:rPr>
      <w:t xml:space="preserve">                                </w:t>
    </w:r>
    <w:r>
      <w:rPr>
        <w:rFonts w:ascii="宋体" w:hAnsi="宋体" w:eastAsia="宋体" w:cs="宋体"/>
        <w:spacing w:val="-14"/>
        <w:w w:val="99"/>
        <w:sz w:val="20"/>
        <w:szCs w:val="20"/>
      </w:rPr>
      <w:t>福建省能源制度</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CB3978">
    <w:pPr>
      <w:spacing w:line="182" w:lineRule="auto"/>
      <w:ind w:left="3750"/>
      <w:rPr>
        <w:rFonts w:ascii="宋体" w:hAnsi="宋体" w:eastAsia="宋体" w:cs="宋体"/>
        <w:sz w:val="17"/>
        <w:szCs w:val="17"/>
      </w:rPr>
    </w:pPr>
    <w:r>
      <w:drawing>
        <wp:anchor distT="0" distB="0" distL="0" distR="0" simplePos="0" relativeHeight="251672576" behindDoc="0" locked="0" layoutInCell="1" allowOverlap="1">
          <wp:simplePos x="0" y="0"/>
          <wp:positionH relativeFrom="column">
            <wp:posOffset>75565</wp:posOffset>
          </wp:positionH>
          <wp:positionV relativeFrom="paragraph">
            <wp:posOffset>102870</wp:posOffset>
          </wp:positionV>
          <wp:extent cx="5988050" cy="10795"/>
          <wp:effectExtent l="0" t="0" r="0" b="0"/>
          <wp:wrapNone/>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1"/>
                  <a:stretch>
                    <a:fillRect/>
                  </a:stretch>
                </pic:blipFill>
                <pic:spPr>
                  <a:xfrm>
                    <a:off x="0" y="0"/>
                    <a:ext cx="5988047" cy="10773"/>
                  </a:xfrm>
                  <a:prstGeom prst="rect">
                    <a:avLst/>
                  </a:prstGeom>
                </pic:spPr>
              </pic:pic>
            </a:graphicData>
          </a:graphic>
        </wp:anchor>
      </w:drawing>
    </w:r>
    <w:r>
      <w:pict>
        <v:shape id="_x0000_s2053" o:spid="_x0000_s2053" o:spt="202" type="#_x0000_t202" style="position:absolute;left:0pt;margin-left:467.75pt;margin-top:0.35pt;height:10.95pt;width:10.75pt;z-index:251671552;mso-width-relative:page;mso-height-relative:page;" filled="f" stroked="f" coordsize="21600,21600">
          <v:path/>
          <v:fill on="f" focussize="0,0"/>
          <v:stroke on="f"/>
          <v:imagedata o:title=""/>
          <o:lock v:ext="edit" aspectratio="f"/>
          <v:textbox inset="0mm,0mm,0mm,0mm">
            <w:txbxContent>
              <w:p w14:paraId="4C196C02">
                <w:pPr>
                  <w:spacing w:before="20" w:line="183" w:lineRule="auto"/>
                  <w:ind w:left="20"/>
                  <w:rPr>
                    <w:rFonts w:ascii="宋体" w:hAnsi="宋体" w:eastAsia="宋体" w:cs="宋体"/>
                    <w:sz w:val="18"/>
                    <w:szCs w:val="18"/>
                  </w:rPr>
                </w:pPr>
                <w:r>
                  <w:rPr>
                    <w:rFonts w:ascii="宋体" w:hAnsi="宋体" w:eastAsia="宋体" w:cs="宋体"/>
                    <w:spacing w:val="-2"/>
                    <w:sz w:val="18"/>
                    <w:szCs w:val="18"/>
                  </w:rPr>
                  <w:t>-9</w:t>
                </w:r>
              </w:p>
            </w:txbxContent>
          </v:textbox>
        </v:shape>
      </w:pict>
    </w:r>
    <w:r>
      <w:rPr>
        <w:rFonts w:ascii="宋体" w:hAnsi="宋体" w:eastAsia="宋体" w:cs="宋体"/>
        <w:spacing w:val="-8"/>
        <w:sz w:val="17"/>
        <w:szCs w:val="17"/>
      </w:rPr>
      <w:t>福</w:t>
    </w:r>
    <w:r>
      <w:rPr>
        <w:rFonts w:ascii="宋体" w:hAnsi="宋体" w:eastAsia="宋体" w:cs="宋体"/>
        <w:spacing w:val="15"/>
        <w:sz w:val="17"/>
        <w:szCs w:val="17"/>
      </w:rPr>
      <w:t xml:space="preserve"> </w:t>
    </w:r>
    <w:r>
      <w:rPr>
        <w:rFonts w:ascii="宋体" w:hAnsi="宋体" w:eastAsia="宋体" w:cs="宋体"/>
        <w:spacing w:val="-8"/>
        <w:sz w:val="17"/>
        <w:szCs w:val="17"/>
      </w:rPr>
      <w:t>建</w:t>
    </w:r>
    <w:r>
      <w:rPr>
        <w:rFonts w:ascii="宋体" w:hAnsi="宋体" w:eastAsia="宋体" w:cs="宋体"/>
        <w:spacing w:val="12"/>
        <w:sz w:val="17"/>
        <w:szCs w:val="17"/>
      </w:rPr>
      <w:t xml:space="preserve"> </w:t>
    </w:r>
    <w:r>
      <w:rPr>
        <w:rFonts w:ascii="宋体" w:hAnsi="宋体" w:eastAsia="宋体" w:cs="宋体"/>
        <w:spacing w:val="-8"/>
        <w:sz w:val="17"/>
        <w:szCs w:val="17"/>
      </w:rPr>
      <w:t>省</w:t>
    </w:r>
    <w:r>
      <w:rPr>
        <w:rFonts w:ascii="宋体" w:hAnsi="宋体" w:eastAsia="宋体" w:cs="宋体"/>
        <w:spacing w:val="16"/>
        <w:sz w:val="17"/>
        <w:szCs w:val="17"/>
      </w:rPr>
      <w:t xml:space="preserve"> </w:t>
    </w:r>
    <w:r>
      <w:rPr>
        <w:rFonts w:ascii="宋体" w:hAnsi="宋体" w:eastAsia="宋体" w:cs="宋体"/>
        <w:spacing w:val="-8"/>
        <w:sz w:val="17"/>
        <w:szCs w:val="17"/>
      </w:rPr>
      <w:t>能</w:t>
    </w:r>
    <w:r>
      <w:rPr>
        <w:rFonts w:ascii="宋体" w:hAnsi="宋体" w:eastAsia="宋体" w:cs="宋体"/>
        <w:spacing w:val="9"/>
        <w:sz w:val="17"/>
        <w:szCs w:val="17"/>
      </w:rPr>
      <w:t xml:space="preserve"> </w:t>
    </w:r>
    <w:r>
      <w:rPr>
        <w:rFonts w:ascii="宋体" w:hAnsi="宋体" w:eastAsia="宋体" w:cs="宋体"/>
        <w:spacing w:val="-8"/>
        <w:sz w:val="17"/>
        <w:szCs w:val="17"/>
      </w:rPr>
      <w:t>源</w:t>
    </w:r>
    <w:r>
      <w:rPr>
        <w:rFonts w:ascii="宋体" w:hAnsi="宋体" w:eastAsia="宋体" w:cs="宋体"/>
        <w:spacing w:val="10"/>
        <w:sz w:val="17"/>
        <w:szCs w:val="17"/>
      </w:rPr>
      <w:t xml:space="preserve"> </w:t>
    </w:r>
    <w:r>
      <w:rPr>
        <w:rFonts w:ascii="宋体" w:hAnsi="宋体" w:eastAsia="宋体" w:cs="宋体"/>
        <w:spacing w:val="-8"/>
        <w:sz w:val="17"/>
        <w:szCs w:val="17"/>
      </w:rPr>
      <w:t>制</w:t>
    </w:r>
    <w:r>
      <w:rPr>
        <w:rFonts w:ascii="宋体" w:hAnsi="宋体" w:eastAsia="宋体" w:cs="宋体"/>
        <w:spacing w:val="8"/>
        <w:sz w:val="17"/>
        <w:szCs w:val="17"/>
      </w:rPr>
      <w:t xml:space="preserve"> </w:t>
    </w:r>
    <w:r>
      <w:rPr>
        <w:rFonts w:ascii="宋体" w:hAnsi="宋体" w:eastAsia="宋体" w:cs="宋体"/>
        <w:spacing w:val="-8"/>
        <w:sz w:val="17"/>
        <w:szCs w:val="17"/>
      </w:rPr>
      <w:t>度</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96450C">
    <w:pPr>
      <w:spacing w:line="174" w:lineRule="auto"/>
      <w:ind w:left="4"/>
      <w:rPr>
        <w:rFonts w:ascii="宋体" w:hAnsi="宋体" w:eastAsia="宋体" w:cs="宋体"/>
        <w:sz w:val="18"/>
        <w:szCs w:val="18"/>
      </w:rPr>
    </w:pPr>
    <w:r>
      <w:rPr>
        <w:rFonts w:ascii="宋体" w:hAnsi="宋体" w:eastAsia="宋体" w:cs="宋体"/>
        <w:b/>
        <w:bCs/>
        <w:spacing w:val="-15"/>
        <w:w w:val="97"/>
        <w:sz w:val="18"/>
        <w:szCs w:val="18"/>
      </w:rPr>
      <w:t>—10—</w:t>
    </w:r>
    <w:r>
      <w:rPr>
        <w:rFonts w:ascii="宋体" w:hAnsi="宋体" w:eastAsia="宋体" w:cs="宋体"/>
        <w:spacing w:val="-62"/>
        <w:sz w:val="18"/>
        <w:szCs w:val="18"/>
      </w:rPr>
      <w:t xml:space="preserve"> </w:t>
    </w:r>
    <w:r>
      <w:rPr>
        <w:rFonts w:ascii="宋体" w:hAnsi="宋体" w:eastAsia="宋体" w:cs="宋体"/>
        <w:spacing w:val="2"/>
        <w:sz w:val="18"/>
        <w:szCs w:val="18"/>
        <w:u w:val="single" w:color="auto"/>
      </w:rPr>
      <w:t xml:space="preserve">                                  </w:t>
    </w:r>
    <w:r>
      <w:rPr>
        <w:rFonts w:ascii="宋体" w:hAnsi="宋体" w:eastAsia="宋体" w:cs="宋体"/>
        <w:spacing w:val="1"/>
        <w:sz w:val="18"/>
        <w:szCs w:val="18"/>
        <w:u w:val="single" w:color="auto"/>
      </w:rPr>
      <w:t xml:space="preserve">   </w:t>
    </w:r>
    <w:r>
      <w:rPr>
        <w:rFonts w:ascii="宋体" w:hAnsi="宋体" w:eastAsia="宋体" w:cs="宋体"/>
        <w:spacing w:val="-15"/>
        <w:w w:val="97"/>
        <w:sz w:val="18"/>
        <w:szCs w:val="18"/>
        <w:u w:val="single" w:color="auto"/>
      </w:rPr>
      <w:t>福</w:t>
    </w:r>
    <w:r>
      <w:rPr>
        <w:rFonts w:ascii="宋体" w:hAnsi="宋体" w:eastAsia="宋体" w:cs="宋体"/>
        <w:spacing w:val="19"/>
        <w:sz w:val="18"/>
        <w:szCs w:val="18"/>
        <w:u w:val="single" w:color="auto"/>
      </w:rPr>
      <w:t xml:space="preserve"> </w:t>
    </w:r>
    <w:r>
      <w:rPr>
        <w:rFonts w:ascii="宋体" w:hAnsi="宋体" w:eastAsia="宋体" w:cs="宋体"/>
        <w:spacing w:val="-15"/>
        <w:w w:val="97"/>
        <w:sz w:val="18"/>
        <w:szCs w:val="18"/>
        <w:u w:val="single" w:color="auto"/>
      </w:rPr>
      <w:t>建</w:t>
    </w:r>
    <w:r>
      <w:rPr>
        <w:rFonts w:ascii="宋体" w:hAnsi="宋体" w:eastAsia="宋体" w:cs="宋体"/>
        <w:spacing w:val="18"/>
        <w:sz w:val="18"/>
        <w:szCs w:val="18"/>
        <w:u w:val="single" w:color="auto"/>
      </w:rPr>
      <w:t xml:space="preserve"> </w:t>
    </w:r>
    <w:r>
      <w:rPr>
        <w:rFonts w:ascii="宋体" w:hAnsi="宋体" w:eastAsia="宋体" w:cs="宋体"/>
        <w:spacing w:val="-15"/>
        <w:w w:val="97"/>
        <w:sz w:val="18"/>
        <w:szCs w:val="18"/>
        <w:u w:val="single" w:color="auto"/>
      </w:rPr>
      <w:t>省</w:t>
    </w:r>
    <w:r>
      <w:rPr>
        <w:rFonts w:ascii="宋体" w:hAnsi="宋体" w:eastAsia="宋体" w:cs="宋体"/>
        <w:spacing w:val="23"/>
        <w:sz w:val="18"/>
        <w:szCs w:val="18"/>
        <w:u w:val="single" w:color="auto"/>
      </w:rPr>
      <w:t xml:space="preserve"> </w:t>
    </w:r>
    <w:r>
      <w:rPr>
        <w:rFonts w:ascii="宋体" w:hAnsi="宋体" w:eastAsia="宋体" w:cs="宋体"/>
        <w:spacing w:val="-15"/>
        <w:w w:val="97"/>
        <w:sz w:val="18"/>
        <w:szCs w:val="18"/>
        <w:u w:val="single" w:color="auto"/>
      </w:rPr>
      <w:t>能</w:t>
    </w:r>
    <w:r>
      <w:rPr>
        <w:rFonts w:ascii="宋体" w:hAnsi="宋体" w:eastAsia="宋体" w:cs="宋体"/>
        <w:spacing w:val="15"/>
        <w:sz w:val="18"/>
        <w:szCs w:val="18"/>
        <w:u w:val="single" w:color="auto"/>
      </w:rPr>
      <w:t xml:space="preserve"> </w:t>
    </w:r>
    <w:r>
      <w:rPr>
        <w:rFonts w:ascii="宋体" w:hAnsi="宋体" w:eastAsia="宋体" w:cs="宋体"/>
        <w:spacing w:val="-15"/>
        <w:w w:val="97"/>
        <w:sz w:val="18"/>
        <w:szCs w:val="18"/>
        <w:u w:val="single" w:color="auto"/>
      </w:rPr>
      <w:t>源</w:t>
    </w:r>
    <w:r>
      <w:rPr>
        <w:rFonts w:ascii="宋体" w:hAnsi="宋体" w:eastAsia="宋体" w:cs="宋体"/>
        <w:spacing w:val="16"/>
        <w:sz w:val="18"/>
        <w:szCs w:val="18"/>
        <w:u w:val="single" w:color="auto"/>
      </w:rPr>
      <w:t xml:space="preserve"> </w:t>
    </w:r>
    <w:r>
      <w:rPr>
        <w:rFonts w:ascii="宋体" w:hAnsi="宋体" w:eastAsia="宋体" w:cs="宋体"/>
        <w:spacing w:val="-15"/>
        <w:w w:val="97"/>
        <w:sz w:val="18"/>
        <w:szCs w:val="18"/>
        <w:u w:val="single" w:color="auto"/>
      </w:rPr>
      <w:t>制</w:t>
    </w:r>
    <w:r>
      <w:rPr>
        <w:rFonts w:ascii="宋体" w:hAnsi="宋体" w:eastAsia="宋体" w:cs="宋体"/>
        <w:spacing w:val="15"/>
        <w:sz w:val="18"/>
        <w:szCs w:val="18"/>
        <w:u w:val="single" w:color="auto"/>
      </w:rPr>
      <w:t xml:space="preserve"> </w:t>
    </w:r>
    <w:r>
      <w:rPr>
        <w:rFonts w:ascii="宋体" w:hAnsi="宋体" w:eastAsia="宋体" w:cs="宋体"/>
        <w:spacing w:val="-15"/>
        <w:w w:val="97"/>
        <w:sz w:val="18"/>
        <w:szCs w:val="18"/>
        <w:u w:val="single" w:color="auto"/>
      </w:rPr>
      <w:t>度</w:t>
    </w:r>
    <w:r>
      <w:rPr>
        <w:rFonts w:ascii="宋体" w:hAnsi="宋体" w:eastAsia="宋体" w:cs="宋体"/>
        <w:sz w:val="18"/>
        <w:szCs w:val="18"/>
        <w:u w:val="single" w:color="auto"/>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documentProtection w:enforcement="0"/>
  <w:characterSpacingControl w:val="doNotCompress"/>
  <w:hdrShapeDefaults>
    <o:shapelayout v:ext="edit">
      <o:idmap v:ext="edit" data="2"/>
    </o:shapelayout>
  </w:hdrShapeDefault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Mjg1N2RkNjFkMWI0ZDYwNGU4ZjFhZGViOGU4M2Q4NDkifQ=="/>
  </w:docVars>
  <w:rsids>
    <w:rsidRoot w:val="00000000"/>
    <w:rsid w:val="02157561"/>
    <w:rsid w:val="1A957EAC"/>
    <w:rsid w:val="3BDB5B3C"/>
    <w:rsid w:val="3E2433DE"/>
    <w:rsid w:val="4C44085B"/>
    <w:rsid w:val="53C51840"/>
    <w:rsid w:val="59A658BE"/>
    <w:rsid w:val="5EE4538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18"/>
      <w:szCs w:val="18"/>
      <w:lang w:val="en-US" w:eastAsia="en-US" w:bidi="ar-SA"/>
    </w:rPr>
  </w:style>
</w:styles>
</file>

<file path=word/_rels/document.xml.rels><?xml version="1.0" encoding="UTF-8" standalone="yes"?>
<Relationships xmlns="http://schemas.openxmlformats.org/package/2006/relationships"><Relationship Id="rId99" Type="http://schemas.openxmlformats.org/officeDocument/2006/relationships/image" Target="media/image33.png"/><Relationship Id="rId98" Type="http://schemas.openxmlformats.org/officeDocument/2006/relationships/image" Target="media/image32.jpeg"/><Relationship Id="rId97" Type="http://schemas.openxmlformats.org/officeDocument/2006/relationships/image" Target="media/image31.png"/><Relationship Id="rId96" Type="http://schemas.openxmlformats.org/officeDocument/2006/relationships/image" Target="media/image30.png"/><Relationship Id="rId95" Type="http://schemas.openxmlformats.org/officeDocument/2006/relationships/image" Target="media/image29.png"/><Relationship Id="rId94" Type="http://schemas.openxmlformats.org/officeDocument/2006/relationships/image" Target="media/image28.png"/><Relationship Id="rId93" Type="http://schemas.openxmlformats.org/officeDocument/2006/relationships/image" Target="media/image27.jpeg"/><Relationship Id="rId92" Type="http://schemas.openxmlformats.org/officeDocument/2006/relationships/image" Target="media/image26.png"/><Relationship Id="rId91" Type="http://schemas.openxmlformats.org/officeDocument/2006/relationships/image" Target="media/image25.png"/><Relationship Id="rId90" Type="http://schemas.openxmlformats.org/officeDocument/2006/relationships/image" Target="media/image24.png"/><Relationship Id="rId9" Type="http://schemas.openxmlformats.org/officeDocument/2006/relationships/header" Target="header5.xml"/><Relationship Id="rId89" Type="http://schemas.openxmlformats.org/officeDocument/2006/relationships/image" Target="media/image23.png"/><Relationship Id="rId88" Type="http://schemas.openxmlformats.org/officeDocument/2006/relationships/image" Target="media/image22.png"/><Relationship Id="rId87" Type="http://schemas.openxmlformats.org/officeDocument/2006/relationships/image" Target="media/image21.jpeg"/><Relationship Id="rId86" Type="http://schemas.openxmlformats.org/officeDocument/2006/relationships/theme" Target="theme/theme1.xml"/><Relationship Id="rId85" Type="http://schemas.openxmlformats.org/officeDocument/2006/relationships/header" Target="header79.xml"/><Relationship Id="rId84" Type="http://schemas.openxmlformats.org/officeDocument/2006/relationships/header" Target="header78.xml"/><Relationship Id="rId83" Type="http://schemas.openxmlformats.org/officeDocument/2006/relationships/header" Target="header77.xml"/><Relationship Id="rId82" Type="http://schemas.openxmlformats.org/officeDocument/2006/relationships/header" Target="header76.xml"/><Relationship Id="rId81" Type="http://schemas.openxmlformats.org/officeDocument/2006/relationships/header" Target="header75.xml"/><Relationship Id="rId80" Type="http://schemas.openxmlformats.org/officeDocument/2006/relationships/header" Target="header74.xml"/><Relationship Id="rId8" Type="http://schemas.openxmlformats.org/officeDocument/2006/relationships/header" Target="header4.xml"/><Relationship Id="rId79" Type="http://schemas.openxmlformats.org/officeDocument/2006/relationships/header" Target="header73.xml"/><Relationship Id="rId78" Type="http://schemas.openxmlformats.org/officeDocument/2006/relationships/header" Target="header72.xml"/><Relationship Id="rId77" Type="http://schemas.openxmlformats.org/officeDocument/2006/relationships/header" Target="header71.xml"/><Relationship Id="rId76" Type="http://schemas.openxmlformats.org/officeDocument/2006/relationships/header" Target="header70.xml"/><Relationship Id="rId75" Type="http://schemas.openxmlformats.org/officeDocument/2006/relationships/header" Target="header69.xml"/><Relationship Id="rId74" Type="http://schemas.openxmlformats.org/officeDocument/2006/relationships/header" Target="header68.xml"/><Relationship Id="rId73" Type="http://schemas.openxmlformats.org/officeDocument/2006/relationships/header" Target="header67.xml"/><Relationship Id="rId72" Type="http://schemas.openxmlformats.org/officeDocument/2006/relationships/header" Target="header66.xml"/><Relationship Id="rId71" Type="http://schemas.openxmlformats.org/officeDocument/2006/relationships/header" Target="header65.xml"/><Relationship Id="rId70" Type="http://schemas.openxmlformats.org/officeDocument/2006/relationships/header" Target="header64.xml"/><Relationship Id="rId7" Type="http://schemas.openxmlformats.org/officeDocument/2006/relationships/header" Target="header3.xml"/><Relationship Id="rId69" Type="http://schemas.openxmlformats.org/officeDocument/2006/relationships/header" Target="header63.xml"/><Relationship Id="rId68" Type="http://schemas.openxmlformats.org/officeDocument/2006/relationships/header" Target="header62.xml"/><Relationship Id="rId67" Type="http://schemas.openxmlformats.org/officeDocument/2006/relationships/header" Target="header61.xml"/><Relationship Id="rId66" Type="http://schemas.openxmlformats.org/officeDocument/2006/relationships/header" Target="header60.xml"/><Relationship Id="rId65" Type="http://schemas.openxmlformats.org/officeDocument/2006/relationships/header" Target="header59.xml"/><Relationship Id="rId64" Type="http://schemas.openxmlformats.org/officeDocument/2006/relationships/header" Target="header58.xml"/><Relationship Id="rId63" Type="http://schemas.openxmlformats.org/officeDocument/2006/relationships/header" Target="header57.xml"/><Relationship Id="rId62" Type="http://schemas.openxmlformats.org/officeDocument/2006/relationships/header" Target="header56.xml"/><Relationship Id="rId61" Type="http://schemas.openxmlformats.org/officeDocument/2006/relationships/header" Target="header55.xml"/><Relationship Id="rId60" Type="http://schemas.openxmlformats.org/officeDocument/2006/relationships/header" Target="header54.xml"/><Relationship Id="rId6" Type="http://schemas.openxmlformats.org/officeDocument/2006/relationships/header" Target="header2.xml"/><Relationship Id="rId59" Type="http://schemas.openxmlformats.org/officeDocument/2006/relationships/header" Target="header53.xml"/><Relationship Id="rId58" Type="http://schemas.openxmlformats.org/officeDocument/2006/relationships/header" Target="header52.xml"/><Relationship Id="rId57" Type="http://schemas.openxmlformats.org/officeDocument/2006/relationships/header" Target="header51.xml"/><Relationship Id="rId56" Type="http://schemas.openxmlformats.org/officeDocument/2006/relationships/header" Target="header50.xml"/><Relationship Id="rId55" Type="http://schemas.openxmlformats.org/officeDocument/2006/relationships/header" Target="header49.xml"/><Relationship Id="rId54" Type="http://schemas.openxmlformats.org/officeDocument/2006/relationships/header" Target="header48.xml"/><Relationship Id="rId53" Type="http://schemas.openxmlformats.org/officeDocument/2006/relationships/header" Target="header47.xml"/><Relationship Id="rId52" Type="http://schemas.openxmlformats.org/officeDocument/2006/relationships/header" Target="header46.xml"/><Relationship Id="rId51" Type="http://schemas.openxmlformats.org/officeDocument/2006/relationships/header" Target="header45.xml"/><Relationship Id="rId50" Type="http://schemas.openxmlformats.org/officeDocument/2006/relationships/header" Target="header44.xml"/><Relationship Id="rId5" Type="http://schemas.openxmlformats.org/officeDocument/2006/relationships/header" Target="header1.xml"/><Relationship Id="rId49" Type="http://schemas.openxmlformats.org/officeDocument/2006/relationships/header" Target="header43.xml"/><Relationship Id="rId48" Type="http://schemas.openxmlformats.org/officeDocument/2006/relationships/header" Target="header42.xml"/><Relationship Id="rId47" Type="http://schemas.openxmlformats.org/officeDocument/2006/relationships/header" Target="header41.xml"/><Relationship Id="rId46" Type="http://schemas.openxmlformats.org/officeDocument/2006/relationships/header" Target="header40.xml"/><Relationship Id="rId45" Type="http://schemas.openxmlformats.org/officeDocument/2006/relationships/header" Target="header39.xml"/><Relationship Id="rId44" Type="http://schemas.openxmlformats.org/officeDocument/2006/relationships/header" Target="header38.xml"/><Relationship Id="rId43" Type="http://schemas.openxmlformats.org/officeDocument/2006/relationships/header" Target="header37.xml"/><Relationship Id="rId42" Type="http://schemas.openxmlformats.org/officeDocument/2006/relationships/header" Target="header36.xml"/><Relationship Id="rId41" Type="http://schemas.openxmlformats.org/officeDocument/2006/relationships/header" Target="header35.xml"/><Relationship Id="rId40" Type="http://schemas.openxmlformats.org/officeDocument/2006/relationships/header" Target="header34.xml"/><Relationship Id="rId4" Type="http://schemas.openxmlformats.org/officeDocument/2006/relationships/endnotes" Target="endnotes.xml"/><Relationship Id="rId39" Type="http://schemas.openxmlformats.org/officeDocument/2006/relationships/header" Target="header33.xml"/><Relationship Id="rId38" Type="http://schemas.openxmlformats.org/officeDocument/2006/relationships/header" Target="header32.xml"/><Relationship Id="rId37" Type="http://schemas.openxmlformats.org/officeDocument/2006/relationships/header" Target="header31.xml"/><Relationship Id="rId36" Type="http://schemas.openxmlformats.org/officeDocument/2006/relationships/header" Target="header30.xml"/><Relationship Id="rId35" Type="http://schemas.openxmlformats.org/officeDocument/2006/relationships/header" Target="header29.xml"/><Relationship Id="rId34" Type="http://schemas.openxmlformats.org/officeDocument/2006/relationships/header" Target="header28.xml"/><Relationship Id="rId33" Type="http://schemas.openxmlformats.org/officeDocument/2006/relationships/header" Target="header27.xml"/><Relationship Id="rId32" Type="http://schemas.openxmlformats.org/officeDocument/2006/relationships/header" Target="header26.xml"/><Relationship Id="rId31" Type="http://schemas.openxmlformats.org/officeDocument/2006/relationships/header" Target="header25.xml"/><Relationship Id="rId30" Type="http://schemas.openxmlformats.org/officeDocument/2006/relationships/header" Target="header24.xml"/><Relationship Id="rId3" Type="http://schemas.openxmlformats.org/officeDocument/2006/relationships/footnotes" Target="footnotes.xml"/><Relationship Id="rId29" Type="http://schemas.openxmlformats.org/officeDocument/2006/relationships/header" Target="header23.xml"/><Relationship Id="rId28" Type="http://schemas.openxmlformats.org/officeDocument/2006/relationships/header" Target="header22.xml"/><Relationship Id="rId27" Type="http://schemas.openxmlformats.org/officeDocument/2006/relationships/footer" Target="footer2.xml"/><Relationship Id="rId26" Type="http://schemas.openxmlformats.org/officeDocument/2006/relationships/header" Target="header21.xml"/><Relationship Id="rId25" Type="http://schemas.openxmlformats.org/officeDocument/2006/relationships/footer" Target="footer1.xml"/><Relationship Id="rId24" Type="http://schemas.openxmlformats.org/officeDocument/2006/relationships/header" Target="header20.xml"/><Relationship Id="rId23" Type="http://schemas.openxmlformats.org/officeDocument/2006/relationships/header" Target="header19.xml"/><Relationship Id="rId22" Type="http://schemas.openxmlformats.org/officeDocument/2006/relationships/header" Target="header18.xml"/><Relationship Id="rId21" Type="http://schemas.openxmlformats.org/officeDocument/2006/relationships/header" Target="header17.xml"/><Relationship Id="rId20" Type="http://schemas.openxmlformats.org/officeDocument/2006/relationships/header" Target="header16.xml"/><Relationship Id="rId2" Type="http://schemas.openxmlformats.org/officeDocument/2006/relationships/settings" Target="settings.xml"/><Relationship Id="rId19" Type="http://schemas.openxmlformats.org/officeDocument/2006/relationships/header" Target="header15.xml"/><Relationship Id="rId18" Type="http://schemas.openxmlformats.org/officeDocument/2006/relationships/header" Target="header14.xml"/><Relationship Id="rId17" Type="http://schemas.openxmlformats.org/officeDocument/2006/relationships/header" Target="header13.xml"/><Relationship Id="rId16" Type="http://schemas.openxmlformats.org/officeDocument/2006/relationships/header" Target="header12.xml"/><Relationship Id="rId15" Type="http://schemas.openxmlformats.org/officeDocument/2006/relationships/header" Target="header11.xml"/><Relationship Id="rId14" Type="http://schemas.openxmlformats.org/officeDocument/2006/relationships/header" Target="header10.xml"/><Relationship Id="rId13" Type="http://schemas.openxmlformats.org/officeDocument/2006/relationships/header" Target="header9.xml"/><Relationship Id="rId12" Type="http://schemas.openxmlformats.org/officeDocument/2006/relationships/header" Target="header8.xml"/><Relationship Id="rId11" Type="http://schemas.openxmlformats.org/officeDocument/2006/relationships/header" Target="header7.xml"/><Relationship Id="rId106" Type="http://schemas.openxmlformats.org/officeDocument/2006/relationships/fontTable" Target="fontTable.xml"/><Relationship Id="rId105" Type="http://schemas.openxmlformats.org/officeDocument/2006/relationships/customXml" Target="../customXml/item1.xml"/><Relationship Id="rId104" Type="http://schemas.openxmlformats.org/officeDocument/2006/relationships/image" Target="media/image38.png"/><Relationship Id="rId103" Type="http://schemas.openxmlformats.org/officeDocument/2006/relationships/image" Target="media/image37.png"/><Relationship Id="rId102" Type="http://schemas.openxmlformats.org/officeDocument/2006/relationships/image" Target="media/image36.png"/><Relationship Id="rId101" Type="http://schemas.openxmlformats.org/officeDocument/2006/relationships/image" Target="media/image35.png"/><Relationship Id="rId100" Type="http://schemas.openxmlformats.org/officeDocument/2006/relationships/image" Target="media/image34.png"/><Relationship Id="rId10" Type="http://schemas.openxmlformats.org/officeDocument/2006/relationships/header" Target="header6.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5.png"/></Relationships>
</file>

<file path=word/_rels/header14.xml.rels><?xml version="1.0" encoding="UTF-8" standalone="yes"?>
<Relationships xmlns="http://schemas.openxmlformats.org/package/2006/relationships"><Relationship Id="rId1" Type="http://schemas.openxmlformats.org/officeDocument/2006/relationships/image" Target="media/image6.png"/></Relationships>
</file>

<file path=word/_rels/header16.xml.rels><?xml version="1.0" encoding="UTF-8" standalone="yes"?>
<Relationships xmlns="http://schemas.openxmlformats.org/package/2006/relationships"><Relationship Id="rId1" Type="http://schemas.openxmlformats.org/officeDocument/2006/relationships/image" Target="media/image7.png"/></Relationships>
</file>

<file path=word/_rels/header18.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22.xml.rels><?xml version="1.0" encoding="UTF-8" standalone="yes"?>
<Relationships xmlns="http://schemas.openxmlformats.org/package/2006/relationships"><Relationship Id="rId1" Type="http://schemas.openxmlformats.org/officeDocument/2006/relationships/image" Target="media/image8.png"/></Relationships>
</file>

<file path=word/_rels/header24.xml.rels><?xml version="1.0" encoding="UTF-8" standalone="yes"?>
<Relationships xmlns="http://schemas.openxmlformats.org/package/2006/relationships"><Relationship Id="rId1" Type="http://schemas.openxmlformats.org/officeDocument/2006/relationships/image" Target="media/image9.png"/></Relationships>
</file>

<file path=word/_rels/header26.xml.rels><?xml version="1.0" encoding="UTF-8" standalone="yes"?>
<Relationships xmlns="http://schemas.openxmlformats.org/package/2006/relationships"><Relationship Id="rId1" Type="http://schemas.openxmlformats.org/officeDocument/2006/relationships/image" Target="media/image10.png"/></Relationships>
</file>

<file path=word/_rels/header27.xml.rels><?xml version="1.0" encoding="UTF-8" standalone="yes"?>
<Relationships xmlns="http://schemas.openxmlformats.org/package/2006/relationships"><Relationship Id="rId1" Type="http://schemas.openxmlformats.org/officeDocument/2006/relationships/image" Target="media/image11.png"/></Relationships>
</file>

<file path=word/_rels/header28.xml.rels><?xml version="1.0" encoding="UTF-8" standalone="yes"?>
<Relationships xmlns="http://schemas.openxmlformats.org/package/2006/relationships"><Relationship Id="rId1" Type="http://schemas.openxmlformats.org/officeDocument/2006/relationships/image" Target="media/image3.png"/></Relationships>
</file>

<file path=word/_rels/header29.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30.xml.rels><?xml version="1.0" encoding="UTF-8" standalone="yes"?>
<Relationships xmlns="http://schemas.openxmlformats.org/package/2006/relationships"><Relationship Id="rId1" Type="http://schemas.openxmlformats.org/officeDocument/2006/relationships/image" Target="media/image12.png"/></Relationships>
</file>

<file path=word/_rels/header31.xml.rels><?xml version="1.0" encoding="UTF-8" standalone="yes"?>
<Relationships xmlns="http://schemas.openxmlformats.org/package/2006/relationships"><Relationship Id="rId1" Type="http://schemas.openxmlformats.org/officeDocument/2006/relationships/image" Target="media/image3.png"/></Relationships>
</file>

<file path=word/_rels/header33.xml.rels><?xml version="1.0" encoding="UTF-8" standalone="yes"?>
<Relationships xmlns="http://schemas.openxmlformats.org/package/2006/relationships"><Relationship Id="rId1" Type="http://schemas.openxmlformats.org/officeDocument/2006/relationships/image" Target="media/image3.png"/></Relationships>
</file>

<file path=word/_rels/header34.xml.rels><?xml version="1.0" encoding="UTF-8" standalone="yes"?>
<Relationships xmlns="http://schemas.openxmlformats.org/package/2006/relationships"><Relationship Id="rId1" Type="http://schemas.openxmlformats.org/officeDocument/2006/relationships/image" Target="media/image3.png"/></Relationships>
</file>

<file path=word/_rels/header35.xml.rels><?xml version="1.0" encoding="UTF-8" standalone="yes"?>
<Relationships xmlns="http://schemas.openxmlformats.org/package/2006/relationships"><Relationship Id="rId1" Type="http://schemas.openxmlformats.org/officeDocument/2006/relationships/image" Target="media/image3.png"/></Relationships>
</file>

<file path=word/_rels/header36.xml.rels><?xml version="1.0" encoding="UTF-8" standalone="yes"?>
<Relationships xmlns="http://schemas.openxmlformats.org/package/2006/relationships"><Relationship Id="rId1" Type="http://schemas.openxmlformats.org/officeDocument/2006/relationships/image" Target="media/image3.png"/></Relationships>
</file>

<file path=word/_rels/header37.xml.rels><?xml version="1.0" encoding="UTF-8" standalone="yes"?>
<Relationships xmlns="http://schemas.openxmlformats.org/package/2006/relationships"><Relationship Id="rId1" Type="http://schemas.openxmlformats.org/officeDocument/2006/relationships/image" Target="media/image3.png"/></Relationships>
</file>

<file path=word/_rels/header38.xml.rels><?xml version="1.0" encoding="UTF-8" standalone="yes"?>
<Relationships xmlns="http://schemas.openxmlformats.org/package/2006/relationships"><Relationship Id="rId1" Type="http://schemas.openxmlformats.org/officeDocument/2006/relationships/image" Target="media/image3.png"/></Relationships>
</file>

<file path=word/_rels/header39.xml.rels><?xml version="1.0" encoding="UTF-8" standalone="yes"?>
<Relationships xmlns="http://schemas.openxmlformats.org/package/2006/relationships"><Relationship Id="rId1" Type="http://schemas.openxmlformats.org/officeDocument/2006/relationships/image" Target="media/image3.png"/></Relationships>
</file>

<file path=word/_rels/header40.xml.rels><?xml version="1.0" encoding="UTF-8" standalone="yes"?>
<Relationships xmlns="http://schemas.openxmlformats.org/package/2006/relationships"><Relationship Id="rId1" Type="http://schemas.openxmlformats.org/officeDocument/2006/relationships/image" Target="media/image12.png"/></Relationships>
</file>

<file path=word/_rels/header41.xml.rels><?xml version="1.0" encoding="UTF-8" standalone="yes"?>
<Relationships xmlns="http://schemas.openxmlformats.org/package/2006/relationships"><Relationship Id="rId1" Type="http://schemas.openxmlformats.org/officeDocument/2006/relationships/image" Target="media/image3.png"/></Relationships>
</file>

<file path=word/_rels/header42.xml.rels><?xml version="1.0" encoding="UTF-8" standalone="yes"?>
<Relationships xmlns="http://schemas.openxmlformats.org/package/2006/relationships"><Relationship Id="rId1" Type="http://schemas.openxmlformats.org/officeDocument/2006/relationships/image" Target="media/image3.png"/></Relationships>
</file>

<file path=word/_rels/header43.xml.rels><?xml version="1.0" encoding="UTF-8" standalone="yes"?>
<Relationships xmlns="http://schemas.openxmlformats.org/package/2006/relationships"><Relationship Id="rId1" Type="http://schemas.openxmlformats.org/officeDocument/2006/relationships/image" Target="media/image3.png"/></Relationships>
</file>

<file path=word/_rels/header44.xml.rels><?xml version="1.0" encoding="UTF-8" standalone="yes"?>
<Relationships xmlns="http://schemas.openxmlformats.org/package/2006/relationships"><Relationship Id="rId1" Type="http://schemas.openxmlformats.org/officeDocument/2006/relationships/image" Target="media/image3.png"/></Relationships>
</file>

<file path=word/_rels/header45.xml.rels><?xml version="1.0" encoding="UTF-8" standalone="yes"?>
<Relationships xmlns="http://schemas.openxmlformats.org/package/2006/relationships"><Relationship Id="rId1" Type="http://schemas.openxmlformats.org/officeDocument/2006/relationships/image" Target="media/image3.png"/></Relationships>
</file>

<file path=word/_rels/header46.xml.rels><?xml version="1.0" encoding="UTF-8" standalone="yes"?>
<Relationships xmlns="http://schemas.openxmlformats.org/package/2006/relationships"><Relationship Id="rId1" Type="http://schemas.openxmlformats.org/officeDocument/2006/relationships/image" Target="media/image13.png"/></Relationships>
</file>

<file path=word/_rels/header48.xml.rels><?xml version="1.0" encoding="UTF-8" standalone="yes"?>
<Relationships xmlns="http://schemas.openxmlformats.org/package/2006/relationships"><Relationship Id="rId1" Type="http://schemas.openxmlformats.org/officeDocument/2006/relationships/image" Target="media/image14.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50.xml.rels><?xml version="1.0" encoding="UTF-8" standalone="yes"?>
<Relationships xmlns="http://schemas.openxmlformats.org/package/2006/relationships"><Relationship Id="rId1" Type="http://schemas.openxmlformats.org/officeDocument/2006/relationships/image" Target="media/image12.png"/></Relationships>
</file>

<file path=word/_rels/header53.xml.rels><?xml version="1.0" encoding="UTF-8" standalone="yes"?>
<Relationships xmlns="http://schemas.openxmlformats.org/package/2006/relationships"><Relationship Id="rId1" Type="http://schemas.openxmlformats.org/officeDocument/2006/relationships/image" Target="media/image3.png"/></Relationships>
</file>

<file path=word/_rels/header54.xml.rels><?xml version="1.0" encoding="UTF-8" standalone="yes"?>
<Relationships xmlns="http://schemas.openxmlformats.org/package/2006/relationships"><Relationship Id="rId1" Type="http://schemas.openxmlformats.org/officeDocument/2006/relationships/image" Target="media/image15.png"/></Relationships>
</file>

<file path=word/_rels/header56.xml.rels><?xml version="1.0" encoding="UTF-8" standalone="yes"?>
<Relationships xmlns="http://schemas.openxmlformats.org/package/2006/relationships"><Relationship Id="rId1" Type="http://schemas.openxmlformats.org/officeDocument/2006/relationships/image" Target="media/image3.png"/></Relationships>
</file>

<file path=word/_rels/header57.xml.rels><?xml version="1.0" encoding="UTF-8" standalone="yes"?>
<Relationships xmlns="http://schemas.openxmlformats.org/package/2006/relationships"><Relationship Id="rId1" Type="http://schemas.openxmlformats.org/officeDocument/2006/relationships/image" Target="media/image3.png"/></Relationships>
</file>

<file path=word/_rels/header58.xml.rels><?xml version="1.0" encoding="UTF-8" standalone="yes"?>
<Relationships xmlns="http://schemas.openxmlformats.org/package/2006/relationships"><Relationship Id="rId1" Type="http://schemas.openxmlformats.org/officeDocument/2006/relationships/image" Target="media/image3.png"/></Relationships>
</file>

<file path=word/_rels/header59.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60.xml.rels><?xml version="1.0" encoding="UTF-8" standalone="yes"?>
<Relationships xmlns="http://schemas.openxmlformats.org/package/2006/relationships"><Relationship Id="rId1" Type="http://schemas.openxmlformats.org/officeDocument/2006/relationships/image" Target="media/image3.png"/></Relationships>
</file>

<file path=word/_rels/header61.xml.rels><?xml version="1.0" encoding="UTF-8" standalone="yes"?>
<Relationships xmlns="http://schemas.openxmlformats.org/package/2006/relationships"><Relationship Id="rId1" Type="http://schemas.openxmlformats.org/officeDocument/2006/relationships/image" Target="media/image3.png"/></Relationships>
</file>

<file path=word/_rels/header63.xml.rels><?xml version="1.0" encoding="UTF-8" standalone="yes"?>
<Relationships xmlns="http://schemas.openxmlformats.org/package/2006/relationships"><Relationship Id="rId1" Type="http://schemas.openxmlformats.org/officeDocument/2006/relationships/image" Target="media/image3.png"/></Relationships>
</file>

<file path=word/_rels/header64.xml.rels><?xml version="1.0" encoding="UTF-8" standalone="yes"?>
<Relationships xmlns="http://schemas.openxmlformats.org/package/2006/relationships"><Relationship Id="rId1" Type="http://schemas.openxmlformats.org/officeDocument/2006/relationships/image" Target="media/image15.png"/></Relationships>
</file>

<file path=word/_rels/header65.xml.rels><?xml version="1.0" encoding="UTF-8" standalone="yes"?>
<Relationships xmlns="http://schemas.openxmlformats.org/package/2006/relationships"><Relationship Id="rId1" Type="http://schemas.openxmlformats.org/officeDocument/2006/relationships/image" Target="media/image3.png"/></Relationships>
</file>

<file path=word/_rels/header66.xml.rels><?xml version="1.0" encoding="UTF-8" standalone="yes"?>
<Relationships xmlns="http://schemas.openxmlformats.org/package/2006/relationships"><Relationship Id="rId1" Type="http://schemas.openxmlformats.org/officeDocument/2006/relationships/image" Target="media/image16.png"/></Relationships>
</file>

<file path=word/_rels/header68.xml.rels><?xml version="1.0" encoding="UTF-8" standalone="yes"?>
<Relationships xmlns="http://schemas.openxmlformats.org/package/2006/relationships"><Relationship Id="rId1" Type="http://schemas.openxmlformats.org/officeDocument/2006/relationships/image" Target="media/image2.png"/></Relationships>
</file>

<file path=word/_rels/header69.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70.xml.rels><?xml version="1.0" encoding="UTF-8" standalone="yes"?>
<Relationships xmlns="http://schemas.openxmlformats.org/package/2006/relationships"><Relationship Id="rId1" Type="http://schemas.openxmlformats.org/officeDocument/2006/relationships/image" Target="media/image17.png"/></Relationships>
</file>

<file path=word/_rels/header71.xml.rels><?xml version="1.0" encoding="UTF-8" standalone="yes"?>
<Relationships xmlns="http://schemas.openxmlformats.org/package/2006/relationships"><Relationship Id="rId1" Type="http://schemas.openxmlformats.org/officeDocument/2006/relationships/image" Target="media/image18.png"/></Relationships>
</file>

<file path=word/_rels/header73.xml.rels><?xml version="1.0" encoding="UTF-8" standalone="yes"?>
<Relationships xmlns="http://schemas.openxmlformats.org/package/2006/relationships"><Relationship Id="rId1" Type="http://schemas.openxmlformats.org/officeDocument/2006/relationships/image" Target="media/image3.png"/></Relationships>
</file>

<file path=word/_rels/header76.xml.rels><?xml version="1.0" encoding="UTF-8" standalone="yes"?>
<Relationships xmlns="http://schemas.openxmlformats.org/package/2006/relationships"><Relationship Id="rId1" Type="http://schemas.openxmlformats.org/officeDocument/2006/relationships/image" Target="media/image3.png"/></Relationships>
</file>

<file path=word/_rels/header77.xml.rels><?xml version="1.0" encoding="UTF-8" standalone="yes"?>
<Relationships xmlns="http://schemas.openxmlformats.org/package/2006/relationships"><Relationship Id="rId1" Type="http://schemas.openxmlformats.org/officeDocument/2006/relationships/image" Target="media/image19.png"/></Relationships>
</file>

<file path=word/_rels/header79.xml.rels><?xml version="1.0" encoding="UTF-8" standalone="yes"?>
<Relationships xmlns="http://schemas.openxmlformats.org/package/2006/relationships"><Relationship Id="rId1" Type="http://schemas.openxmlformats.org/officeDocument/2006/relationships/image" Target="media/image20.jpe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Info spid="_x0000_s2063"/>
    <customShpInfo spid="_x0000_s2064"/>
    <customShpInfo spid="_x0000_s2065"/>
    <customShpInfo spid="_x0000_s2066"/>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82</Pages>
  <Words>3764</Words>
  <Characters>4251</Characters>
  <TotalTime>4</TotalTime>
  <ScaleCrop>false</ScaleCrop>
  <LinksUpToDate>false</LinksUpToDate>
  <CharactersWithSpaces>4897</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2023-12-22T09:23:00Z</dcterms:created>
  <dc:creator>Kingsoft-PDF</dc:creator>
  <cp:lastModifiedBy>赖炜鑫</cp:lastModifiedBy>
  <dcterms:modified xsi:type="dcterms:W3CDTF">2025-03-10T07:34:57Z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2023-12-22T09:23:21Z</vt:filetime>
  </property>
  <property fmtid="{D5CDD505-2E9C-101B-9397-08002B2CF9AE}" pid="4" name="UsrData">
    <vt:lpwstr>6584e4e083b9c4001f1de347wl</vt:lpwstr>
  </property>
  <property fmtid="{D5CDD505-2E9C-101B-9397-08002B2CF9AE}" pid="5" name="KSOProductBuildVer">
    <vt:lpwstr>2052-12.1.0.20305</vt:lpwstr>
  </property>
  <property fmtid="{D5CDD505-2E9C-101B-9397-08002B2CF9AE}" pid="6" name="ICV">
    <vt:lpwstr>B6D1E6BF48204D3DA647CE22036C2C7A_13</vt:lpwstr>
  </property>
  <property fmtid="{D5CDD505-2E9C-101B-9397-08002B2CF9AE}" pid="7" name="KSOTemplateDocerSaveRecord">
    <vt:lpwstr>eyJoZGlkIjoiYjQ2OTFiNThjZWNmOWI1NGM1MzBjODc2YjM5YjAzZjMiLCJ1c2VySWQiOiI0NjAxOTM5MTQifQ==</vt:lpwstr>
  </property>
</Properties>
</file>